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84890800"/>
        <w:docPartObj>
          <w:docPartGallery w:val="Cover Pages"/>
          <w:docPartUnique/>
        </w:docPartObj>
      </w:sdtPr>
      <w:sdtEndPr>
        <w:rPr>
          <w:rFonts w:eastAsiaTheme="majorEastAsia"/>
        </w:rPr>
      </w:sdtEndPr>
      <w:sdtContent>
        <w:p w14:paraId="22B75897" w14:textId="11C9B88F" w:rsidR="005F7634" w:rsidRPr="00082E72" w:rsidRDefault="005F7634">
          <w:r w:rsidRPr="00082E72">
            <w:rPr>
              <w:noProof/>
            </w:rPr>
            <w:drawing>
              <wp:anchor distT="0" distB="0" distL="114300" distR="114300" simplePos="0" relativeHeight="251658240" behindDoc="1" locked="0" layoutInCell="1" allowOverlap="1" wp14:anchorId="4868657D" wp14:editId="01C3891C">
                <wp:simplePos x="0" y="0"/>
                <wp:positionH relativeFrom="page">
                  <wp:align>center</wp:align>
                </wp:positionH>
                <wp:positionV relativeFrom="paragraph">
                  <wp:posOffset>-1082823</wp:posOffset>
                </wp:positionV>
                <wp:extent cx="6839999" cy="9972000"/>
                <wp:effectExtent l="0" t="0" r="0" b="0"/>
                <wp:wrapNone/>
                <wp:docPr id="4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pic:cNvPicPr>
                          <a:picLocks/>
                        </pic:cNvPicPr>
                      </pic:nvPicPr>
                      <pic:blipFill>
                        <a:blip r:embed="rId14">
                          <a:extLst>
                            <a:ext uri="{28A0092B-C50C-407E-A947-70E740481C1C}">
                              <a14:useLocalDpi xmlns:a14="http://schemas.microsoft.com/office/drawing/2010/main" val="0"/>
                            </a:ext>
                          </a:extLst>
                        </a:blip>
                        <a:stretch>
                          <a:fillRect/>
                        </a:stretch>
                      </pic:blipFill>
                      <pic:spPr>
                        <a:xfrm>
                          <a:off x="0" y="0"/>
                          <a:ext cx="6839999" cy="9972000"/>
                        </a:xfrm>
                        <a:prstGeom prst="rect">
                          <a:avLst/>
                        </a:prstGeom>
                      </pic:spPr>
                    </pic:pic>
                  </a:graphicData>
                </a:graphic>
              </wp:anchor>
            </w:drawing>
          </w:r>
          <w:r w:rsidRPr="00082E72">
            <w:rPr>
              <w:noProof/>
            </w:rPr>
            <w:drawing>
              <wp:anchor distT="0" distB="0" distL="114300" distR="114300" simplePos="0" relativeHeight="251658241" behindDoc="1" locked="0" layoutInCell="1" allowOverlap="1" wp14:anchorId="6D07D8FD" wp14:editId="611C56DF">
                <wp:simplePos x="0" y="0"/>
                <wp:positionH relativeFrom="column">
                  <wp:posOffset>4839539</wp:posOffset>
                </wp:positionH>
                <wp:positionV relativeFrom="paragraph">
                  <wp:posOffset>-552450</wp:posOffset>
                </wp:positionV>
                <wp:extent cx="1371810" cy="723851"/>
                <wp:effectExtent l="0" t="0" r="0" b="635"/>
                <wp:wrapNone/>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810" cy="723851"/>
                        </a:xfrm>
                        <a:prstGeom prst="rect">
                          <a:avLst/>
                        </a:prstGeom>
                      </pic:spPr>
                    </pic:pic>
                  </a:graphicData>
                </a:graphic>
              </wp:anchor>
            </w:drawing>
          </w:r>
        </w:p>
        <w:p w14:paraId="6ECE6BF3" w14:textId="77777777" w:rsidR="005F7634" w:rsidRPr="00082E72" w:rsidRDefault="005F7634">
          <w:r w:rsidRPr="00082E72">
            <w:rPr>
              <w:color w:val="031F73" w:themeColor="text2"/>
            </w:rPr>
            <w:t>Cardinia Shire Council</w:t>
          </w:r>
        </w:p>
        <w:p w14:paraId="001033FB" w14:textId="77777777" w:rsidR="005F7634" w:rsidRPr="00082E72" w:rsidRDefault="005F7634">
          <w:pPr>
            <w:rPr>
              <w:color w:val="FFFFFF" w:themeColor="background1"/>
            </w:rPr>
          </w:pPr>
        </w:p>
        <w:p w14:paraId="08A6CA7A" w14:textId="77777777" w:rsidR="005F7634" w:rsidRPr="00082E72" w:rsidRDefault="005F7634">
          <w:pPr>
            <w:rPr>
              <w:color w:val="FFFFFF" w:themeColor="background1"/>
            </w:rPr>
          </w:pPr>
        </w:p>
        <w:p w14:paraId="01B256D5" w14:textId="77777777" w:rsidR="005F7634" w:rsidRPr="00082E72" w:rsidRDefault="005F7634">
          <w:pPr>
            <w:rPr>
              <w:color w:val="FFFFFF" w:themeColor="background1"/>
            </w:rPr>
          </w:pPr>
        </w:p>
        <w:p w14:paraId="31B9E677" w14:textId="77777777" w:rsidR="005F7634" w:rsidRPr="00082E72" w:rsidRDefault="005F7634">
          <w:pPr>
            <w:rPr>
              <w:color w:val="FFFFFF" w:themeColor="background1"/>
            </w:rPr>
          </w:pPr>
        </w:p>
        <w:p w14:paraId="43CB36A6" w14:textId="77777777" w:rsidR="005F7634" w:rsidRPr="00082E72" w:rsidRDefault="005F7634">
          <w:pPr>
            <w:rPr>
              <w:color w:val="FFFFFF" w:themeColor="background1"/>
            </w:rPr>
          </w:pPr>
        </w:p>
        <w:p w14:paraId="65FC4748" w14:textId="77777777" w:rsidR="005F7634" w:rsidRPr="00082E72" w:rsidRDefault="005F7634">
          <w:pPr>
            <w:rPr>
              <w:color w:val="FFFFFF" w:themeColor="background1"/>
            </w:rPr>
          </w:pPr>
        </w:p>
        <w:p w14:paraId="1A479237" w14:textId="77777777" w:rsidR="005F7634" w:rsidRPr="00082E72" w:rsidRDefault="005F7634">
          <w:pPr>
            <w:rPr>
              <w:color w:val="FFFFFF" w:themeColor="background1"/>
            </w:rPr>
          </w:pPr>
        </w:p>
        <w:p w14:paraId="46C10186" w14:textId="77777777" w:rsidR="005F7634" w:rsidRPr="00082E72" w:rsidRDefault="005F7634">
          <w:pPr>
            <w:rPr>
              <w:color w:val="FFFFFF" w:themeColor="background1"/>
            </w:rPr>
          </w:pPr>
        </w:p>
        <w:p w14:paraId="75645EB3" w14:textId="77777777" w:rsidR="005F7634" w:rsidRPr="00082E72" w:rsidRDefault="005F7634">
          <w:pPr>
            <w:rPr>
              <w:color w:val="FFFFFF" w:themeColor="background1"/>
            </w:rPr>
          </w:pPr>
        </w:p>
        <w:p w14:paraId="2691DDE2" w14:textId="77777777" w:rsidR="005F7634" w:rsidRPr="00082E72" w:rsidRDefault="005F7634">
          <w:pPr>
            <w:rPr>
              <w:color w:val="FFFFFF" w:themeColor="background1"/>
            </w:rPr>
          </w:pPr>
        </w:p>
        <w:p w14:paraId="44F9ED76" w14:textId="77777777" w:rsidR="005F7634" w:rsidRPr="00082E72" w:rsidRDefault="005F7634">
          <w:pPr>
            <w:rPr>
              <w:color w:val="FFFFFF" w:themeColor="background1"/>
            </w:rPr>
          </w:pPr>
        </w:p>
        <w:p w14:paraId="431790D9" w14:textId="77777777" w:rsidR="005F7634" w:rsidRPr="00082E72" w:rsidRDefault="005F7634">
          <w:pPr>
            <w:rPr>
              <w:color w:val="FFFFFF" w:themeColor="background1"/>
            </w:rPr>
          </w:pPr>
        </w:p>
        <w:p w14:paraId="7A1CAB85" w14:textId="77777777" w:rsidR="005F7634" w:rsidRPr="00082E72" w:rsidRDefault="005F7634">
          <w:pPr>
            <w:rPr>
              <w:color w:val="FFFFFF" w:themeColor="background1"/>
            </w:rPr>
          </w:pPr>
        </w:p>
        <w:p w14:paraId="38ED1397" w14:textId="77777777" w:rsidR="005F7634" w:rsidRPr="00082E72" w:rsidRDefault="005F7634">
          <w:pPr>
            <w:rPr>
              <w:color w:val="FFFFFF" w:themeColor="background1"/>
            </w:rPr>
          </w:pPr>
        </w:p>
        <w:p w14:paraId="7A154E82" w14:textId="77777777" w:rsidR="005F7634" w:rsidRPr="00082E72" w:rsidRDefault="005F7634">
          <w:pPr>
            <w:rPr>
              <w:color w:val="FFFFFF" w:themeColor="background1"/>
            </w:rPr>
          </w:pPr>
        </w:p>
        <w:p w14:paraId="1E71DC72" w14:textId="77777777" w:rsidR="005F7634" w:rsidRPr="00082E72" w:rsidRDefault="005F7634">
          <w:pPr>
            <w:rPr>
              <w:color w:val="FFFFFF" w:themeColor="background1"/>
            </w:rPr>
          </w:pPr>
        </w:p>
        <w:p w14:paraId="1122C7C6" w14:textId="77777777" w:rsidR="005F7634" w:rsidRPr="00082E72" w:rsidRDefault="005F7634">
          <w:pPr>
            <w:rPr>
              <w:color w:val="FFFFFF" w:themeColor="background1"/>
            </w:rPr>
          </w:pPr>
        </w:p>
        <w:p w14:paraId="7E56BFE8" w14:textId="77777777" w:rsidR="005F7634" w:rsidRPr="00082E72" w:rsidRDefault="005F7634">
          <w:pPr>
            <w:rPr>
              <w:color w:val="FFFFFF" w:themeColor="background1"/>
            </w:rPr>
          </w:pPr>
        </w:p>
        <w:p w14:paraId="610D2456" w14:textId="77777777" w:rsidR="005F7634" w:rsidRPr="00082E72" w:rsidRDefault="005F7634">
          <w:pPr>
            <w:rPr>
              <w:color w:val="FFFFFF" w:themeColor="background1"/>
            </w:rPr>
          </w:pPr>
        </w:p>
        <w:p w14:paraId="5037D73A" w14:textId="6C5E5029" w:rsidR="005F7634" w:rsidRPr="00082E72" w:rsidRDefault="00000000">
          <w:pPr>
            <w:pStyle w:val="Title"/>
            <w:rPr>
              <w:color w:val="FFFFFF" w:themeColor="background1"/>
            </w:rPr>
          </w:pPr>
          <w:sdt>
            <w:sdtPr>
              <w:rPr>
                <w:color w:val="FFFFFF" w:themeColor="background1"/>
              </w:rPr>
              <w:alias w:val="Title"/>
              <w:id w:val="703292372"/>
              <w:dataBinding w:prefixMappings="xmlns:ns0='http://schemas.openxmlformats.org/package/2006/metadata/core-properties' xmlns:ns1='http://purl.org/dc/elements/1.1/'" w:xpath="/ns0:coreProperties[1]/ns1:title[1]" w:storeItemID="{6C3C8BC8-F283-45AE-878A-BAB7291924A1}"/>
              <w:text/>
            </w:sdtPr>
            <w:sdtContent>
              <w:r w:rsidR="00D32C9D">
                <w:rPr>
                  <w:color w:val="FFFFFF" w:themeColor="background1"/>
                </w:rPr>
                <w:t>Financial Plan 2025/26 – 2034</w:t>
              </w:r>
              <w:r w:rsidR="0005135B">
                <w:rPr>
                  <w:color w:val="FFFFFF" w:themeColor="background1"/>
                </w:rPr>
                <w:t>/</w:t>
              </w:r>
              <w:r w:rsidR="00D32C9D">
                <w:rPr>
                  <w:color w:val="FFFFFF" w:themeColor="background1"/>
                </w:rPr>
                <w:t>35</w:t>
              </w:r>
            </w:sdtContent>
          </w:sdt>
        </w:p>
        <w:p w14:paraId="094899B3" w14:textId="77777777" w:rsidR="005F7634" w:rsidRPr="00082E72" w:rsidRDefault="005F7634">
          <w:pPr>
            <w:rPr>
              <w:color w:val="FFFFFF" w:themeColor="background1"/>
            </w:rPr>
          </w:pPr>
        </w:p>
        <w:p w14:paraId="413D2266" w14:textId="77777777" w:rsidR="005F7634" w:rsidRPr="00082E72" w:rsidRDefault="005F7634">
          <w:pPr>
            <w:rPr>
              <w:color w:val="FFFFFF" w:themeColor="background1"/>
            </w:rPr>
          </w:pPr>
        </w:p>
        <w:p w14:paraId="615D69A3" w14:textId="77777777" w:rsidR="005F7634" w:rsidRPr="00082E72" w:rsidRDefault="005F7634">
          <w:pPr>
            <w:rPr>
              <w:color w:val="FFFFFF" w:themeColor="background1"/>
            </w:rPr>
          </w:pPr>
        </w:p>
        <w:p w14:paraId="57AA7019" w14:textId="77777777" w:rsidR="005F7634" w:rsidRPr="00082E72" w:rsidRDefault="005F7634">
          <w:pPr>
            <w:rPr>
              <w:color w:val="FFFFFF" w:themeColor="background1"/>
            </w:rPr>
          </w:pPr>
        </w:p>
        <w:p w14:paraId="23B60FF7" w14:textId="77777777" w:rsidR="005F7634" w:rsidRPr="00082E72" w:rsidRDefault="005F7634">
          <w:pPr>
            <w:rPr>
              <w:color w:val="FFFFFF" w:themeColor="background1"/>
            </w:rPr>
          </w:pPr>
        </w:p>
        <w:p w14:paraId="1A8F32D3" w14:textId="77777777" w:rsidR="005F7634" w:rsidRPr="00082E72" w:rsidRDefault="005F7634">
          <w:pPr>
            <w:rPr>
              <w:color w:val="FFFFFF" w:themeColor="background1"/>
            </w:rPr>
          </w:pPr>
        </w:p>
        <w:sdt>
          <w:sdtPr>
            <w:rPr>
              <w:color w:val="FFFFFF" w:themeColor="background1"/>
            </w:rPr>
            <w:alias w:val="Date"/>
            <w:tag w:val="Date"/>
            <w:id w:val="-532801895"/>
            <w:date w:fullDate="2025-10-01T00:00:00Z">
              <w:dateFormat w:val="MMMM yyyy"/>
              <w:lid w:val="en-AU"/>
              <w:storeMappedDataAs w:val="dateTime"/>
              <w:calendar w:val="gregorian"/>
            </w:date>
          </w:sdtPr>
          <w:sdtContent>
            <w:p w14:paraId="029D960F" w14:textId="10C9B438" w:rsidR="005F7634" w:rsidRPr="00082E72" w:rsidRDefault="00D32C9D">
              <w:pPr>
                <w:rPr>
                  <w:color w:val="FFFFFF" w:themeColor="background1"/>
                </w:rPr>
              </w:pPr>
              <w:r>
                <w:rPr>
                  <w:color w:val="FFFFFF" w:themeColor="background1"/>
                </w:rPr>
                <w:t xml:space="preserve">October </w:t>
              </w:r>
              <w:r w:rsidR="00FD28E2" w:rsidRPr="00082E72">
                <w:rPr>
                  <w:color w:val="FFFFFF" w:themeColor="background1"/>
                </w:rPr>
                <w:t>202</w:t>
              </w:r>
              <w:r w:rsidR="00D67A8A" w:rsidRPr="00082E72">
                <w:rPr>
                  <w:color w:val="FFFFFF" w:themeColor="background1"/>
                </w:rPr>
                <w:t>5</w:t>
              </w:r>
            </w:p>
          </w:sdtContent>
        </w:sdt>
        <w:p w14:paraId="729262E9" w14:textId="77777777" w:rsidR="005F7634" w:rsidRPr="00082E72" w:rsidRDefault="005F7634">
          <w:pPr>
            <w:rPr>
              <w:color w:val="FFFFFF" w:themeColor="background1"/>
            </w:rPr>
          </w:pPr>
        </w:p>
        <w:p w14:paraId="3C91ED68" w14:textId="77777777" w:rsidR="005F7634" w:rsidRPr="00082E72" w:rsidRDefault="005F7634">
          <w:pPr>
            <w:rPr>
              <w:rFonts w:eastAsiaTheme="majorEastAsia"/>
              <w:color w:val="FFFFFF" w:themeColor="background1"/>
            </w:rPr>
          </w:pPr>
        </w:p>
        <w:p w14:paraId="545DC10E" w14:textId="77777777" w:rsidR="00263ABF" w:rsidRDefault="00263ABF"/>
        <w:p w14:paraId="1FCB58EC" w14:textId="77777777" w:rsidR="00263ABF" w:rsidRDefault="00263ABF"/>
        <w:p w14:paraId="28682EB3" w14:textId="35F1F44F" w:rsidR="0022670C" w:rsidRPr="00263ABF" w:rsidRDefault="00263ABF" w:rsidP="00263ABF">
          <w:pPr>
            <w:spacing w:after="240"/>
            <w:rPr>
              <w:rFonts w:asciiTheme="majorHAnsi" w:hAnsiTheme="majorHAnsi"/>
              <w:sz w:val="36"/>
              <w:szCs w:val="36"/>
            </w:rPr>
          </w:pPr>
          <w:r w:rsidRPr="00263ABF">
            <w:rPr>
              <w:rFonts w:asciiTheme="majorHAnsi" w:hAnsiTheme="majorHAnsi"/>
              <w:sz w:val="36"/>
              <w:szCs w:val="36"/>
            </w:rPr>
            <w:lastRenderedPageBreak/>
            <w:t>Table of Contents</w:t>
          </w:r>
        </w:p>
        <w:sdt>
          <w:sdtPr>
            <w:rPr>
              <w:rFonts w:ascii="Garamond" w:hAnsi="Garamond"/>
              <w:b w:val="0"/>
              <w:bCs w:val="0"/>
              <w:caps/>
              <w:noProof w:val="0"/>
              <w:sz w:val="22"/>
              <w:szCs w:val="22"/>
            </w:rPr>
            <w:id w:val="-856657437"/>
            <w:docPartObj>
              <w:docPartGallery w:val="Table of Contents"/>
              <w:docPartUnique/>
            </w:docPartObj>
          </w:sdtPr>
          <w:sdtContent>
            <w:p w14:paraId="14E62868" w14:textId="0FEE5DD9" w:rsidR="00263ABF" w:rsidRDefault="0022670C" w:rsidP="008531FB">
              <w:pPr>
                <w:pStyle w:val="TOC1"/>
                <w:rPr>
                  <w:rFonts w:eastAsiaTheme="minorEastAsia" w:cstheme="minorBidi"/>
                  <w:i/>
                  <w:iCs/>
                  <w:kern w:val="2"/>
                  <w14:ligatures w14:val="standardContextual"/>
                </w:rPr>
              </w:pPr>
              <w:r>
                <w:rPr>
                  <w:rFonts w:ascii="Garamond" w:hAnsi="Garamond"/>
                  <w:caps/>
                </w:rPr>
                <w:fldChar w:fldCharType="begin"/>
              </w:r>
              <w:r>
                <w:rPr>
                  <w:rFonts w:ascii="Garamond" w:hAnsi="Garamond"/>
                  <w:caps/>
                </w:rPr>
                <w:instrText xml:space="preserve"> TOC \o "1-2" \u </w:instrText>
              </w:r>
              <w:r>
                <w:rPr>
                  <w:rFonts w:ascii="Garamond" w:hAnsi="Garamond"/>
                  <w:caps/>
                </w:rPr>
                <w:fldChar w:fldCharType="separate"/>
              </w:r>
              <w:r w:rsidR="00263ABF">
                <w:t>1.</w:t>
              </w:r>
              <w:r w:rsidR="00263ABF">
                <w:rPr>
                  <w:rFonts w:eastAsiaTheme="minorEastAsia" w:cstheme="minorBidi"/>
                  <w:i/>
                  <w:iCs/>
                  <w:kern w:val="2"/>
                  <w14:ligatures w14:val="standardContextual"/>
                </w:rPr>
                <w:tab/>
              </w:r>
              <w:r w:rsidR="00263ABF">
                <w:t>Executive Summary</w:t>
              </w:r>
              <w:r w:rsidR="00263ABF">
                <w:tab/>
              </w:r>
              <w:r w:rsidR="00263ABF">
                <w:fldChar w:fldCharType="begin"/>
              </w:r>
              <w:r w:rsidR="00263ABF">
                <w:instrText xml:space="preserve"> PAGEREF _Toc211874572 \h </w:instrText>
              </w:r>
              <w:r w:rsidR="00263ABF">
                <w:fldChar w:fldCharType="separate"/>
              </w:r>
              <w:r w:rsidR="00263ABF">
                <w:t>3</w:t>
              </w:r>
              <w:r w:rsidR="00263ABF">
                <w:fldChar w:fldCharType="end"/>
              </w:r>
            </w:p>
            <w:p w14:paraId="5CA8D8D3" w14:textId="120A7556" w:rsidR="00263ABF" w:rsidRDefault="00263ABF" w:rsidP="008531FB">
              <w:pPr>
                <w:pStyle w:val="TOC1"/>
                <w:rPr>
                  <w:rFonts w:eastAsiaTheme="minorEastAsia" w:cstheme="minorBidi"/>
                  <w:i/>
                  <w:iCs/>
                  <w:kern w:val="2"/>
                  <w14:ligatures w14:val="standardContextual"/>
                </w:rPr>
              </w:pPr>
              <w:r>
                <w:t>2.</w:t>
              </w:r>
              <w:r>
                <w:rPr>
                  <w:rFonts w:eastAsiaTheme="minorEastAsia" w:cstheme="minorBidi"/>
                  <w:i/>
                  <w:iCs/>
                  <w:kern w:val="2"/>
                  <w14:ligatures w14:val="standardContextual"/>
                </w:rPr>
                <w:tab/>
              </w:r>
              <w:r>
                <w:t>Legislative requirements</w:t>
              </w:r>
              <w:r>
                <w:tab/>
              </w:r>
              <w:r>
                <w:fldChar w:fldCharType="begin"/>
              </w:r>
              <w:r>
                <w:instrText xml:space="preserve"> PAGEREF _Toc211874573 \h </w:instrText>
              </w:r>
              <w:r>
                <w:fldChar w:fldCharType="separate"/>
              </w:r>
              <w:r>
                <w:t>4</w:t>
              </w:r>
              <w:r>
                <w:fldChar w:fldCharType="end"/>
              </w:r>
            </w:p>
            <w:p w14:paraId="5492F596" w14:textId="7125D349" w:rsidR="00263ABF" w:rsidRPr="00263ABF" w:rsidRDefault="00263ABF" w:rsidP="008531FB">
              <w:pPr>
                <w:pStyle w:val="TOC2"/>
                <w:rPr>
                  <w:rFonts w:eastAsiaTheme="minorEastAsia" w:cstheme="minorBidi"/>
                  <w:kern w:val="2"/>
                  <w:sz w:val="24"/>
                  <w:szCs w:val="24"/>
                  <w14:ligatures w14:val="standardContextual"/>
                </w:rPr>
              </w:pPr>
              <w:r w:rsidRPr="00263ABF">
                <w:t>2.1 Integrated Strategic Reporting Framework</w:t>
              </w:r>
              <w:r w:rsidRPr="00263ABF">
                <w:tab/>
              </w:r>
              <w:r w:rsidRPr="00263ABF">
                <w:fldChar w:fldCharType="begin"/>
              </w:r>
              <w:r w:rsidRPr="00263ABF">
                <w:instrText xml:space="preserve"> PAGEREF _Toc211874574 \h </w:instrText>
              </w:r>
              <w:r w:rsidRPr="00263ABF">
                <w:fldChar w:fldCharType="separate"/>
              </w:r>
              <w:r w:rsidRPr="00263ABF">
                <w:t>4</w:t>
              </w:r>
              <w:r w:rsidRPr="00263ABF">
                <w:fldChar w:fldCharType="end"/>
              </w:r>
            </w:p>
            <w:p w14:paraId="24E45AA7" w14:textId="2CA4979E" w:rsidR="00263ABF" w:rsidRPr="00263ABF" w:rsidRDefault="00263ABF" w:rsidP="008531FB">
              <w:pPr>
                <w:pStyle w:val="TOC2"/>
                <w:rPr>
                  <w:rFonts w:eastAsiaTheme="minorEastAsia" w:cstheme="minorBidi"/>
                  <w:kern w:val="2"/>
                  <w:sz w:val="24"/>
                  <w:szCs w:val="24"/>
                  <w14:ligatures w14:val="standardContextual"/>
                </w:rPr>
              </w:pPr>
              <w:r w:rsidRPr="00263ABF">
                <w:t>2.2 Statement Of Commitment to Gender Equality in Financial Planning</w:t>
              </w:r>
              <w:r w:rsidRPr="00263ABF">
                <w:tab/>
              </w:r>
              <w:r w:rsidRPr="00263ABF">
                <w:fldChar w:fldCharType="begin"/>
              </w:r>
              <w:r w:rsidRPr="00263ABF">
                <w:instrText xml:space="preserve"> PAGEREF _Toc211874575 \h </w:instrText>
              </w:r>
              <w:r w:rsidRPr="00263ABF">
                <w:fldChar w:fldCharType="separate"/>
              </w:r>
              <w:r w:rsidRPr="00263ABF">
                <w:t>5</w:t>
              </w:r>
              <w:r w:rsidRPr="00263ABF">
                <w:fldChar w:fldCharType="end"/>
              </w:r>
            </w:p>
            <w:p w14:paraId="6776865E" w14:textId="19C4D63F" w:rsidR="00263ABF" w:rsidRDefault="00263ABF" w:rsidP="008531FB">
              <w:pPr>
                <w:pStyle w:val="TOC1"/>
                <w:rPr>
                  <w:rFonts w:eastAsiaTheme="minorEastAsia" w:cstheme="minorBidi"/>
                  <w:i/>
                  <w:iCs/>
                  <w:kern w:val="2"/>
                  <w14:ligatures w14:val="standardContextual"/>
                </w:rPr>
              </w:pPr>
              <w:r>
                <w:t>3.</w:t>
              </w:r>
              <w:r>
                <w:rPr>
                  <w:rFonts w:eastAsiaTheme="minorEastAsia" w:cstheme="minorBidi"/>
                  <w:i/>
                  <w:iCs/>
                  <w:kern w:val="2"/>
                  <w14:ligatures w14:val="standardContextual"/>
                </w:rPr>
                <w:tab/>
              </w:r>
              <w:r>
                <w:t>About this plan</w:t>
              </w:r>
              <w:r>
                <w:tab/>
              </w:r>
              <w:r>
                <w:fldChar w:fldCharType="begin"/>
              </w:r>
              <w:r>
                <w:instrText xml:space="preserve"> PAGEREF _Toc211874576 \h </w:instrText>
              </w:r>
              <w:r>
                <w:fldChar w:fldCharType="separate"/>
              </w:r>
              <w:r>
                <w:t>6</w:t>
              </w:r>
              <w:r>
                <w:fldChar w:fldCharType="end"/>
              </w:r>
            </w:p>
            <w:p w14:paraId="490DABD9" w14:textId="7269C291" w:rsidR="00263ABF" w:rsidRPr="00263ABF" w:rsidRDefault="00263ABF" w:rsidP="008531FB">
              <w:pPr>
                <w:pStyle w:val="TOC2"/>
                <w:rPr>
                  <w:rFonts w:eastAsiaTheme="minorEastAsia" w:cstheme="minorBidi"/>
                  <w:kern w:val="2"/>
                  <w:sz w:val="24"/>
                  <w:szCs w:val="24"/>
                  <w14:ligatures w14:val="standardContextual"/>
                </w:rPr>
              </w:pPr>
              <w:r w:rsidRPr="00263ABF">
                <w:t>3.1 Asset Plan Integration</w:t>
              </w:r>
              <w:r w:rsidRPr="00263ABF">
                <w:tab/>
              </w:r>
              <w:r w:rsidRPr="00263ABF">
                <w:fldChar w:fldCharType="begin"/>
              </w:r>
              <w:r w:rsidRPr="00263ABF">
                <w:instrText xml:space="preserve"> PAGEREF _Toc211874577 \h </w:instrText>
              </w:r>
              <w:r w:rsidRPr="00263ABF">
                <w:fldChar w:fldCharType="separate"/>
              </w:r>
              <w:r w:rsidRPr="00263ABF">
                <w:t>6</w:t>
              </w:r>
              <w:r w:rsidRPr="00263ABF">
                <w:fldChar w:fldCharType="end"/>
              </w:r>
            </w:p>
            <w:p w14:paraId="2C868CA9" w14:textId="4513146A" w:rsidR="00263ABF" w:rsidRPr="00263ABF" w:rsidRDefault="00263ABF" w:rsidP="008531FB">
              <w:pPr>
                <w:pStyle w:val="TOC2"/>
                <w:rPr>
                  <w:rFonts w:eastAsiaTheme="minorEastAsia" w:cstheme="minorBidi"/>
                  <w:kern w:val="2"/>
                  <w:sz w:val="24"/>
                  <w:szCs w:val="24"/>
                  <w14:ligatures w14:val="standardContextual"/>
                </w:rPr>
              </w:pPr>
              <w:r w:rsidRPr="00263ABF">
                <w:t>3.2 Strategic planning principles</w:t>
              </w:r>
              <w:r w:rsidRPr="00263ABF">
                <w:tab/>
              </w:r>
              <w:r w:rsidRPr="00263ABF">
                <w:fldChar w:fldCharType="begin"/>
              </w:r>
              <w:r w:rsidRPr="00263ABF">
                <w:instrText xml:space="preserve"> PAGEREF _Toc211874578 \h </w:instrText>
              </w:r>
              <w:r w:rsidRPr="00263ABF">
                <w:fldChar w:fldCharType="separate"/>
              </w:r>
              <w:r w:rsidRPr="00263ABF">
                <w:t>6</w:t>
              </w:r>
              <w:r w:rsidRPr="00263ABF">
                <w:fldChar w:fldCharType="end"/>
              </w:r>
            </w:p>
            <w:p w14:paraId="40CEE74B" w14:textId="76734507" w:rsidR="00263ABF" w:rsidRPr="00263ABF" w:rsidRDefault="00263ABF" w:rsidP="008531FB">
              <w:pPr>
                <w:pStyle w:val="TOC2"/>
                <w:rPr>
                  <w:rFonts w:eastAsiaTheme="minorEastAsia" w:cstheme="minorBidi"/>
                  <w:kern w:val="2"/>
                  <w:sz w:val="24"/>
                  <w:szCs w:val="24"/>
                  <w14:ligatures w14:val="standardContextual"/>
                </w:rPr>
              </w:pPr>
              <w:r w:rsidRPr="00263ABF">
                <w:t>3.3 Financial management principles</w:t>
              </w:r>
              <w:r w:rsidRPr="00263ABF">
                <w:tab/>
              </w:r>
              <w:r w:rsidRPr="00263ABF">
                <w:fldChar w:fldCharType="begin"/>
              </w:r>
              <w:r w:rsidRPr="00263ABF">
                <w:instrText xml:space="preserve"> PAGEREF _Toc211874579 \h </w:instrText>
              </w:r>
              <w:r w:rsidRPr="00263ABF">
                <w:fldChar w:fldCharType="separate"/>
              </w:r>
              <w:r w:rsidRPr="00263ABF">
                <w:t>7</w:t>
              </w:r>
              <w:r w:rsidRPr="00263ABF">
                <w:fldChar w:fldCharType="end"/>
              </w:r>
            </w:p>
            <w:p w14:paraId="5C8BEF0D" w14:textId="17B7FA01" w:rsidR="00263ABF" w:rsidRPr="00263ABF" w:rsidRDefault="00263ABF" w:rsidP="008531FB">
              <w:pPr>
                <w:pStyle w:val="TOC2"/>
                <w:rPr>
                  <w:rFonts w:eastAsiaTheme="minorEastAsia" w:cstheme="minorBidi"/>
                  <w:kern w:val="2"/>
                  <w:sz w:val="24"/>
                  <w:szCs w:val="24"/>
                  <w14:ligatures w14:val="standardContextual"/>
                </w:rPr>
              </w:pPr>
              <w:r w:rsidRPr="00263ABF">
                <w:t>3.4 Community engagement</w:t>
              </w:r>
              <w:r w:rsidRPr="00263ABF">
                <w:tab/>
              </w:r>
              <w:r w:rsidRPr="00263ABF">
                <w:fldChar w:fldCharType="begin"/>
              </w:r>
              <w:r w:rsidRPr="00263ABF">
                <w:instrText xml:space="preserve"> PAGEREF _Toc211874580 \h </w:instrText>
              </w:r>
              <w:r w:rsidRPr="00263ABF">
                <w:fldChar w:fldCharType="separate"/>
              </w:r>
              <w:r w:rsidRPr="00263ABF">
                <w:t>7</w:t>
              </w:r>
              <w:r w:rsidRPr="00263ABF">
                <w:fldChar w:fldCharType="end"/>
              </w:r>
            </w:p>
            <w:p w14:paraId="7F5EB882" w14:textId="5312A63F" w:rsidR="00263ABF" w:rsidRPr="00263ABF" w:rsidRDefault="00263ABF" w:rsidP="008531FB">
              <w:pPr>
                <w:pStyle w:val="TOC2"/>
                <w:rPr>
                  <w:rFonts w:eastAsiaTheme="minorEastAsia" w:cstheme="minorBidi"/>
                  <w:kern w:val="2"/>
                  <w:sz w:val="24"/>
                  <w:szCs w:val="24"/>
                  <w14:ligatures w14:val="standardContextual"/>
                </w:rPr>
              </w:pPr>
              <w:r w:rsidRPr="00263ABF">
                <w:t>3.5 Service performance principles</w:t>
              </w:r>
              <w:r w:rsidRPr="00263ABF">
                <w:tab/>
              </w:r>
              <w:r w:rsidRPr="00263ABF">
                <w:fldChar w:fldCharType="begin"/>
              </w:r>
              <w:r w:rsidRPr="00263ABF">
                <w:instrText xml:space="preserve"> PAGEREF _Toc211874581 \h </w:instrText>
              </w:r>
              <w:r w:rsidRPr="00263ABF">
                <w:fldChar w:fldCharType="separate"/>
              </w:r>
              <w:r w:rsidRPr="00263ABF">
                <w:t>8</w:t>
              </w:r>
              <w:r w:rsidRPr="00263ABF">
                <w:fldChar w:fldCharType="end"/>
              </w:r>
            </w:p>
            <w:p w14:paraId="6FD95DEB" w14:textId="1B3334F1" w:rsidR="00263ABF" w:rsidRPr="00263ABF" w:rsidRDefault="00263ABF" w:rsidP="008531FB">
              <w:pPr>
                <w:pStyle w:val="TOC2"/>
                <w:rPr>
                  <w:rFonts w:eastAsiaTheme="minorEastAsia" w:cstheme="minorBidi"/>
                  <w:kern w:val="2"/>
                  <w:sz w:val="24"/>
                  <w:szCs w:val="24"/>
                  <w14:ligatures w14:val="standardContextual"/>
                </w:rPr>
              </w:pPr>
              <w:r w:rsidRPr="00263ABF">
                <w:t>3.6 Financial sustainability strategy</w:t>
              </w:r>
              <w:r w:rsidRPr="00263ABF">
                <w:tab/>
              </w:r>
              <w:r w:rsidRPr="00263ABF">
                <w:fldChar w:fldCharType="begin"/>
              </w:r>
              <w:r w:rsidRPr="00263ABF">
                <w:instrText xml:space="preserve"> PAGEREF _Toc211874582 \h </w:instrText>
              </w:r>
              <w:r w:rsidRPr="00263ABF">
                <w:fldChar w:fldCharType="separate"/>
              </w:r>
              <w:r w:rsidRPr="00263ABF">
                <w:t>8</w:t>
              </w:r>
              <w:r w:rsidRPr="00263ABF">
                <w:fldChar w:fldCharType="end"/>
              </w:r>
            </w:p>
            <w:p w14:paraId="00F4E29B" w14:textId="301CB712" w:rsidR="00263ABF" w:rsidRPr="00263ABF" w:rsidRDefault="00263ABF" w:rsidP="008531FB">
              <w:pPr>
                <w:pStyle w:val="TOC2"/>
                <w:rPr>
                  <w:rFonts w:eastAsiaTheme="minorEastAsia" w:cstheme="minorBidi"/>
                  <w:kern w:val="2"/>
                  <w:sz w:val="24"/>
                  <w:szCs w:val="24"/>
                  <w14:ligatures w14:val="standardContextual"/>
                </w:rPr>
              </w:pPr>
              <w:r w:rsidRPr="00263ABF">
                <w:t>3.7 Strategic actions</w:t>
              </w:r>
              <w:r w:rsidRPr="00263ABF">
                <w:tab/>
              </w:r>
              <w:r w:rsidRPr="00263ABF">
                <w:fldChar w:fldCharType="begin"/>
              </w:r>
              <w:r w:rsidRPr="00263ABF">
                <w:instrText xml:space="preserve"> PAGEREF _Toc211874583 \h </w:instrText>
              </w:r>
              <w:r w:rsidRPr="00263ABF">
                <w:fldChar w:fldCharType="separate"/>
              </w:r>
              <w:r w:rsidRPr="00263ABF">
                <w:t>9</w:t>
              </w:r>
              <w:r w:rsidRPr="00263ABF">
                <w:fldChar w:fldCharType="end"/>
              </w:r>
            </w:p>
            <w:p w14:paraId="4DA60CE1" w14:textId="3CB4F983" w:rsidR="00263ABF" w:rsidRDefault="00263ABF" w:rsidP="008531FB">
              <w:pPr>
                <w:pStyle w:val="TOC1"/>
                <w:rPr>
                  <w:rFonts w:eastAsiaTheme="minorEastAsia" w:cstheme="minorBidi"/>
                  <w:i/>
                  <w:iCs/>
                  <w:kern w:val="2"/>
                  <w14:ligatures w14:val="standardContextual"/>
                </w:rPr>
              </w:pPr>
              <w:r>
                <w:t>4.</w:t>
              </w:r>
              <w:r>
                <w:rPr>
                  <w:rFonts w:eastAsiaTheme="minorEastAsia" w:cstheme="minorBidi"/>
                  <w:i/>
                  <w:iCs/>
                  <w:kern w:val="2"/>
                  <w14:ligatures w14:val="standardContextual"/>
                </w:rPr>
                <w:tab/>
              </w:r>
              <w:r>
                <w:t>Financial performance statement</w:t>
              </w:r>
              <w:r>
                <w:tab/>
              </w:r>
              <w:r>
                <w:fldChar w:fldCharType="begin"/>
              </w:r>
              <w:r>
                <w:instrText xml:space="preserve"> PAGEREF _Toc211874584 \h </w:instrText>
              </w:r>
              <w:r>
                <w:fldChar w:fldCharType="separate"/>
              </w:r>
              <w:r>
                <w:t>11</w:t>
              </w:r>
              <w:r>
                <w:fldChar w:fldCharType="end"/>
              </w:r>
            </w:p>
            <w:p w14:paraId="7648F2E5" w14:textId="543B2797" w:rsidR="00263ABF" w:rsidRPr="00263ABF" w:rsidRDefault="00263ABF" w:rsidP="008531FB">
              <w:pPr>
                <w:pStyle w:val="TOC2"/>
                <w:rPr>
                  <w:rFonts w:eastAsiaTheme="minorEastAsia" w:cstheme="minorBidi"/>
                  <w:kern w:val="2"/>
                  <w:sz w:val="24"/>
                  <w:szCs w:val="24"/>
                  <w14:ligatures w14:val="standardContextual"/>
                </w:rPr>
              </w:pPr>
              <w:r w:rsidRPr="00263ABF">
                <w:t>4.1 Financial sustainability indicators</w:t>
              </w:r>
              <w:r w:rsidRPr="00263ABF">
                <w:tab/>
              </w:r>
              <w:r w:rsidRPr="00263ABF">
                <w:fldChar w:fldCharType="begin"/>
              </w:r>
              <w:r w:rsidRPr="00263ABF">
                <w:instrText xml:space="preserve"> PAGEREF _Toc211874585 \h </w:instrText>
              </w:r>
              <w:r w:rsidRPr="00263ABF">
                <w:fldChar w:fldCharType="separate"/>
              </w:r>
              <w:r w:rsidRPr="00263ABF">
                <w:t>11</w:t>
              </w:r>
              <w:r w:rsidRPr="00263ABF">
                <w:fldChar w:fldCharType="end"/>
              </w:r>
            </w:p>
            <w:p w14:paraId="679B3AB8" w14:textId="011A2A30" w:rsidR="00263ABF" w:rsidRPr="00263ABF" w:rsidRDefault="00263ABF" w:rsidP="008531FB">
              <w:pPr>
                <w:pStyle w:val="TOC2"/>
                <w:rPr>
                  <w:rFonts w:eastAsiaTheme="minorEastAsia" w:cstheme="minorBidi"/>
                  <w:kern w:val="2"/>
                  <w:sz w:val="24"/>
                  <w:szCs w:val="24"/>
                  <w14:ligatures w14:val="standardContextual"/>
                </w:rPr>
              </w:pPr>
              <w:r>
                <w:t>4</w:t>
              </w:r>
              <w:r w:rsidRPr="00263ABF">
                <w:t>.5</w:t>
              </w:r>
              <w:r>
                <w:rPr>
                  <w:rFonts w:eastAsiaTheme="minorEastAsia" w:cstheme="minorBidi"/>
                  <w:kern w:val="2"/>
                  <w:sz w:val="24"/>
                  <w:szCs w:val="24"/>
                  <w14:ligatures w14:val="standardContextual"/>
                </w:rPr>
                <w:t xml:space="preserve"> </w:t>
              </w:r>
              <w:r w:rsidRPr="00263ABF">
                <w:t>Sustainability indicators risk ratings</w:t>
              </w:r>
              <w:r w:rsidRPr="00263ABF">
                <w:tab/>
              </w:r>
              <w:r w:rsidRPr="00263ABF">
                <w:fldChar w:fldCharType="begin"/>
              </w:r>
              <w:r w:rsidRPr="00263ABF">
                <w:instrText xml:space="preserve"> PAGEREF _Toc211874586 \h </w:instrText>
              </w:r>
              <w:r w:rsidRPr="00263ABF">
                <w:fldChar w:fldCharType="separate"/>
              </w:r>
              <w:r w:rsidRPr="00263ABF">
                <w:t>12</w:t>
              </w:r>
              <w:r w:rsidRPr="00263ABF">
                <w:fldChar w:fldCharType="end"/>
              </w:r>
            </w:p>
            <w:p w14:paraId="492884AD" w14:textId="361412EB" w:rsidR="00263ABF" w:rsidRDefault="00263ABF" w:rsidP="008531FB">
              <w:pPr>
                <w:pStyle w:val="TOC1"/>
                <w:rPr>
                  <w:rFonts w:eastAsiaTheme="minorEastAsia" w:cstheme="minorBidi"/>
                  <w:i/>
                  <w:iCs/>
                  <w:kern w:val="2"/>
                  <w14:ligatures w14:val="standardContextual"/>
                </w:rPr>
              </w:pPr>
              <w:r>
                <w:t>5.</w:t>
              </w:r>
              <w:r>
                <w:rPr>
                  <w:rFonts w:eastAsiaTheme="minorEastAsia" w:cstheme="minorBidi"/>
                  <w:i/>
                  <w:iCs/>
                  <w:kern w:val="2"/>
                  <w14:ligatures w14:val="standardContextual"/>
                </w:rPr>
                <w:tab/>
              </w:r>
              <w:r>
                <w:t>Economic assumptions</w:t>
              </w:r>
              <w:r>
                <w:tab/>
              </w:r>
              <w:r>
                <w:fldChar w:fldCharType="begin"/>
              </w:r>
              <w:r>
                <w:instrText xml:space="preserve"> PAGEREF _Toc211874587 \h </w:instrText>
              </w:r>
              <w:r>
                <w:fldChar w:fldCharType="separate"/>
              </w:r>
              <w:r>
                <w:t>13</w:t>
              </w:r>
              <w:r>
                <w:fldChar w:fldCharType="end"/>
              </w:r>
            </w:p>
            <w:p w14:paraId="3276C6E7" w14:textId="4F2F258D" w:rsidR="00263ABF" w:rsidRPr="008531FB" w:rsidRDefault="00263ABF" w:rsidP="008531FB">
              <w:pPr>
                <w:pStyle w:val="TOC2"/>
                <w:rPr>
                  <w:rFonts w:eastAsiaTheme="minorEastAsia" w:cstheme="minorBidi"/>
                  <w:kern w:val="2"/>
                  <w:sz w:val="24"/>
                  <w:szCs w:val="24"/>
                  <w14:ligatures w14:val="standardContextual"/>
                </w:rPr>
              </w:pPr>
              <w:r w:rsidRPr="008531FB">
                <w:t>5.1 Economic assumption forecasts</w:t>
              </w:r>
              <w:r w:rsidRPr="008531FB">
                <w:tab/>
              </w:r>
              <w:r w:rsidRPr="008531FB">
                <w:fldChar w:fldCharType="begin"/>
              </w:r>
              <w:r w:rsidRPr="008531FB">
                <w:instrText xml:space="preserve"> PAGEREF _Toc211874588 \h </w:instrText>
              </w:r>
              <w:r w:rsidRPr="008531FB">
                <w:fldChar w:fldCharType="separate"/>
              </w:r>
              <w:r w:rsidRPr="008531FB">
                <w:t>13</w:t>
              </w:r>
              <w:r w:rsidRPr="008531FB">
                <w:fldChar w:fldCharType="end"/>
              </w:r>
            </w:p>
            <w:p w14:paraId="11B94E88" w14:textId="1A5CCCB0" w:rsidR="00263ABF" w:rsidRPr="008531FB" w:rsidRDefault="00263ABF" w:rsidP="008531FB">
              <w:pPr>
                <w:pStyle w:val="TOC2"/>
                <w:rPr>
                  <w:rFonts w:eastAsiaTheme="minorEastAsia" w:cstheme="minorBidi"/>
                  <w:kern w:val="2"/>
                  <w:sz w:val="24"/>
                  <w:szCs w:val="24"/>
                  <w14:ligatures w14:val="standardContextual"/>
                </w:rPr>
              </w:pPr>
              <w:r w:rsidRPr="008531FB">
                <w:t>5.2 Economic assumptions commentary</w:t>
              </w:r>
              <w:r w:rsidRPr="008531FB">
                <w:tab/>
              </w:r>
              <w:r w:rsidRPr="008531FB">
                <w:fldChar w:fldCharType="begin"/>
              </w:r>
              <w:r w:rsidRPr="008531FB">
                <w:instrText xml:space="preserve"> PAGEREF _Toc211874589 \h </w:instrText>
              </w:r>
              <w:r w:rsidRPr="008531FB">
                <w:fldChar w:fldCharType="separate"/>
              </w:r>
              <w:r w:rsidRPr="008531FB">
                <w:t>13</w:t>
              </w:r>
              <w:r w:rsidRPr="008531FB">
                <w:fldChar w:fldCharType="end"/>
              </w:r>
            </w:p>
            <w:p w14:paraId="0D067D3E" w14:textId="32F9D4BE" w:rsidR="00263ABF" w:rsidRPr="008531FB" w:rsidRDefault="00263ABF" w:rsidP="008531FB">
              <w:pPr>
                <w:pStyle w:val="TOC2"/>
                <w:rPr>
                  <w:rFonts w:eastAsiaTheme="minorEastAsia" w:cstheme="minorBidi"/>
                  <w:kern w:val="2"/>
                  <w:sz w:val="24"/>
                  <w:szCs w:val="24"/>
                  <w14:ligatures w14:val="standardContextual"/>
                </w:rPr>
              </w:pPr>
              <w:r w:rsidRPr="008531FB">
                <w:t>5.3 Other matters influencing the Financial Plan</w:t>
              </w:r>
              <w:r w:rsidRPr="008531FB">
                <w:tab/>
              </w:r>
              <w:r w:rsidRPr="008531FB">
                <w:fldChar w:fldCharType="begin"/>
              </w:r>
              <w:r w:rsidRPr="008531FB">
                <w:instrText xml:space="preserve"> PAGEREF _Toc211874590 \h </w:instrText>
              </w:r>
              <w:r w:rsidRPr="008531FB">
                <w:fldChar w:fldCharType="separate"/>
              </w:r>
              <w:r w:rsidRPr="008531FB">
                <w:t>16</w:t>
              </w:r>
              <w:r w:rsidRPr="008531FB">
                <w:fldChar w:fldCharType="end"/>
              </w:r>
            </w:p>
            <w:p w14:paraId="4CFF7217" w14:textId="3F9227C0" w:rsidR="00263ABF" w:rsidRDefault="00263ABF" w:rsidP="008531FB">
              <w:pPr>
                <w:pStyle w:val="TOC1"/>
                <w:rPr>
                  <w:rFonts w:eastAsiaTheme="minorEastAsia" w:cstheme="minorBidi"/>
                  <w:i/>
                  <w:iCs/>
                  <w:kern w:val="2"/>
                  <w14:ligatures w14:val="standardContextual"/>
                </w:rPr>
              </w:pPr>
              <w:r>
                <w:t>6.</w:t>
              </w:r>
              <w:r>
                <w:rPr>
                  <w:rFonts w:eastAsiaTheme="minorEastAsia" w:cstheme="minorBidi"/>
                  <w:i/>
                  <w:iCs/>
                  <w:kern w:val="2"/>
                  <w14:ligatures w14:val="standardContextual"/>
                </w:rPr>
                <w:tab/>
              </w:r>
              <w:r>
                <w:t>Financial Plan Statements</w:t>
              </w:r>
              <w:r>
                <w:tab/>
              </w:r>
              <w:r>
                <w:fldChar w:fldCharType="begin"/>
              </w:r>
              <w:r>
                <w:instrText xml:space="preserve"> PAGEREF _Toc211874591 \h </w:instrText>
              </w:r>
              <w:r>
                <w:fldChar w:fldCharType="separate"/>
              </w:r>
              <w:r>
                <w:t>17</w:t>
              </w:r>
              <w:r>
                <w:fldChar w:fldCharType="end"/>
              </w:r>
            </w:p>
            <w:p w14:paraId="7EC8A987" w14:textId="0F709FA7" w:rsidR="00263ABF" w:rsidRPr="008531FB" w:rsidRDefault="00263ABF" w:rsidP="008531FB">
              <w:pPr>
                <w:pStyle w:val="TOC2"/>
                <w:rPr>
                  <w:rFonts w:eastAsiaTheme="minorEastAsia" w:cstheme="minorBidi"/>
                  <w:kern w:val="2"/>
                  <w:sz w:val="24"/>
                  <w:szCs w:val="24"/>
                  <w14:ligatures w14:val="standardContextual"/>
                </w:rPr>
              </w:pPr>
              <w:r w:rsidRPr="008531FB">
                <w:t>6.1 Comprehensive Income Statement</w:t>
              </w:r>
              <w:r w:rsidRPr="008531FB">
                <w:tab/>
              </w:r>
              <w:r w:rsidRPr="008531FB">
                <w:fldChar w:fldCharType="begin"/>
              </w:r>
              <w:r w:rsidRPr="008531FB">
                <w:instrText xml:space="preserve"> PAGEREF _Toc211874592 \h </w:instrText>
              </w:r>
              <w:r w:rsidRPr="008531FB">
                <w:fldChar w:fldCharType="separate"/>
              </w:r>
              <w:r w:rsidRPr="008531FB">
                <w:t>18</w:t>
              </w:r>
              <w:r w:rsidRPr="008531FB">
                <w:fldChar w:fldCharType="end"/>
              </w:r>
            </w:p>
            <w:p w14:paraId="731CA3B0" w14:textId="7880371C" w:rsidR="00263ABF" w:rsidRPr="008531FB" w:rsidRDefault="00263ABF" w:rsidP="008531FB">
              <w:pPr>
                <w:pStyle w:val="TOC2"/>
                <w:rPr>
                  <w:rFonts w:eastAsiaTheme="minorEastAsia" w:cstheme="minorBidi"/>
                  <w:kern w:val="2"/>
                  <w:sz w:val="24"/>
                  <w:szCs w:val="24"/>
                  <w14:ligatures w14:val="standardContextual"/>
                </w:rPr>
              </w:pPr>
              <w:r w:rsidRPr="008531FB">
                <w:t>6.2 Balance Sheet</w:t>
              </w:r>
              <w:r w:rsidRPr="008531FB">
                <w:tab/>
              </w:r>
              <w:r w:rsidRPr="008531FB">
                <w:fldChar w:fldCharType="begin"/>
              </w:r>
              <w:r w:rsidRPr="008531FB">
                <w:instrText xml:space="preserve"> PAGEREF _Toc211874593 \h </w:instrText>
              </w:r>
              <w:r w:rsidRPr="008531FB">
                <w:fldChar w:fldCharType="separate"/>
              </w:r>
              <w:r w:rsidRPr="008531FB">
                <w:t>20</w:t>
              </w:r>
              <w:r w:rsidRPr="008531FB">
                <w:fldChar w:fldCharType="end"/>
              </w:r>
            </w:p>
            <w:p w14:paraId="2CC09CB0" w14:textId="495AACA9" w:rsidR="00263ABF" w:rsidRPr="008531FB" w:rsidRDefault="00263ABF" w:rsidP="008531FB">
              <w:pPr>
                <w:pStyle w:val="TOC2"/>
                <w:rPr>
                  <w:rFonts w:eastAsiaTheme="minorEastAsia" w:cstheme="minorBidi"/>
                  <w:kern w:val="2"/>
                  <w:sz w:val="24"/>
                  <w:szCs w:val="24"/>
                  <w14:ligatures w14:val="standardContextual"/>
                </w:rPr>
              </w:pPr>
              <w:r w:rsidRPr="008531FB">
                <w:t>6.3 Statement in Changes in Equity</w:t>
              </w:r>
              <w:r w:rsidRPr="008531FB">
                <w:tab/>
              </w:r>
              <w:r w:rsidRPr="008531FB">
                <w:fldChar w:fldCharType="begin"/>
              </w:r>
              <w:r w:rsidRPr="008531FB">
                <w:instrText xml:space="preserve"> PAGEREF _Toc211874594 \h </w:instrText>
              </w:r>
              <w:r w:rsidRPr="008531FB">
                <w:fldChar w:fldCharType="separate"/>
              </w:r>
              <w:r w:rsidRPr="008531FB">
                <w:t>22</w:t>
              </w:r>
              <w:r w:rsidRPr="008531FB">
                <w:fldChar w:fldCharType="end"/>
              </w:r>
            </w:p>
            <w:p w14:paraId="7447C840" w14:textId="7F8757B3" w:rsidR="00263ABF" w:rsidRPr="008531FB" w:rsidRDefault="00263ABF" w:rsidP="008531FB">
              <w:pPr>
                <w:pStyle w:val="TOC2"/>
                <w:rPr>
                  <w:rFonts w:eastAsiaTheme="minorEastAsia" w:cstheme="minorBidi"/>
                  <w:kern w:val="2"/>
                  <w:sz w:val="24"/>
                  <w:szCs w:val="24"/>
                  <w14:ligatures w14:val="standardContextual"/>
                </w:rPr>
              </w:pPr>
              <w:r w:rsidRPr="008531FB">
                <w:t>6.4 Statement of Cash Flows</w:t>
              </w:r>
              <w:r w:rsidRPr="008531FB">
                <w:tab/>
              </w:r>
              <w:r w:rsidRPr="008531FB">
                <w:fldChar w:fldCharType="begin"/>
              </w:r>
              <w:r w:rsidRPr="008531FB">
                <w:instrText xml:space="preserve"> PAGEREF _Toc211874595 \h </w:instrText>
              </w:r>
              <w:r w:rsidRPr="008531FB">
                <w:fldChar w:fldCharType="separate"/>
              </w:r>
              <w:r w:rsidRPr="008531FB">
                <w:t>25</w:t>
              </w:r>
              <w:r w:rsidRPr="008531FB">
                <w:fldChar w:fldCharType="end"/>
              </w:r>
            </w:p>
            <w:p w14:paraId="00DA47EC" w14:textId="557D94B4" w:rsidR="00263ABF" w:rsidRPr="008531FB" w:rsidRDefault="00263ABF" w:rsidP="008531FB">
              <w:pPr>
                <w:pStyle w:val="TOC2"/>
                <w:rPr>
                  <w:rFonts w:eastAsiaTheme="minorEastAsia" w:cstheme="minorBidi"/>
                  <w:kern w:val="2"/>
                  <w:sz w:val="24"/>
                  <w:szCs w:val="24"/>
                  <w14:ligatures w14:val="standardContextual"/>
                </w:rPr>
              </w:pPr>
              <w:r w:rsidRPr="008531FB">
                <w:t>6.5 Statement of Capital Works</w:t>
              </w:r>
              <w:r w:rsidRPr="008531FB">
                <w:tab/>
              </w:r>
              <w:r w:rsidRPr="008531FB">
                <w:fldChar w:fldCharType="begin"/>
              </w:r>
              <w:r w:rsidRPr="008531FB">
                <w:instrText xml:space="preserve"> PAGEREF _Toc211874596 \h </w:instrText>
              </w:r>
              <w:r w:rsidRPr="008531FB">
                <w:fldChar w:fldCharType="separate"/>
              </w:r>
              <w:r w:rsidRPr="008531FB">
                <w:t>27</w:t>
              </w:r>
              <w:r w:rsidRPr="008531FB">
                <w:fldChar w:fldCharType="end"/>
              </w:r>
            </w:p>
            <w:p w14:paraId="5105E833" w14:textId="235228E4" w:rsidR="00263ABF" w:rsidRPr="008531FB" w:rsidRDefault="00263ABF" w:rsidP="008531FB">
              <w:pPr>
                <w:pStyle w:val="TOC2"/>
                <w:rPr>
                  <w:rFonts w:eastAsiaTheme="minorEastAsia" w:cstheme="minorBidi"/>
                  <w:kern w:val="2"/>
                  <w:sz w:val="24"/>
                  <w:szCs w:val="24"/>
                  <w14:ligatures w14:val="standardContextual"/>
                </w:rPr>
              </w:pPr>
              <w:r w:rsidRPr="008531FB">
                <w:t>6.6 Statement of Human Resources</w:t>
              </w:r>
              <w:r w:rsidRPr="008531FB">
                <w:tab/>
              </w:r>
              <w:r w:rsidRPr="008531FB">
                <w:fldChar w:fldCharType="begin"/>
              </w:r>
              <w:r w:rsidRPr="008531FB">
                <w:instrText xml:space="preserve"> PAGEREF _Toc211874597 \h </w:instrText>
              </w:r>
              <w:r w:rsidRPr="008531FB">
                <w:fldChar w:fldCharType="separate"/>
              </w:r>
              <w:r w:rsidRPr="008531FB">
                <w:t>29</w:t>
              </w:r>
              <w:r w:rsidRPr="008531FB">
                <w:fldChar w:fldCharType="end"/>
              </w:r>
            </w:p>
            <w:p w14:paraId="6AA9C099" w14:textId="30A5B040" w:rsidR="00263ABF" w:rsidRPr="008531FB" w:rsidRDefault="00263ABF" w:rsidP="008531FB">
              <w:pPr>
                <w:pStyle w:val="TOC1"/>
                <w:rPr>
                  <w:rFonts w:eastAsiaTheme="minorEastAsia" w:cstheme="minorBidi"/>
                  <w:kern w:val="2"/>
                  <w14:ligatures w14:val="standardContextual"/>
                </w:rPr>
              </w:pPr>
              <w:r w:rsidRPr="008531FB">
                <w:t>7.</w:t>
              </w:r>
              <w:r w:rsidRPr="008531FB">
                <w:rPr>
                  <w:rFonts w:eastAsiaTheme="minorEastAsia" w:cstheme="minorBidi"/>
                  <w:kern w:val="2"/>
                  <w14:ligatures w14:val="standardContextual"/>
                </w:rPr>
                <w:tab/>
              </w:r>
              <w:r w:rsidRPr="008531FB">
                <w:t>Financial performance indicators</w:t>
              </w:r>
              <w:r w:rsidRPr="008531FB">
                <w:tab/>
              </w:r>
              <w:r w:rsidRPr="008531FB">
                <w:fldChar w:fldCharType="begin"/>
              </w:r>
              <w:r w:rsidRPr="008531FB">
                <w:instrText xml:space="preserve"> PAGEREF _Toc211874598 \h </w:instrText>
              </w:r>
              <w:r w:rsidRPr="008531FB">
                <w:fldChar w:fldCharType="separate"/>
              </w:r>
              <w:r w:rsidRPr="008531FB">
                <w:t>34</w:t>
              </w:r>
              <w:r w:rsidRPr="008531FB">
                <w:fldChar w:fldCharType="end"/>
              </w:r>
            </w:p>
            <w:p w14:paraId="0D4E8B3F" w14:textId="1C2F9F17" w:rsidR="00263ABF" w:rsidRPr="008531FB" w:rsidRDefault="00263ABF" w:rsidP="008531FB">
              <w:pPr>
                <w:pStyle w:val="TOC2"/>
                <w:rPr>
                  <w:rFonts w:eastAsiaTheme="minorEastAsia" w:cstheme="minorBidi"/>
                  <w:kern w:val="2"/>
                  <w:sz w:val="24"/>
                  <w:szCs w:val="24"/>
                  <w14:ligatures w14:val="standardContextual"/>
                </w:rPr>
              </w:pPr>
              <w:r w:rsidRPr="008531FB">
                <w:t>7.1 Key performance indicators</w:t>
              </w:r>
              <w:r w:rsidRPr="008531FB">
                <w:tab/>
              </w:r>
              <w:r w:rsidRPr="008531FB">
                <w:fldChar w:fldCharType="begin"/>
              </w:r>
              <w:r w:rsidRPr="008531FB">
                <w:instrText xml:space="preserve"> PAGEREF _Toc211874599 \h </w:instrText>
              </w:r>
              <w:r w:rsidRPr="008531FB">
                <w:fldChar w:fldCharType="separate"/>
              </w:r>
              <w:r w:rsidRPr="008531FB">
                <w:t>34</w:t>
              </w:r>
              <w:r w:rsidRPr="008531FB">
                <w:fldChar w:fldCharType="end"/>
              </w:r>
            </w:p>
            <w:p w14:paraId="1940A550" w14:textId="4279CC17" w:rsidR="00263ABF" w:rsidRPr="008531FB" w:rsidRDefault="00263ABF" w:rsidP="008531FB">
              <w:pPr>
                <w:pStyle w:val="TOC1"/>
                <w:rPr>
                  <w:rFonts w:eastAsiaTheme="minorEastAsia" w:cstheme="minorBidi"/>
                  <w:kern w:val="2"/>
                  <w14:ligatures w14:val="standardContextual"/>
                </w:rPr>
              </w:pPr>
              <w:r w:rsidRPr="008531FB">
                <w:t>8. Notes to indicators</w:t>
              </w:r>
              <w:r w:rsidRPr="008531FB">
                <w:tab/>
              </w:r>
              <w:r w:rsidRPr="008531FB">
                <w:fldChar w:fldCharType="begin"/>
              </w:r>
              <w:r w:rsidRPr="008531FB">
                <w:instrText xml:space="preserve"> PAGEREF _Toc211874600 \h </w:instrText>
              </w:r>
              <w:r w:rsidRPr="008531FB">
                <w:fldChar w:fldCharType="separate"/>
              </w:r>
              <w:r w:rsidRPr="008531FB">
                <w:t>36</w:t>
              </w:r>
              <w:r w:rsidRPr="008531FB">
                <w:fldChar w:fldCharType="end"/>
              </w:r>
            </w:p>
            <w:p w14:paraId="6012B518" w14:textId="2DFDA6E5" w:rsidR="00263ABF" w:rsidRPr="008531FB" w:rsidRDefault="00263ABF" w:rsidP="008531FB">
              <w:pPr>
                <w:pStyle w:val="TOC1"/>
                <w:rPr>
                  <w:rFonts w:eastAsiaTheme="minorEastAsia" w:cstheme="minorBidi"/>
                  <w:kern w:val="2"/>
                  <w14:ligatures w14:val="standardContextual"/>
                </w:rPr>
              </w:pPr>
              <w:r w:rsidRPr="008531FB">
                <w:t>9. Strategies and plans</w:t>
              </w:r>
              <w:r w:rsidRPr="008531FB">
                <w:tab/>
              </w:r>
              <w:r w:rsidRPr="008531FB">
                <w:fldChar w:fldCharType="begin"/>
              </w:r>
              <w:r w:rsidRPr="008531FB">
                <w:instrText xml:space="preserve"> PAGEREF _Toc211874601 \h </w:instrText>
              </w:r>
              <w:r w:rsidRPr="008531FB">
                <w:fldChar w:fldCharType="separate"/>
              </w:r>
              <w:r w:rsidRPr="008531FB">
                <w:t>37</w:t>
              </w:r>
              <w:r w:rsidRPr="008531FB">
                <w:fldChar w:fldCharType="end"/>
              </w:r>
            </w:p>
            <w:p w14:paraId="48BA3B0D" w14:textId="34CC5F24" w:rsidR="00263ABF" w:rsidRDefault="00263ABF" w:rsidP="008531FB">
              <w:pPr>
                <w:pStyle w:val="TOC2"/>
                <w:rPr>
                  <w:rFonts w:eastAsiaTheme="minorEastAsia" w:cstheme="minorBidi"/>
                  <w:b/>
                  <w:bCs/>
                  <w:kern w:val="2"/>
                  <w:sz w:val="24"/>
                  <w:szCs w:val="24"/>
                  <w14:ligatures w14:val="standardContextual"/>
                </w:rPr>
              </w:pPr>
              <w:r>
                <w:t>9.1 Borrowing strategy</w:t>
              </w:r>
              <w:r>
                <w:tab/>
              </w:r>
              <w:r>
                <w:fldChar w:fldCharType="begin"/>
              </w:r>
              <w:r>
                <w:instrText xml:space="preserve"> PAGEREF _Toc211874602 \h </w:instrText>
              </w:r>
              <w:r>
                <w:fldChar w:fldCharType="separate"/>
              </w:r>
              <w:r>
                <w:t>37</w:t>
              </w:r>
              <w:r>
                <w:fldChar w:fldCharType="end"/>
              </w:r>
            </w:p>
            <w:p w14:paraId="2B7839B1" w14:textId="5B5F3FE8" w:rsidR="00263ABF" w:rsidRDefault="00263ABF" w:rsidP="008531FB">
              <w:pPr>
                <w:pStyle w:val="TOC2"/>
                <w:rPr>
                  <w:rFonts w:eastAsiaTheme="minorEastAsia" w:cstheme="minorBidi"/>
                  <w:b/>
                  <w:bCs/>
                  <w:kern w:val="2"/>
                  <w:sz w:val="24"/>
                  <w:szCs w:val="24"/>
                  <w14:ligatures w14:val="standardContextual"/>
                </w:rPr>
              </w:pPr>
              <w:r>
                <w:t>9.2 Reserves strategy</w:t>
              </w:r>
              <w:r>
                <w:tab/>
              </w:r>
              <w:r>
                <w:fldChar w:fldCharType="begin"/>
              </w:r>
              <w:r>
                <w:instrText xml:space="preserve"> PAGEREF _Toc211874603 \h </w:instrText>
              </w:r>
              <w:r>
                <w:fldChar w:fldCharType="separate"/>
              </w:r>
              <w:r>
                <w:t>38</w:t>
              </w:r>
              <w:r>
                <w:fldChar w:fldCharType="end"/>
              </w:r>
            </w:p>
            <w:p w14:paraId="3E49F838" w14:textId="1AA9E903" w:rsidR="00263ABF" w:rsidRDefault="00BE5B36" w:rsidP="008531FB">
              <w:pPr>
                <w:pStyle w:val="TOC2"/>
                <w:rPr>
                  <w:rFonts w:eastAsiaTheme="minorEastAsia" w:cstheme="minorBidi"/>
                  <w:b/>
                  <w:bCs/>
                  <w:kern w:val="2"/>
                  <w:sz w:val="24"/>
                  <w:szCs w:val="24"/>
                  <w14:ligatures w14:val="standardContextual"/>
                </w:rPr>
              </w:pPr>
              <w:r>
                <w:t xml:space="preserve">9.3 </w:t>
              </w:r>
              <w:r w:rsidR="00263ABF">
                <w:t>Investment strategy</w:t>
              </w:r>
              <w:r w:rsidR="00263ABF">
                <w:tab/>
              </w:r>
              <w:r w:rsidR="00263ABF">
                <w:fldChar w:fldCharType="begin"/>
              </w:r>
              <w:r w:rsidR="00263ABF">
                <w:instrText xml:space="preserve"> PAGEREF _Toc211874604 \h </w:instrText>
              </w:r>
              <w:r w:rsidR="00263ABF">
                <w:fldChar w:fldCharType="separate"/>
              </w:r>
              <w:r w:rsidR="00263ABF">
                <w:t>39</w:t>
              </w:r>
              <w:r w:rsidR="00263ABF">
                <w:fldChar w:fldCharType="end"/>
              </w:r>
            </w:p>
            <w:p w14:paraId="249CFDDF" w14:textId="36C449AC" w:rsidR="0022670C" w:rsidRPr="0022670C" w:rsidRDefault="0022670C">
              <w:pPr>
                <w:rPr>
                  <w:rFonts w:ascii="Garamond" w:hAnsi="Garamond"/>
                  <w:caps/>
                  <w:sz w:val="24"/>
                  <w:szCs w:val="24"/>
                </w:rPr>
              </w:pPr>
              <w:r>
                <w:rPr>
                  <w:rFonts w:ascii="Garamond" w:hAnsi="Garamond"/>
                  <w:caps/>
                  <w:sz w:val="24"/>
                  <w:szCs w:val="24"/>
                </w:rPr>
                <w:fldChar w:fldCharType="end"/>
              </w:r>
            </w:p>
          </w:sdtContent>
        </w:sdt>
        <w:p w14:paraId="16320FEF" w14:textId="0D6CDE68" w:rsidR="0040173D" w:rsidRPr="00082E72" w:rsidRDefault="00000000" w:rsidP="0040173D">
          <w:pPr>
            <w:spacing w:after="0"/>
            <w:ind w:left="-339" w:right="-354"/>
          </w:pPr>
        </w:p>
      </w:sdtContent>
    </w:sdt>
    <w:p w14:paraId="6A63BB0D" w14:textId="0EE71374" w:rsidR="00D75DC0" w:rsidRPr="0022670C" w:rsidRDefault="00D75DC0" w:rsidP="0022670C">
      <w:pPr>
        <w:pStyle w:val="Heading1"/>
        <w:numPr>
          <w:ilvl w:val="0"/>
          <w:numId w:val="28"/>
        </w:numPr>
      </w:pPr>
      <w:bookmarkStart w:id="0" w:name="_Toc210205618"/>
      <w:bookmarkStart w:id="1" w:name="_Toc211874572"/>
      <w:r w:rsidRPr="0022670C">
        <w:t>Executive Summary</w:t>
      </w:r>
      <w:bookmarkEnd w:id="0"/>
      <w:bookmarkEnd w:id="1"/>
    </w:p>
    <w:p w14:paraId="6DDFB8CD" w14:textId="77777777" w:rsidR="0011054F" w:rsidRPr="0022670C" w:rsidRDefault="0011054F" w:rsidP="0011054F">
      <w:pPr>
        <w:rPr>
          <w:lang w:eastAsia="en-US"/>
        </w:rPr>
      </w:pPr>
      <w:r w:rsidRPr="0022670C">
        <w:rPr>
          <w:lang w:eastAsia="en-US"/>
        </w:rPr>
        <w:t>The Financial Plan is a foundational document guided by key principles and performance indicators. It provides a long-term financial forecast designed to support Council’s financial sustainability throughout the life of the Plan.</w:t>
      </w:r>
    </w:p>
    <w:p w14:paraId="2AEFBB9A" w14:textId="77777777" w:rsidR="0011054F" w:rsidRPr="0022670C" w:rsidRDefault="0011054F" w:rsidP="0011054F">
      <w:pPr>
        <w:rPr>
          <w:lang w:eastAsia="en-US"/>
        </w:rPr>
      </w:pPr>
      <w:r w:rsidRPr="0022670C">
        <w:rPr>
          <w:lang w:eastAsia="en-US"/>
        </w:rPr>
        <w:t>While the broader economic environment shows signs of stability, market volatility continues to influence cost-of-living pressures within our community. In response, Council remains focused on community affordability, financial responsibility, and maintaining long-term financial sustainability in this challenging climate. This Plan has been developed with a dual focus: addressing short-term economic influences while preparing for longer-term challenges and impacts.</w:t>
      </w:r>
    </w:p>
    <w:p w14:paraId="021C9A50" w14:textId="18AEE64E" w:rsidR="0011054F" w:rsidRPr="0022670C" w:rsidRDefault="0011054F" w:rsidP="0011054F">
      <w:pPr>
        <w:rPr>
          <w:lang w:eastAsia="en-US"/>
        </w:rPr>
      </w:pPr>
      <w:r w:rsidRPr="0022670C">
        <w:rPr>
          <w:lang w:eastAsia="en-US"/>
        </w:rPr>
        <w:t>Council continues to invest in core services that deliver high value to the community</w:t>
      </w:r>
      <w:r w:rsidR="00974494" w:rsidRPr="0022670C">
        <w:rPr>
          <w:lang w:eastAsia="en-US"/>
        </w:rPr>
        <w:t xml:space="preserve"> </w:t>
      </w:r>
      <w:r w:rsidRPr="0022670C">
        <w:rPr>
          <w:lang w:eastAsia="en-US"/>
        </w:rPr>
        <w:t>—</w:t>
      </w:r>
      <w:r w:rsidR="00974494" w:rsidRPr="0022670C">
        <w:rPr>
          <w:lang w:eastAsia="en-US"/>
        </w:rPr>
        <w:t xml:space="preserve"> </w:t>
      </w:r>
      <w:r w:rsidRPr="0022670C">
        <w:rPr>
          <w:lang w:eastAsia="en-US"/>
        </w:rPr>
        <w:t xml:space="preserve">such as maintaining unsealed roads, enhancing existing assets, supporting community growth, and delivering essential services. However, rising delivery costs are placing significant pressure on Council’s resources, making it increasingly difficult to maintain current service and infrastructure levels while meeting </w:t>
      </w:r>
      <w:r w:rsidR="00995EF1" w:rsidRPr="0022670C">
        <w:rPr>
          <w:lang w:eastAsia="en-US"/>
        </w:rPr>
        <w:t xml:space="preserve">the growing </w:t>
      </w:r>
      <w:r w:rsidRPr="0022670C">
        <w:rPr>
          <w:lang w:eastAsia="en-US"/>
        </w:rPr>
        <w:t>community expectations.</w:t>
      </w:r>
    </w:p>
    <w:p w14:paraId="4701D518" w14:textId="77777777" w:rsidR="0011054F" w:rsidRPr="0022670C" w:rsidRDefault="0011054F" w:rsidP="0011054F">
      <w:pPr>
        <w:rPr>
          <w:lang w:eastAsia="en-US"/>
        </w:rPr>
      </w:pPr>
      <w:r w:rsidRPr="0022670C">
        <w:rPr>
          <w:lang w:eastAsia="en-US"/>
        </w:rPr>
        <w:t>With limited revenue sources, Council relies primarily on rates as its main funding stream. Under the Fair Go Rates System, the State Government sets annual rate increase limits, typically aligned with the Consumer Price Index (CPI). This approach presents challenges, as the cost of delivering services and infrastructure is rising faster than CPI-linked revenue growth, resulting in a widening gap between income and expenditure. Council continues to seek efficiencies and improvements to maintain service levels while managing costs.</w:t>
      </w:r>
    </w:p>
    <w:p w14:paraId="682E95CE" w14:textId="17A0D3E3" w:rsidR="0011054F" w:rsidRPr="0022670C" w:rsidRDefault="0011054F" w:rsidP="0011054F">
      <w:pPr>
        <w:rPr>
          <w:lang w:eastAsia="en-US"/>
        </w:rPr>
      </w:pPr>
      <w:r w:rsidRPr="0022670C">
        <w:rPr>
          <w:lang w:eastAsia="en-US"/>
        </w:rPr>
        <w:t xml:space="preserve">The financial projections within this Plan are informed by data from the </w:t>
      </w:r>
      <w:r w:rsidR="008F0D9F" w:rsidRPr="0022670C">
        <w:rPr>
          <w:lang w:eastAsia="en-US"/>
        </w:rPr>
        <w:t xml:space="preserve">State </w:t>
      </w:r>
      <w:r w:rsidRPr="0022670C">
        <w:rPr>
          <w:lang w:eastAsia="en-US"/>
        </w:rPr>
        <w:t>Department of Treasury and Finance and other key sources. Council will continue to monitor and adapt its financial strategies to ensure the best outcomes for the community and the ongoing sustainability of Council operations.</w:t>
      </w:r>
    </w:p>
    <w:p w14:paraId="58CECFC0" w14:textId="77777777" w:rsidR="0011054F" w:rsidRPr="0022670C" w:rsidRDefault="0011054F" w:rsidP="0011054F">
      <w:pPr>
        <w:rPr>
          <w:lang w:eastAsia="en-US"/>
        </w:rPr>
      </w:pPr>
      <w:r w:rsidRPr="0022670C">
        <w:rPr>
          <w:lang w:eastAsia="en-US"/>
        </w:rPr>
        <w:t>Community consultation has played a vital role in shaping this Plan. In response to community feedback, the Plan incorporates operational efficiencies aimed at keeping costs low while delivering high-value services and programs.</w:t>
      </w:r>
    </w:p>
    <w:p w14:paraId="47BEB811" w14:textId="7E59FB7E" w:rsidR="00D75DC0" w:rsidRDefault="0011054F" w:rsidP="0011054F">
      <w:pPr>
        <w:rPr>
          <w:rFonts w:ascii="Franklin Gothic Demi" w:eastAsiaTheme="majorEastAsia" w:hAnsi="Franklin Gothic Demi" w:cstheme="majorBidi"/>
          <w:sz w:val="28"/>
          <w:szCs w:val="26"/>
          <w:lang w:eastAsia="en-US"/>
        </w:rPr>
      </w:pPr>
      <w:r w:rsidRPr="0022670C">
        <w:rPr>
          <w:lang w:eastAsia="en-US"/>
        </w:rPr>
        <w:t>Council believes this Financial Plan strikes a responsible balance</w:t>
      </w:r>
      <w:r w:rsidR="00BC0906" w:rsidRPr="0022670C">
        <w:rPr>
          <w:lang w:eastAsia="en-US"/>
        </w:rPr>
        <w:t xml:space="preserve"> </w:t>
      </w:r>
      <w:r w:rsidRPr="0022670C">
        <w:rPr>
          <w:lang w:eastAsia="en-US"/>
        </w:rPr>
        <w:t>—</w:t>
      </w:r>
      <w:r w:rsidR="00BC0906" w:rsidRPr="0022670C">
        <w:rPr>
          <w:lang w:eastAsia="en-US"/>
        </w:rPr>
        <w:t xml:space="preserve"> </w:t>
      </w:r>
      <w:r w:rsidRPr="0022670C">
        <w:rPr>
          <w:lang w:eastAsia="en-US"/>
        </w:rPr>
        <w:t>ensuring the continued delivery of core services, infrastructure, and assets that are valued by our community.</w:t>
      </w:r>
      <w:r w:rsidR="00D75DC0">
        <w:br w:type="page"/>
      </w:r>
    </w:p>
    <w:p w14:paraId="07162F5A" w14:textId="71DD9A79" w:rsidR="0040173D" w:rsidRPr="00082E72" w:rsidRDefault="00D32C9D" w:rsidP="0022670C">
      <w:pPr>
        <w:pStyle w:val="Heading1"/>
        <w:numPr>
          <w:ilvl w:val="0"/>
          <w:numId w:val="28"/>
        </w:numPr>
      </w:pPr>
      <w:bookmarkStart w:id="2" w:name="_Toc210205619"/>
      <w:bookmarkStart w:id="3" w:name="_Toc211874573"/>
      <w:r>
        <w:lastRenderedPageBreak/>
        <w:t>Legislative requirements</w:t>
      </w:r>
      <w:bookmarkEnd w:id="2"/>
      <w:bookmarkEnd w:id="3"/>
    </w:p>
    <w:p w14:paraId="3C5B6127" w14:textId="50E4E196" w:rsidR="00706017" w:rsidRDefault="0022670C" w:rsidP="0022670C">
      <w:pPr>
        <w:pStyle w:val="Heading2"/>
      </w:pPr>
      <w:bookmarkStart w:id="4" w:name="_Toc210205620"/>
      <w:bookmarkStart w:id="5" w:name="_Toc211874574"/>
      <w:r>
        <w:t xml:space="preserve">2.1 </w:t>
      </w:r>
      <w:r w:rsidR="00585FA2">
        <w:t>Integrated Strategic Reporting Framework</w:t>
      </w:r>
      <w:bookmarkEnd w:id="4"/>
      <w:bookmarkEnd w:id="5"/>
    </w:p>
    <w:p w14:paraId="778A311F" w14:textId="203C176D" w:rsidR="0040173D" w:rsidRDefault="00926FBB" w:rsidP="0040173D">
      <w:pPr>
        <w:spacing w:after="4" w:line="269" w:lineRule="auto"/>
        <w:ind w:left="17" w:right="15"/>
        <w:jc w:val="both"/>
      </w:pPr>
      <w:r>
        <w:t xml:space="preserve">The </w:t>
      </w:r>
      <w:r>
        <w:rPr>
          <w:i/>
          <w:iCs/>
        </w:rPr>
        <w:t xml:space="preserve">Local Government Act 2020 </w:t>
      </w:r>
      <w:r w:rsidRPr="00926FBB">
        <w:t>(the Act)</w:t>
      </w:r>
      <w:r>
        <w:t xml:space="preserve"> requires councils to prepare a Lon</w:t>
      </w:r>
      <w:r w:rsidR="00E47653">
        <w:t>g-Term financial Plan (the Financial Plan) in the year following a general election.</w:t>
      </w:r>
    </w:p>
    <w:p w14:paraId="12455BA9" w14:textId="15758D38" w:rsidR="00E47653" w:rsidRDefault="00E47653" w:rsidP="0040173D">
      <w:pPr>
        <w:spacing w:after="4" w:line="269" w:lineRule="auto"/>
        <w:ind w:left="17" w:right="15"/>
        <w:jc w:val="both"/>
      </w:pPr>
      <w:r>
        <w:t xml:space="preserve">The </w:t>
      </w:r>
      <w:r w:rsidR="00FA6086">
        <w:t>Integrated Planning and Reporting Framework guides Council in identifying community needs and aspirations</w:t>
      </w:r>
      <w:r w:rsidR="00C23391">
        <w:t xml:space="preserve"> over:</w:t>
      </w:r>
    </w:p>
    <w:p w14:paraId="679BE5DB" w14:textId="6F04D427" w:rsidR="00C23391" w:rsidRDefault="00C23391" w:rsidP="00A616C2">
      <w:pPr>
        <w:pStyle w:val="ListParagraph"/>
        <w:numPr>
          <w:ilvl w:val="0"/>
          <w:numId w:val="7"/>
        </w:numPr>
        <w:spacing w:after="4" w:line="269" w:lineRule="auto"/>
        <w:ind w:right="15"/>
        <w:jc w:val="both"/>
      </w:pPr>
      <w:r>
        <w:t xml:space="preserve">The long-term through the Community Vision, Asset Plan and Financial </w:t>
      </w:r>
      <w:proofErr w:type="gramStart"/>
      <w:r>
        <w:t>Plan;</w:t>
      </w:r>
      <w:proofErr w:type="gramEnd"/>
    </w:p>
    <w:p w14:paraId="25D0282A" w14:textId="53AFA02F" w:rsidR="00C23391" w:rsidRDefault="00C23391" w:rsidP="00A616C2">
      <w:pPr>
        <w:pStyle w:val="ListParagraph"/>
        <w:numPr>
          <w:ilvl w:val="0"/>
          <w:numId w:val="7"/>
        </w:numPr>
        <w:spacing w:after="4" w:line="269" w:lineRule="auto"/>
        <w:ind w:right="15"/>
        <w:jc w:val="both"/>
      </w:pPr>
      <w:r>
        <w:t>The medium-term through the Council Plan, Workforce Plan, and Revenue and Rating Plan; and</w:t>
      </w:r>
    </w:p>
    <w:p w14:paraId="731C87F3" w14:textId="2220AACD" w:rsidR="00C23391" w:rsidRPr="00926FBB" w:rsidRDefault="00C23391" w:rsidP="00A616C2">
      <w:pPr>
        <w:pStyle w:val="ListParagraph"/>
        <w:numPr>
          <w:ilvl w:val="0"/>
          <w:numId w:val="7"/>
        </w:numPr>
        <w:spacing w:after="4" w:line="269" w:lineRule="auto"/>
        <w:ind w:right="15"/>
        <w:jc w:val="both"/>
      </w:pPr>
      <w:r>
        <w:t>The short-term through the Annual Budget.</w:t>
      </w:r>
    </w:p>
    <w:p w14:paraId="0B8B5E76" w14:textId="0CAC3A7C" w:rsidR="0040173D" w:rsidRDefault="00BE673B" w:rsidP="00314687">
      <w:pPr>
        <w:rPr>
          <w:rFonts w:eastAsia="Arial"/>
        </w:rPr>
      </w:pPr>
      <w:r>
        <w:rPr>
          <w:rFonts w:eastAsia="Arial"/>
        </w:rPr>
        <w:t>The following diagram provides an overview of the core legislated elements of an integrated strategic planning and reporting framework and outcomes</w:t>
      </w:r>
      <w:r w:rsidR="00263400">
        <w:rPr>
          <w:rFonts w:eastAsia="Arial"/>
        </w:rPr>
        <w:t xml:space="preserve">. </w:t>
      </w:r>
      <w:r w:rsidR="009523E3">
        <w:rPr>
          <w:rFonts w:eastAsia="Arial"/>
        </w:rPr>
        <w:t>The timing of each component of the integrated planning framework is critical to the successful achievement of planned outcomes.</w:t>
      </w:r>
    </w:p>
    <w:p w14:paraId="134851DE" w14:textId="49E8EFD2" w:rsidR="008675D7" w:rsidRDefault="00AE0727" w:rsidP="00314687">
      <w:pPr>
        <w:rPr>
          <w:rFonts w:eastAsia="Arial"/>
        </w:rPr>
      </w:pPr>
      <w:r w:rsidRPr="00AE0727">
        <w:rPr>
          <w:rFonts w:eastAsia="Arial"/>
          <w:noProof/>
        </w:rPr>
        <w:drawing>
          <wp:inline distT="0" distB="0" distL="0" distR="0" wp14:anchorId="084531F2" wp14:editId="76C7C9E0">
            <wp:extent cx="5947576" cy="3892550"/>
            <wp:effectExtent l="0" t="0" r="0" b="0"/>
            <wp:docPr id="1677375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75246" name=""/>
                    <pic:cNvPicPr/>
                  </pic:nvPicPr>
                  <pic:blipFill>
                    <a:blip r:embed="rId16"/>
                    <a:stretch>
                      <a:fillRect/>
                    </a:stretch>
                  </pic:blipFill>
                  <pic:spPr>
                    <a:xfrm>
                      <a:off x="0" y="0"/>
                      <a:ext cx="5950768" cy="3894639"/>
                    </a:xfrm>
                    <a:prstGeom prst="rect">
                      <a:avLst/>
                    </a:prstGeom>
                  </pic:spPr>
                </pic:pic>
              </a:graphicData>
            </a:graphic>
          </wp:inline>
        </w:drawing>
      </w:r>
    </w:p>
    <w:p w14:paraId="16D9BCC2" w14:textId="77777777" w:rsidR="006E2FF7" w:rsidRDefault="006E2FF7">
      <w:pPr>
        <w:rPr>
          <w:rFonts w:ascii="Arial" w:eastAsia="Arial" w:hAnsi="Arial" w:cs="Arial"/>
          <w:sz w:val="18"/>
        </w:rPr>
      </w:pPr>
      <w:r>
        <w:rPr>
          <w:rFonts w:ascii="Arial" w:eastAsia="Arial" w:hAnsi="Arial" w:cs="Arial"/>
          <w:sz w:val="18"/>
        </w:rPr>
        <w:br w:type="page"/>
      </w:r>
    </w:p>
    <w:p w14:paraId="4B0B282B" w14:textId="6E05BDC2" w:rsidR="006E2FF7" w:rsidRPr="006E2FF7" w:rsidRDefault="0022670C" w:rsidP="0022670C">
      <w:pPr>
        <w:pStyle w:val="Heading2"/>
      </w:pPr>
      <w:bookmarkStart w:id="6" w:name="_Toc210205621"/>
      <w:bookmarkStart w:id="7" w:name="_Toc211874575"/>
      <w:r>
        <w:lastRenderedPageBreak/>
        <w:t xml:space="preserve">2.2 </w:t>
      </w:r>
      <w:r w:rsidR="00585FA2" w:rsidRPr="006E2FF7">
        <w:t xml:space="preserve">Statement </w:t>
      </w:r>
      <w:proofErr w:type="gramStart"/>
      <w:r w:rsidR="00585FA2" w:rsidRPr="006E2FF7">
        <w:t>Of</w:t>
      </w:r>
      <w:proofErr w:type="gramEnd"/>
      <w:r w:rsidR="00585FA2" w:rsidRPr="006E2FF7">
        <w:t xml:space="preserve"> Commitment to Gender Equality </w:t>
      </w:r>
      <w:r w:rsidR="00585FA2">
        <w:t>i</w:t>
      </w:r>
      <w:r w:rsidR="00585FA2" w:rsidRPr="006E2FF7">
        <w:t>n Financial Planning</w:t>
      </w:r>
      <w:bookmarkEnd w:id="6"/>
      <w:bookmarkEnd w:id="7"/>
    </w:p>
    <w:p w14:paraId="50D1CD6A" w14:textId="77777777" w:rsidR="006E2FF7" w:rsidRPr="006E2FF7" w:rsidRDefault="006E2FF7" w:rsidP="00123818">
      <w:pPr>
        <w:rPr>
          <w:rFonts w:eastAsia="Arial"/>
        </w:rPr>
      </w:pPr>
      <w:r w:rsidRPr="006E2FF7">
        <w:rPr>
          <w:rFonts w:eastAsia="Arial"/>
        </w:rPr>
        <w:t>Cardinia Shire Council recognises that our financial decisions and budget allocations have significant impacts on gender equality and community equity. We are committed to applying a gender equality lens to our 10-year Financial Plan, ensuring public resources are distributed fairly and support the diverse needs of our growing community.</w:t>
      </w:r>
    </w:p>
    <w:p w14:paraId="062ED5DE" w14:textId="77777777" w:rsidR="006E2FF7" w:rsidRPr="006E2FF7" w:rsidRDefault="006E2FF7" w:rsidP="00585FA2">
      <w:pPr>
        <w:rPr>
          <w:rFonts w:eastAsia="Arial"/>
        </w:rPr>
      </w:pPr>
      <w:r w:rsidRPr="006E2FF7">
        <w:rPr>
          <w:rFonts w:eastAsia="Arial"/>
        </w:rPr>
        <w:t>We acknowledge that budget decisions about service funding, delivery models, and resource allocation can either reinforce or address existing inequalities. Women, men, and gender-diverse people often have different needs for Council services, and these differences intersect with other factors including age, disability, cultural background, caring responsibilities, and economic circumstances.</w:t>
      </w:r>
    </w:p>
    <w:p w14:paraId="271F2C5A" w14:textId="77777777" w:rsidR="006E2FF7" w:rsidRPr="006E2FF7" w:rsidRDefault="006E2FF7" w:rsidP="00585FA2">
      <w:pPr>
        <w:rPr>
          <w:rFonts w:eastAsia="Arial"/>
        </w:rPr>
      </w:pPr>
      <w:r w:rsidRPr="006E2FF7">
        <w:rPr>
          <w:rFonts w:eastAsia="Arial"/>
        </w:rPr>
        <w:t>Our commitment includes:</w:t>
      </w:r>
    </w:p>
    <w:p w14:paraId="785EA4F2" w14:textId="24C7AEA2" w:rsidR="006E2FF7" w:rsidRPr="0022670C" w:rsidRDefault="006E2FF7" w:rsidP="0022670C">
      <w:pPr>
        <w:pStyle w:val="ListParagraph"/>
        <w:numPr>
          <w:ilvl w:val="0"/>
          <w:numId w:val="25"/>
        </w:numPr>
        <w:ind w:left="714" w:hanging="357"/>
        <w:contextualSpacing w:val="0"/>
        <w:rPr>
          <w:rFonts w:eastAsia="Arial"/>
        </w:rPr>
      </w:pPr>
      <w:r w:rsidRPr="0022670C">
        <w:rPr>
          <w:rFonts w:eastAsia="Arial"/>
          <w:b/>
          <w:bCs/>
        </w:rPr>
        <w:t xml:space="preserve">Equitable Resource Allocation: </w:t>
      </w:r>
      <w:r w:rsidR="00D05C8A" w:rsidRPr="0022670C">
        <w:rPr>
          <w:rFonts w:eastAsia="Arial"/>
          <w:b/>
          <w:bCs/>
        </w:rPr>
        <w:t xml:space="preserve"> </w:t>
      </w:r>
      <w:r w:rsidRPr="0022670C">
        <w:rPr>
          <w:rFonts w:eastAsia="Arial"/>
        </w:rPr>
        <w:t>Ensuring budget allocations across community services, infrastructure, recreation, economic development, and emergency services consider and address gendered impacts and needs.</w:t>
      </w:r>
    </w:p>
    <w:p w14:paraId="6BE2CFA3" w14:textId="48273FCE" w:rsidR="006E2FF7" w:rsidRPr="0022670C" w:rsidRDefault="006E2FF7" w:rsidP="0022670C">
      <w:pPr>
        <w:pStyle w:val="ListParagraph"/>
        <w:numPr>
          <w:ilvl w:val="0"/>
          <w:numId w:val="25"/>
        </w:numPr>
        <w:ind w:left="714" w:hanging="357"/>
        <w:contextualSpacing w:val="0"/>
        <w:rPr>
          <w:rFonts w:eastAsia="Arial"/>
        </w:rPr>
      </w:pPr>
      <w:r w:rsidRPr="0022670C">
        <w:rPr>
          <w:rFonts w:eastAsia="Arial"/>
          <w:b/>
          <w:bCs/>
        </w:rPr>
        <w:t xml:space="preserve">Inclusive Service Investment: </w:t>
      </w:r>
      <w:r w:rsidR="00D05C8A" w:rsidRPr="0022670C">
        <w:rPr>
          <w:rFonts w:eastAsia="Arial"/>
          <w:b/>
          <w:bCs/>
        </w:rPr>
        <w:t xml:space="preserve"> </w:t>
      </w:r>
      <w:r w:rsidRPr="0022670C">
        <w:rPr>
          <w:rFonts w:eastAsia="Arial"/>
        </w:rPr>
        <w:t>Prioritising funding for services and programs that support gender equality, including those addressing family violence prevention, women's safety, accessible childcare, and diverse recreational opportunities.</w:t>
      </w:r>
    </w:p>
    <w:p w14:paraId="71F0463C" w14:textId="60AF8251" w:rsidR="006E2FF7" w:rsidRPr="0022670C" w:rsidRDefault="006E2FF7" w:rsidP="0022670C">
      <w:pPr>
        <w:pStyle w:val="ListParagraph"/>
        <w:numPr>
          <w:ilvl w:val="0"/>
          <w:numId w:val="25"/>
        </w:numPr>
        <w:ind w:left="714" w:hanging="357"/>
        <w:contextualSpacing w:val="0"/>
        <w:rPr>
          <w:rFonts w:eastAsia="Arial"/>
        </w:rPr>
      </w:pPr>
      <w:r w:rsidRPr="0022670C">
        <w:rPr>
          <w:rFonts w:eastAsia="Arial"/>
          <w:b/>
          <w:bCs/>
        </w:rPr>
        <w:t xml:space="preserve">Evidence-Based Decision Making: </w:t>
      </w:r>
      <w:r w:rsidR="00D05C8A" w:rsidRPr="0022670C">
        <w:rPr>
          <w:rFonts w:eastAsia="Arial"/>
          <w:b/>
          <w:bCs/>
        </w:rPr>
        <w:t xml:space="preserve"> </w:t>
      </w:r>
      <w:r w:rsidRPr="0022670C">
        <w:rPr>
          <w:rFonts w:eastAsia="Arial"/>
        </w:rPr>
        <w:t>Using gender-disaggregated data and Gender Impact Assessments to inform budget priorities, service scope decisions, and delivery model choices.</w:t>
      </w:r>
    </w:p>
    <w:p w14:paraId="329073B2" w14:textId="52DF6EEE" w:rsidR="006E2FF7" w:rsidRPr="0022670C" w:rsidRDefault="006E2FF7" w:rsidP="0022670C">
      <w:pPr>
        <w:pStyle w:val="ListParagraph"/>
        <w:numPr>
          <w:ilvl w:val="0"/>
          <w:numId w:val="25"/>
        </w:numPr>
        <w:ind w:left="714" w:hanging="357"/>
        <w:contextualSpacing w:val="0"/>
        <w:rPr>
          <w:rFonts w:eastAsia="Arial"/>
        </w:rPr>
      </w:pPr>
      <w:r w:rsidRPr="0022670C">
        <w:rPr>
          <w:rFonts w:eastAsia="Arial"/>
          <w:b/>
          <w:bCs/>
        </w:rPr>
        <w:t xml:space="preserve">Transparent Accountability: </w:t>
      </w:r>
      <w:r w:rsidR="00D05C8A" w:rsidRPr="0022670C">
        <w:rPr>
          <w:rFonts w:eastAsia="Arial"/>
          <w:b/>
          <w:bCs/>
        </w:rPr>
        <w:t xml:space="preserve"> </w:t>
      </w:r>
      <w:r w:rsidRPr="0022670C">
        <w:rPr>
          <w:rFonts w:eastAsia="Arial"/>
        </w:rPr>
        <w:t>Monitoring and reporting on how our financial investments contribute to gender equality outcomes and adjusting future budget allocations based on evidence of impact.</w:t>
      </w:r>
    </w:p>
    <w:p w14:paraId="7CB3936E" w14:textId="78B481EF" w:rsidR="0040173D" w:rsidRPr="0022670C" w:rsidRDefault="006E2FF7" w:rsidP="0022670C">
      <w:pPr>
        <w:rPr>
          <w:rFonts w:eastAsia="Arial"/>
        </w:rPr>
      </w:pPr>
      <w:r w:rsidRPr="0022670C">
        <w:rPr>
          <w:rFonts w:eastAsia="Arial"/>
        </w:rPr>
        <w:t>Through our Financial Plan, we will ensure that public money is invested to create a more equitable community where all residents can access the services and opportunities they need to thrive.</w:t>
      </w:r>
      <w:r w:rsidR="0040173D" w:rsidRPr="0022670C">
        <w:rPr>
          <w:rFonts w:eastAsia="Arial"/>
        </w:rPr>
        <w:br w:type="page"/>
      </w:r>
    </w:p>
    <w:p w14:paraId="102BD681" w14:textId="4D192CBD" w:rsidR="0040173D" w:rsidRPr="0022670C" w:rsidRDefault="0023074D" w:rsidP="0022670C">
      <w:pPr>
        <w:pStyle w:val="Heading1"/>
        <w:numPr>
          <w:ilvl w:val="0"/>
          <w:numId w:val="28"/>
        </w:numPr>
      </w:pPr>
      <w:bookmarkStart w:id="8" w:name="_Toc210205622"/>
      <w:bookmarkStart w:id="9" w:name="_Toc211874576"/>
      <w:r w:rsidRPr="0022670C">
        <w:lastRenderedPageBreak/>
        <w:t>About this plan</w:t>
      </w:r>
      <w:bookmarkEnd w:id="8"/>
      <w:bookmarkEnd w:id="9"/>
    </w:p>
    <w:p w14:paraId="67F08469" w14:textId="77777777" w:rsidR="008675D7" w:rsidRPr="0022670C" w:rsidRDefault="00EE0B22" w:rsidP="00EE0B22">
      <w:pPr>
        <w:jc w:val="both"/>
      </w:pPr>
      <w:r w:rsidRPr="0022670C">
        <w:t>The Financial Plan outlines the funding commitments needed to support delivery of key strategic plans including the Council Plan, Asset Plan and Revenue and Rating Plan.</w:t>
      </w:r>
    </w:p>
    <w:p w14:paraId="4EA69651" w14:textId="77777777" w:rsidR="00EE0B22" w:rsidRPr="0022670C" w:rsidRDefault="00EE0B22" w:rsidP="00EE0B22">
      <w:pPr>
        <w:jc w:val="both"/>
      </w:pPr>
      <w:r w:rsidRPr="0022670C">
        <w:t>The Financial Plan demonstrates our financial sustainability over the next ten years with the key assumptions we have used to forecast income and expenditure.</w:t>
      </w:r>
    </w:p>
    <w:p w14:paraId="445FD4F8" w14:textId="77777777" w:rsidR="0022670C" w:rsidRDefault="00EE0B22" w:rsidP="00EE0B22">
      <w:pPr>
        <w:jc w:val="both"/>
      </w:pPr>
      <w:r w:rsidRPr="0022670C">
        <w:t xml:space="preserve">This Financial Plan is the product of </w:t>
      </w:r>
      <w:r w:rsidR="006F3409" w:rsidRPr="0022670C">
        <w:t xml:space="preserve">strategic </w:t>
      </w:r>
      <w:r w:rsidRPr="0022670C">
        <w:t xml:space="preserve">thinking, focused </w:t>
      </w:r>
      <w:r w:rsidR="00263400" w:rsidRPr="0022670C">
        <w:t>discussions,</w:t>
      </w:r>
      <w:r w:rsidRPr="0022670C">
        <w:t xml:space="preserve"> and quality evidence, shaped and informed by community engagement</w:t>
      </w:r>
      <w:r w:rsidR="00263400" w:rsidRPr="0022670C">
        <w:t xml:space="preserve">. </w:t>
      </w:r>
      <w:r w:rsidRPr="0022670C">
        <w:t>This includes a set of strategic actions that outline our risk-based approach to financial sustainability and funding priorities.</w:t>
      </w:r>
    </w:p>
    <w:p w14:paraId="1850FB7B" w14:textId="394FC5B0" w:rsidR="00EE0B22" w:rsidRPr="0022670C" w:rsidRDefault="00EE0B22" w:rsidP="00EE0B22">
      <w:pPr>
        <w:jc w:val="both"/>
      </w:pPr>
      <w:r w:rsidRPr="0022670C">
        <w:t xml:space="preserve"> </w:t>
      </w:r>
    </w:p>
    <w:p w14:paraId="5ECAEEB8" w14:textId="5547D479" w:rsidR="00EE0B22" w:rsidRPr="0022670C" w:rsidRDefault="0022670C" w:rsidP="0022670C">
      <w:pPr>
        <w:pStyle w:val="Heading2"/>
      </w:pPr>
      <w:bookmarkStart w:id="10" w:name="_Toc210205623"/>
      <w:bookmarkStart w:id="11" w:name="_Toc211874577"/>
      <w:r>
        <w:t xml:space="preserve">3.1 </w:t>
      </w:r>
      <w:r w:rsidR="00B73B96" w:rsidRPr="0022670C">
        <w:t>Asset Plan Integration</w:t>
      </w:r>
      <w:bookmarkEnd w:id="10"/>
      <w:bookmarkEnd w:id="11"/>
    </w:p>
    <w:p w14:paraId="48469F48" w14:textId="246BE9A0" w:rsidR="00B51FF0" w:rsidRPr="0022670C" w:rsidRDefault="00B51FF0" w:rsidP="00B51FF0">
      <w:pPr>
        <w:rPr>
          <w:lang w:eastAsia="en-US"/>
        </w:rPr>
      </w:pPr>
      <w:r w:rsidRPr="0022670C">
        <w:rPr>
          <w:lang w:eastAsia="en-US"/>
        </w:rPr>
        <w:t xml:space="preserve">It is essential that any approach towards strategic financial planning be integrated </w:t>
      </w:r>
      <w:r w:rsidR="00797238" w:rsidRPr="0022670C">
        <w:rPr>
          <w:lang w:eastAsia="en-US"/>
        </w:rPr>
        <w:t xml:space="preserve">with </w:t>
      </w:r>
      <w:r w:rsidRPr="0022670C">
        <w:rPr>
          <w:lang w:eastAsia="en-US"/>
        </w:rPr>
        <w:t xml:space="preserve">the Asset Plan.  This </w:t>
      </w:r>
      <w:r w:rsidR="002A4DCB" w:rsidRPr="0022670C">
        <w:rPr>
          <w:lang w:eastAsia="en-US"/>
        </w:rPr>
        <w:t>will ensure future funding is allocated in a manner that supports service delivery in terms of the plans and the effective management of Council’s assets into the future.</w:t>
      </w:r>
    </w:p>
    <w:p w14:paraId="534F23CC" w14:textId="22A26B72" w:rsidR="002A4DCB" w:rsidRPr="0022670C" w:rsidRDefault="002A4DCB" w:rsidP="00B51FF0">
      <w:pPr>
        <w:rPr>
          <w:lang w:eastAsia="en-US"/>
        </w:rPr>
      </w:pPr>
      <w:r w:rsidRPr="0022670C">
        <w:rPr>
          <w:lang w:eastAsia="en-US"/>
        </w:rPr>
        <w:t xml:space="preserve">The Asset Plan outlines our </w:t>
      </w:r>
      <w:r w:rsidR="006178D1" w:rsidRPr="0022670C">
        <w:rPr>
          <w:lang w:eastAsia="en-US"/>
        </w:rPr>
        <w:t>approach to</w:t>
      </w:r>
      <w:r w:rsidRPr="0022670C">
        <w:rPr>
          <w:lang w:eastAsia="en-US"/>
        </w:rPr>
        <w:t xml:space="preserve"> managing and maintaining our assets, including infrastructure, community facilities, and open spaces.  It ensures that we take a risk-based approach to invest in and maintain our assets to meet current and future community needs and that we manage assets across their life cycle </w:t>
      </w:r>
      <w:r w:rsidR="006178D1" w:rsidRPr="0022670C">
        <w:rPr>
          <w:lang w:eastAsia="en-US"/>
        </w:rPr>
        <w:t>in a financially sustainable manner.</w:t>
      </w:r>
    </w:p>
    <w:p w14:paraId="378C6918" w14:textId="5FC42BAB" w:rsidR="006178D1" w:rsidRPr="0022670C" w:rsidRDefault="006178D1" w:rsidP="00B51FF0">
      <w:pPr>
        <w:rPr>
          <w:lang w:eastAsia="en-US"/>
        </w:rPr>
      </w:pPr>
      <w:r w:rsidRPr="0022670C">
        <w:rPr>
          <w:lang w:eastAsia="en-US"/>
        </w:rPr>
        <w:t xml:space="preserve">The Asset Plan informs the Financial Plan by identifying the amount of capital renewal, backlog and maintenance funding that is required over the life of each asset category.  The level of funding will incorporate knowledge </w:t>
      </w:r>
      <w:r w:rsidR="00086C4B" w:rsidRPr="0022670C">
        <w:rPr>
          <w:lang w:eastAsia="en-US"/>
        </w:rPr>
        <w:t xml:space="preserve">of asset condition, risk assessment issues, </w:t>
      </w:r>
      <w:r w:rsidR="002052D9" w:rsidRPr="0022670C">
        <w:rPr>
          <w:lang w:eastAsia="en-US"/>
        </w:rPr>
        <w:t xml:space="preserve">and </w:t>
      </w:r>
      <w:r w:rsidR="00086C4B" w:rsidRPr="0022670C">
        <w:rPr>
          <w:lang w:eastAsia="en-US"/>
        </w:rPr>
        <w:t>the impact of reviewing and setting intervention and service levels for each asset class.</w:t>
      </w:r>
    </w:p>
    <w:p w14:paraId="04915FD0" w14:textId="79941DAC" w:rsidR="00086C4B" w:rsidRDefault="00086C4B" w:rsidP="00B51FF0">
      <w:pPr>
        <w:rPr>
          <w:lang w:eastAsia="en-US"/>
        </w:rPr>
      </w:pPr>
      <w:r w:rsidRPr="0022670C">
        <w:rPr>
          <w:lang w:eastAsia="en-US"/>
        </w:rPr>
        <w:t xml:space="preserve">In addition to identifying the operational and strategic practices that ensure Council manages assets across their lifecycle in a financially sustainable manner, the Asset Plan quantifies the asset portfolio and financial implications of those practices.  Together the Financial </w:t>
      </w:r>
      <w:r w:rsidR="00D31E52" w:rsidRPr="0022670C">
        <w:rPr>
          <w:lang w:eastAsia="en-US"/>
        </w:rPr>
        <w:t xml:space="preserve">Plan </w:t>
      </w:r>
      <w:r w:rsidRPr="0022670C">
        <w:rPr>
          <w:lang w:eastAsia="en-US"/>
        </w:rPr>
        <w:t xml:space="preserve">and Asset Plan seek to balance the projected investment requirements against projected budgets. </w:t>
      </w:r>
    </w:p>
    <w:p w14:paraId="00A0EF41" w14:textId="77777777" w:rsidR="0022670C" w:rsidRPr="0022670C" w:rsidRDefault="0022670C" w:rsidP="00B51FF0">
      <w:pPr>
        <w:rPr>
          <w:lang w:eastAsia="en-US"/>
        </w:rPr>
      </w:pPr>
    </w:p>
    <w:p w14:paraId="24B279DE" w14:textId="08942FAD" w:rsidR="00105EF9" w:rsidRPr="0022670C" w:rsidRDefault="0022670C" w:rsidP="0022670C">
      <w:pPr>
        <w:pStyle w:val="Heading2"/>
      </w:pPr>
      <w:bookmarkStart w:id="12" w:name="_Toc210205624"/>
      <w:bookmarkStart w:id="13" w:name="_Toc211874578"/>
      <w:r>
        <w:t xml:space="preserve">3.2 </w:t>
      </w:r>
      <w:r w:rsidR="00105EF9" w:rsidRPr="0022670C">
        <w:t xml:space="preserve">Strategic </w:t>
      </w:r>
      <w:r w:rsidR="00871BF7" w:rsidRPr="0022670C">
        <w:t>p</w:t>
      </w:r>
      <w:r w:rsidR="00105EF9" w:rsidRPr="0022670C">
        <w:t xml:space="preserve">lanning </w:t>
      </w:r>
      <w:r w:rsidR="00871BF7" w:rsidRPr="0022670C">
        <w:t>p</w:t>
      </w:r>
      <w:r w:rsidR="00105EF9" w:rsidRPr="0022670C">
        <w:t>rinciples</w:t>
      </w:r>
      <w:bookmarkEnd w:id="12"/>
      <w:bookmarkEnd w:id="13"/>
      <w:r w:rsidR="00105EF9" w:rsidRPr="0022670C">
        <w:tab/>
      </w:r>
    </w:p>
    <w:p w14:paraId="2F98A0D0" w14:textId="19B719FD" w:rsidR="00391CCA" w:rsidRPr="0022670C" w:rsidRDefault="00E67B4A" w:rsidP="00105EF9">
      <w:pPr>
        <w:rPr>
          <w:lang w:eastAsia="en-US"/>
        </w:rPr>
      </w:pPr>
      <w:r w:rsidRPr="0022670C">
        <w:rPr>
          <w:lang w:eastAsia="en-US"/>
        </w:rPr>
        <w:t xml:space="preserve">The Financial Plan provides a </w:t>
      </w:r>
      <w:r w:rsidR="00A67AD6" w:rsidRPr="0022670C">
        <w:rPr>
          <w:lang w:eastAsia="en-US"/>
        </w:rPr>
        <w:t>10-year</w:t>
      </w:r>
      <w:r w:rsidRPr="0022670C">
        <w:rPr>
          <w:lang w:eastAsia="en-US"/>
        </w:rPr>
        <w:t xml:space="preserve"> financial projection regarding how the actions of the Council Plan may be funded to achieve the Community Vision.  The Financial Plan is developed </w:t>
      </w:r>
      <w:r w:rsidR="00391CCA" w:rsidRPr="0022670C">
        <w:rPr>
          <w:lang w:eastAsia="en-US"/>
        </w:rPr>
        <w:t>in the context of the following strategic principles:</w:t>
      </w:r>
    </w:p>
    <w:p w14:paraId="6077CA4B" w14:textId="77777777" w:rsidR="00105EF9" w:rsidRPr="0022670C" w:rsidRDefault="00391CCA" w:rsidP="0022670C">
      <w:pPr>
        <w:pStyle w:val="Bulletlistmultilevel"/>
        <w:rPr>
          <w:lang w:eastAsia="en-US"/>
        </w:rPr>
      </w:pPr>
      <w:r w:rsidRPr="0022670C">
        <w:rPr>
          <w:lang w:eastAsia="en-US"/>
        </w:rPr>
        <w:t>Council has an integrated approach to planning, monitoring and performance reporting.</w:t>
      </w:r>
    </w:p>
    <w:p w14:paraId="34275ACF" w14:textId="77777777" w:rsidR="00391CCA" w:rsidRPr="0022670C" w:rsidRDefault="00391CCA" w:rsidP="0022670C">
      <w:pPr>
        <w:pStyle w:val="Bulletlistmultilevel"/>
        <w:rPr>
          <w:lang w:eastAsia="en-US"/>
        </w:rPr>
      </w:pPr>
      <w:r w:rsidRPr="0022670C">
        <w:rPr>
          <w:lang w:eastAsia="en-US"/>
        </w:rPr>
        <w:t>Council’s Financial Plan addresses the Community Vision by funding the aspirations of the Council Plan.  The Council Plan aspirations and actions are formulated in the context of the Community Vision.</w:t>
      </w:r>
    </w:p>
    <w:p w14:paraId="0AC14DE5" w14:textId="071DD975" w:rsidR="00391CCA" w:rsidRPr="0022670C" w:rsidRDefault="00391CCA" w:rsidP="0022670C">
      <w:pPr>
        <w:pStyle w:val="Bulletlistmultilevel"/>
        <w:rPr>
          <w:lang w:eastAsia="en-US"/>
        </w:rPr>
      </w:pPr>
      <w:r w:rsidRPr="0022670C">
        <w:rPr>
          <w:lang w:eastAsia="en-US"/>
        </w:rPr>
        <w:t xml:space="preserve">The Financial Plan statements provide the </w:t>
      </w:r>
      <w:r w:rsidR="00A67AD6" w:rsidRPr="0022670C">
        <w:rPr>
          <w:lang w:eastAsia="en-US"/>
        </w:rPr>
        <w:t>10-year</w:t>
      </w:r>
      <w:r w:rsidRPr="0022670C">
        <w:rPr>
          <w:lang w:eastAsia="en-US"/>
        </w:rPr>
        <w:t xml:space="preserve"> financial resources necessary to implement the goals and aspirations of the Council Plan to support the Community Vision.</w:t>
      </w:r>
    </w:p>
    <w:p w14:paraId="57962467" w14:textId="6E33C1D6" w:rsidR="00391CCA" w:rsidRPr="0022670C" w:rsidRDefault="007021EE" w:rsidP="0022670C">
      <w:pPr>
        <w:pStyle w:val="Bulletlistmultilevel"/>
        <w:rPr>
          <w:lang w:eastAsia="en-US"/>
        </w:rPr>
      </w:pPr>
      <w:r w:rsidRPr="0022670C">
        <w:rPr>
          <w:lang w:eastAsia="en-US"/>
        </w:rPr>
        <w:t xml:space="preserve">Council’s strategic planning principles identify and address the risks of effective implementation of the Financial Plan.  The financial risks are included in section </w:t>
      </w:r>
      <w:r w:rsidR="00051263" w:rsidRPr="0022670C">
        <w:rPr>
          <w:lang w:eastAsia="en-US"/>
        </w:rPr>
        <w:fldChar w:fldCharType="begin"/>
      </w:r>
      <w:r w:rsidR="00051263" w:rsidRPr="0022670C">
        <w:rPr>
          <w:lang w:eastAsia="en-US"/>
        </w:rPr>
        <w:instrText xml:space="preserve"> REF _Ref206156999 \r \h </w:instrText>
      </w:r>
      <w:r w:rsidR="006F71A7" w:rsidRPr="0022670C">
        <w:rPr>
          <w:lang w:eastAsia="en-US"/>
        </w:rPr>
        <w:instrText xml:space="preserve"> \* MERGEFORMAT </w:instrText>
      </w:r>
      <w:r w:rsidR="00051263" w:rsidRPr="0022670C">
        <w:rPr>
          <w:lang w:eastAsia="en-US"/>
        </w:rPr>
      </w:r>
      <w:r w:rsidR="00051263" w:rsidRPr="0022670C">
        <w:rPr>
          <w:lang w:eastAsia="en-US"/>
        </w:rPr>
        <w:fldChar w:fldCharType="separate"/>
      </w:r>
      <w:r w:rsidR="00C37F61" w:rsidRPr="0022670C">
        <w:rPr>
          <w:lang w:eastAsia="en-US"/>
        </w:rPr>
        <w:t>3.3</w:t>
      </w:r>
      <w:r w:rsidR="00051263" w:rsidRPr="0022670C">
        <w:rPr>
          <w:lang w:eastAsia="en-US"/>
        </w:rPr>
        <w:fldChar w:fldCharType="end"/>
      </w:r>
      <w:r w:rsidR="00051263" w:rsidRPr="0022670C">
        <w:rPr>
          <w:lang w:eastAsia="en-US"/>
        </w:rPr>
        <w:t xml:space="preserve"> </w:t>
      </w:r>
      <w:r w:rsidRPr="0022670C">
        <w:rPr>
          <w:lang w:eastAsia="en-US"/>
        </w:rPr>
        <w:t>below.</w:t>
      </w:r>
    </w:p>
    <w:p w14:paraId="550F5CBC" w14:textId="538A69F9" w:rsidR="0022670C" w:rsidRDefault="007021EE" w:rsidP="0022670C">
      <w:pPr>
        <w:pStyle w:val="Bulletlistmultilevel"/>
        <w:rPr>
          <w:lang w:eastAsia="en-US"/>
        </w:rPr>
      </w:pPr>
      <w:r w:rsidRPr="0022670C">
        <w:rPr>
          <w:lang w:eastAsia="en-US"/>
        </w:rPr>
        <w:t>The Financial Plan provides for the strategic planning principles of monitoring progress and reviews to identify and adapt to changing circumstances.</w:t>
      </w:r>
    </w:p>
    <w:p w14:paraId="66F15658" w14:textId="6944E8B6" w:rsidR="007021EE" w:rsidRPr="0022670C" w:rsidRDefault="0022670C" w:rsidP="0022670C">
      <w:pPr>
        <w:rPr>
          <w:lang w:eastAsia="en-US"/>
        </w:rPr>
      </w:pPr>
      <w:r>
        <w:rPr>
          <w:lang w:eastAsia="en-US"/>
        </w:rPr>
        <w:br w:type="page"/>
      </w:r>
    </w:p>
    <w:p w14:paraId="6FBBD6B6" w14:textId="24995D25" w:rsidR="00111510" w:rsidRPr="0022670C" w:rsidRDefault="0022670C" w:rsidP="0022670C">
      <w:pPr>
        <w:pStyle w:val="Heading2"/>
      </w:pPr>
      <w:bookmarkStart w:id="14" w:name="_Ref206156999"/>
      <w:bookmarkStart w:id="15" w:name="_Toc210205625"/>
      <w:bookmarkStart w:id="16" w:name="_Toc211874579"/>
      <w:r>
        <w:lastRenderedPageBreak/>
        <w:t xml:space="preserve">3.3 </w:t>
      </w:r>
      <w:r w:rsidR="00111510" w:rsidRPr="0022670C">
        <w:t>Financial management principles</w:t>
      </w:r>
      <w:bookmarkEnd w:id="14"/>
      <w:bookmarkEnd w:id="15"/>
      <w:bookmarkEnd w:id="16"/>
    </w:p>
    <w:p w14:paraId="3C3D648B" w14:textId="5E89898B" w:rsidR="00111510" w:rsidRPr="0022670C" w:rsidRDefault="00C62404" w:rsidP="00111510">
      <w:pPr>
        <w:rPr>
          <w:lang w:eastAsia="en-US"/>
        </w:rPr>
      </w:pPr>
      <w:r w:rsidRPr="0022670C">
        <w:rPr>
          <w:lang w:eastAsia="en-US"/>
        </w:rPr>
        <w:t>The Financial Plan demonstrates the following financial management principles:</w:t>
      </w:r>
    </w:p>
    <w:p w14:paraId="72FD8862" w14:textId="0E8D426D" w:rsidR="00C62404" w:rsidRPr="0022670C" w:rsidRDefault="00C62404" w:rsidP="0022670C">
      <w:pPr>
        <w:pStyle w:val="Bulletlistmultilevel"/>
        <w:rPr>
          <w:lang w:eastAsia="en-US"/>
        </w:rPr>
      </w:pPr>
      <w:r w:rsidRPr="0022670C">
        <w:rPr>
          <w:lang w:eastAsia="en-US"/>
        </w:rPr>
        <w:t xml:space="preserve">Revenue, expenses, assets (including investments), liabilities, </w:t>
      </w:r>
      <w:r w:rsidR="001B6CA6" w:rsidRPr="0022670C">
        <w:rPr>
          <w:lang w:eastAsia="en-US"/>
        </w:rPr>
        <w:t>and financial transactions are managed in accordance with Council’s financial policies and strategic plans.</w:t>
      </w:r>
    </w:p>
    <w:p w14:paraId="39AE74E7" w14:textId="242870E0" w:rsidR="001B6CA6" w:rsidRPr="0022670C" w:rsidRDefault="001B6CA6" w:rsidP="0022670C">
      <w:pPr>
        <w:pStyle w:val="Bulletlistmultilevel"/>
        <w:rPr>
          <w:lang w:eastAsia="en-US"/>
        </w:rPr>
      </w:pPr>
      <w:r w:rsidRPr="0022670C">
        <w:rPr>
          <w:lang w:eastAsia="en-US"/>
        </w:rPr>
        <w:t>Management of the following financial risks:</w:t>
      </w:r>
    </w:p>
    <w:p w14:paraId="2BE24E90" w14:textId="7B201062" w:rsidR="001B6CA6" w:rsidRPr="0022670C" w:rsidRDefault="001B6CA6" w:rsidP="0022670C">
      <w:pPr>
        <w:pStyle w:val="Bulletlevel2CSC"/>
        <w:rPr>
          <w:lang w:eastAsia="en-US"/>
        </w:rPr>
      </w:pPr>
      <w:r w:rsidRPr="0022670C">
        <w:rPr>
          <w:lang w:eastAsia="en-US"/>
        </w:rPr>
        <w:t>The financial viability of Council</w:t>
      </w:r>
    </w:p>
    <w:p w14:paraId="5598D162" w14:textId="71BDE7FF" w:rsidR="001B6CA6" w:rsidRPr="0022670C" w:rsidRDefault="001B6CA6" w:rsidP="0022670C">
      <w:pPr>
        <w:pStyle w:val="Bulletlevel2CSC"/>
        <w:rPr>
          <w:lang w:eastAsia="en-US"/>
        </w:rPr>
      </w:pPr>
      <w:r w:rsidRPr="0022670C">
        <w:rPr>
          <w:lang w:eastAsia="en-US"/>
        </w:rPr>
        <w:t xml:space="preserve">The management of current and future liabilities of Council.  The estimated </w:t>
      </w:r>
      <w:r w:rsidR="00693A5A" w:rsidRPr="0022670C">
        <w:rPr>
          <w:lang w:eastAsia="en-US"/>
        </w:rPr>
        <w:t>10-year</w:t>
      </w:r>
      <w:r w:rsidRPr="0022670C">
        <w:rPr>
          <w:lang w:eastAsia="en-US"/>
        </w:rPr>
        <w:t xml:space="preserve"> liabilities are disclosed in section </w:t>
      </w:r>
      <w:r w:rsidR="00C362F9" w:rsidRPr="0022670C">
        <w:rPr>
          <w:lang w:eastAsia="en-US"/>
        </w:rPr>
        <w:fldChar w:fldCharType="begin"/>
      </w:r>
      <w:r w:rsidR="00C362F9" w:rsidRPr="0022670C">
        <w:rPr>
          <w:lang w:eastAsia="en-US"/>
        </w:rPr>
        <w:instrText xml:space="preserve"> REF _Ref205284687 \r \h </w:instrText>
      </w:r>
      <w:r w:rsidR="006F71A7" w:rsidRPr="0022670C">
        <w:rPr>
          <w:lang w:eastAsia="en-US"/>
        </w:rPr>
        <w:instrText xml:space="preserve"> \* MERGEFORMAT </w:instrText>
      </w:r>
      <w:r w:rsidR="00C362F9" w:rsidRPr="0022670C">
        <w:rPr>
          <w:lang w:eastAsia="en-US"/>
        </w:rPr>
      </w:r>
      <w:r w:rsidR="00C362F9" w:rsidRPr="0022670C">
        <w:rPr>
          <w:lang w:eastAsia="en-US"/>
        </w:rPr>
        <w:fldChar w:fldCharType="separate"/>
      </w:r>
      <w:r w:rsidR="00C37F61" w:rsidRPr="0022670C">
        <w:rPr>
          <w:lang w:eastAsia="en-US"/>
        </w:rPr>
        <w:t>6.2</w:t>
      </w:r>
      <w:r w:rsidR="00C362F9" w:rsidRPr="0022670C">
        <w:rPr>
          <w:lang w:eastAsia="en-US"/>
        </w:rPr>
        <w:fldChar w:fldCharType="end"/>
      </w:r>
      <w:r w:rsidR="00C362F9" w:rsidRPr="0022670C">
        <w:rPr>
          <w:lang w:eastAsia="en-US"/>
        </w:rPr>
        <w:t xml:space="preserve"> </w:t>
      </w:r>
      <w:r w:rsidRPr="0022670C">
        <w:rPr>
          <w:lang w:eastAsia="en-US"/>
        </w:rPr>
        <w:t>Balance Sheet projections.</w:t>
      </w:r>
    </w:p>
    <w:p w14:paraId="23E02893" w14:textId="77CBE362" w:rsidR="001B6CA6" w:rsidRPr="0022670C" w:rsidRDefault="001B6CA6" w:rsidP="0022670C">
      <w:pPr>
        <w:pStyle w:val="Bulletlevel2CSC"/>
        <w:rPr>
          <w:lang w:eastAsia="en-US"/>
        </w:rPr>
      </w:pPr>
      <w:r w:rsidRPr="0022670C">
        <w:rPr>
          <w:lang w:eastAsia="en-US"/>
        </w:rPr>
        <w:t>The beneficial enterprises of Council (where appropriate)</w:t>
      </w:r>
    </w:p>
    <w:p w14:paraId="004B5C55" w14:textId="41AB8874" w:rsidR="001B6CA6" w:rsidRPr="0022670C" w:rsidRDefault="001B6CA6" w:rsidP="0022670C">
      <w:pPr>
        <w:pStyle w:val="Bulletlistmultilevel"/>
        <w:rPr>
          <w:lang w:eastAsia="en-US"/>
        </w:rPr>
      </w:pPr>
      <w:r w:rsidRPr="0022670C">
        <w:rPr>
          <w:lang w:eastAsia="en-US"/>
        </w:rPr>
        <w:t>Financial policies and strategic plans are designed to provide financial stability and predictability to the community.</w:t>
      </w:r>
    </w:p>
    <w:p w14:paraId="1AA16168" w14:textId="51D81683" w:rsidR="001B6CA6" w:rsidRDefault="001B6CA6" w:rsidP="0022670C">
      <w:pPr>
        <w:pStyle w:val="Bulletlistmultilevel"/>
        <w:rPr>
          <w:lang w:eastAsia="en-US"/>
        </w:rPr>
      </w:pPr>
      <w:r w:rsidRPr="0022670C">
        <w:rPr>
          <w:lang w:eastAsia="en-US"/>
        </w:rPr>
        <w:t>Council maintains accounts and records that explain its financial operations.</w:t>
      </w:r>
    </w:p>
    <w:p w14:paraId="6D65DE08" w14:textId="77777777" w:rsidR="0022670C" w:rsidRPr="0022670C" w:rsidRDefault="0022670C" w:rsidP="0022670C">
      <w:pPr>
        <w:pStyle w:val="ListParagraph"/>
        <w:rPr>
          <w:lang w:eastAsia="en-US"/>
        </w:rPr>
      </w:pPr>
    </w:p>
    <w:p w14:paraId="5EE89D8D" w14:textId="1EA038D6" w:rsidR="009716B3" w:rsidRPr="0022670C" w:rsidRDefault="0022670C" w:rsidP="0022670C">
      <w:pPr>
        <w:pStyle w:val="Heading2"/>
      </w:pPr>
      <w:bookmarkStart w:id="17" w:name="_Toc210205626"/>
      <w:bookmarkStart w:id="18" w:name="_Toc211874580"/>
      <w:r>
        <w:t xml:space="preserve">3.4 </w:t>
      </w:r>
      <w:r w:rsidR="009716B3" w:rsidRPr="0022670C">
        <w:t>Community engagement</w:t>
      </w:r>
      <w:bookmarkEnd w:id="17"/>
      <w:bookmarkEnd w:id="18"/>
    </w:p>
    <w:p w14:paraId="6E198D2F" w14:textId="28ACE789" w:rsidR="009716B3" w:rsidRPr="0022670C" w:rsidRDefault="00D1567D" w:rsidP="009716B3">
      <w:pPr>
        <w:rPr>
          <w:lang w:eastAsia="en-US"/>
        </w:rPr>
      </w:pPr>
      <w:r w:rsidRPr="0022670C">
        <w:rPr>
          <w:lang w:eastAsia="en-US"/>
        </w:rPr>
        <w:t xml:space="preserve">Council undertook a </w:t>
      </w:r>
      <w:r w:rsidR="00051D91" w:rsidRPr="0022670C">
        <w:rPr>
          <w:lang w:eastAsia="en-US"/>
        </w:rPr>
        <w:t xml:space="preserve">deliberative </w:t>
      </w:r>
      <w:r w:rsidRPr="0022670C">
        <w:rPr>
          <w:lang w:eastAsia="en-US"/>
        </w:rPr>
        <w:t xml:space="preserve">community engagement </w:t>
      </w:r>
      <w:r w:rsidR="00051D91" w:rsidRPr="0022670C">
        <w:rPr>
          <w:lang w:eastAsia="en-US"/>
        </w:rPr>
        <w:t xml:space="preserve">process involving </w:t>
      </w:r>
      <w:r w:rsidR="003D7310" w:rsidRPr="0022670C">
        <w:rPr>
          <w:lang w:eastAsia="en-US"/>
        </w:rPr>
        <w:t xml:space="preserve">the </w:t>
      </w:r>
      <w:r w:rsidR="00051D91" w:rsidRPr="0022670C">
        <w:rPr>
          <w:lang w:eastAsia="en-US"/>
        </w:rPr>
        <w:t xml:space="preserve">establishment </w:t>
      </w:r>
      <w:r w:rsidR="003D7310" w:rsidRPr="0022670C">
        <w:rPr>
          <w:lang w:eastAsia="en-US"/>
        </w:rPr>
        <w:t>of a Community Panel, to assist with developing the guiding principles that underpin Council’s strategic planning framework</w:t>
      </w:r>
      <w:r w:rsidR="00200E86" w:rsidRPr="0022670C">
        <w:rPr>
          <w:lang w:eastAsia="en-US"/>
        </w:rPr>
        <w:t>, including the Financial Plan.</w:t>
      </w:r>
    </w:p>
    <w:p w14:paraId="3DC9BBCD" w14:textId="0EABA018" w:rsidR="00C53BE1" w:rsidRPr="0022670C" w:rsidRDefault="00B27557" w:rsidP="009716B3">
      <w:pPr>
        <w:rPr>
          <w:lang w:eastAsia="en-US"/>
        </w:rPr>
      </w:pPr>
      <w:r w:rsidRPr="0022670C">
        <w:rPr>
          <w:lang w:eastAsia="en-US"/>
        </w:rPr>
        <w:t xml:space="preserve">The </w:t>
      </w:r>
      <w:r w:rsidR="005F7F30" w:rsidRPr="0022670C">
        <w:rPr>
          <w:lang w:eastAsia="en-US"/>
        </w:rPr>
        <w:t>Community Panel</w:t>
      </w:r>
      <w:r w:rsidRPr="0022670C">
        <w:rPr>
          <w:lang w:eastAsia="en-US"/>
        </w:rPr>
        <w:t xml:space="preserve"> </w:t>
      </w:r>
      <w:r w:rsidR="005F7F30" w:rsidRPr="0022670C">
        <w:rPr>
          <w:lang w:eastAsia="en-US"/>
        </w:rPr>
        <w:t>broadly represent</w:t>
      </w:r>
      <w:r w:rsidRPr="0022670C">
        <w:rPr>
          <w:lang w:eastAsia="en-US"/>
        </w:rPr>
        <w:t>ed</w:t>
      </w:r>
      <w:r w:rsidR="005F7F30" w:rsidRPr="0022670C">
        <w:rPr>
          <w:lang w:eastAsia="en-US"/>
        </w:rPr>
        <w:t xml:space="preserve"> the demographic makeup of Cardinia Shire.  Panel members </w:t>
      </w:r>
      <w:r w:rsidR="00080EE3" w:rsidRPr="0022670C">
        <w:rPr>
          <w:lang w:eastAsia="en-US"/>
        </w:rPr>
        <w:t>participated in</w:t>
      </w:r>
      <w:r w:rsidR="00637DAE" w:rsidRPr="0022670C">
        <w:rPr>
          <w:lang w:eastAsia="en-US"/>
        </w:rPr>
        <w:t xml:space="preserve"> a series of conversations to understand the challenges and opportunities facing the Cardinia community.</w:t>
      </w:r>
      <w:r w:rsidR="0016720F" w:rsidRPr="0022670C">
        <w:rPr>
          <w:lang w:eastAsia="en-US"/>
        </w:rPr>
        <w:t xml:space="preserve">  These community members shared their ideas and aspirations, working together to reach consensus on an updated Community Vision</w:t>
      </w:r>
      <w:r w:rsidR="0039440F" w:rsidRPr="0022670C">
        <w:rPr>
          <w:lang w:eastAsia="en-US"/>
        </w:rPr>
        <w:t xml:space="preserve"> and priorities.  </w:t>
      </w:r>
    </w:p>
    <w:p w14:paraId="1720ED45" w14:textId="77777777" w:rsidR="00C13B79" w:rsidRPr="0022670C" w:rsidRDefault="00AB46E6" w:rsidP="009716B3">
      <w:pPr>
        <w:rPr>
          <w:lang w:eastAsia="en-US"/>
        </w:rPr>
      </w:pPr>
      <w:r w:rsidRPr="0022670C">
        <w:rPr>
          <w:lang w:eastAsia="en-US"/>
        </w:rPr>
        <w:t xml:space="preserve">The Community Panel </w:t>
      </w:r>
      <w:r w:rsidR="0039440F" w:rsidRPr="0022670C">
        <w:rPr>
          <w:lang w:eastAsia="en-US"/>
        </w:rPr>
        <w:t xml:space="preserve">provided a series of </w:t>
      </w:r>
      <w:r w:rsidRPr="0022670C">
        <w:rPr>
          <w:lang w:eastAsia="en-US"/>
        </w:rPr>
        <w:t xml:space="preserve">recommendations to Council </w:t>
      </w:r>
      <w:r w:rsidR="00117B95" w:rsidRPr="0022670C">
        <w:rPr>
          <w:lang w:eastAsia="en-US"/>
        </w:rPr>
        <w:t xml:space="preserve">to inform Council’s key strategic documents, including this Financial Plan.  </w:t>
      </w:r>
      <w:r w:rsidR="00C13B79" w:rsidRPr="0022670C">
        <w:rPr>
          <w:lang w:eastAsia="en-US"/>
        </w:rPr>
        <w:t>These recommendations were based on the following key questions:</w:t>
      </w:r>
    </w:p>
    <w:p w14:paraId="33663639" w14:textId="4E4A881B" w:rsidR="005273DC" w:rsidRPr="0022670C" w:rsidRDefault="00673B65" w:rsidP="0022670C">
      <w:pPr>
        <w:pStyle w:val="Bulletlistmultilevel"/>
        <w:rPr>
          <w:lang w:eastAsia="en-US"/>
        </w:rPr>
      </w:pPr>
      <w:r w:rsidRPr="0022670C">
        <w:rPr>
          <w:lang w:eastAsia="en-US"/>
        </w:rPr>
        <w:t>If you had to choose between Council increasing rates above the legislated rate cap to maintain services or cuts in Council services, what would you choose?</w:t>
      </w:r>
    </w:p>
    <w:p w14:paraId="69956694" w14:textId="39800C4A" w:rsidR="00673B65" w:rsidRPr="0022670C" w:rsidRDefault="002E76BC" w:rsidP="0022670C">
      <w:pPr>
        <w:pStyle w:val="Bulletlistmultilevel"/>
        <w:rPr>
          <w:lang w:eastAsia="en-US"/>
        </w:rPr>
      </w:pPr>
      <w:r w:rsidRPr="0022670C">
        <w:rPr>
          <w:lang w:eastAsia="en-US"/>
        </w:rPr>
        <w:t>Should Council ask the users of Council facilities to pay more to cover the cost of those facilities?</w:t>
      </w:r>
    </w:p>
    <w:p w14:paraId="28A58AED" w14:textId="733A7C99" w:rsidR="00E430BF" w:rsidRPr="0022670C" w:rsidRDefault="00E430BF" w:rsidP="0022670C">
      <w:pPr>
        <w:pStyle w:val="Bulletlistmultilevel"/>
        <w:rPr>
          <w:lang w:eastAsia="en-US"/>
        </w:rPr>
      </w:pPr>
      <w:r w:rsidRPr="0022670C">
        <w:rPr>
          <w:lang w:eastAsia="en-US"/>
        </w:rPr>
        <w:t>Should Council pursue revenue through commercial choices and investments?</w:t>
      </w:r>
    </w:p>
    <w:p w14:paraId="29A41399" w14:textId="07C22CE1" w:rsidR="00C13B79" w:rsidRPr="0022670C" w:rsidRDefault="007D4BCB" w:rsidP="009716B3">
      <w:pPr>
        <w:rPr>
          <w:lang w:eastAsia="en-US"/>
        </w:rPr>
      </w:pPr>
      <w:r w:rsidRPr="0022670C">
        <w:rPr>
          <w:lang w:eastAsia="en-US"/>
        </w:rPr>
        <w:t>The over</w:t>
      </w:r>
      <w:r w:rsidR="00B90B7D" w:rsidRPr="0022670C">
        <w:rPr>
          <w:lang w:eastAsia="en-US"/>
        </w:rPr>
        <w:t xml:space="preserve">all results to </w:t>
      </w:r>
      <w:r w:rsidR="00842BCA" w:rsidRPr="0022670C">
        <w:rPr>
          <w:lang w:eastAsia="en-US"/>
        </w:rPr>
        <w:t>the first question demonstrated an ongoing level of uncertainty</w:t>
      </w:r>
      <w:r w:rsidR="00A41A64" w:rsidRPr="0022670C">
        <w:rPr>
          <w:lang w:eastAsia="en-US"/>
        </w:rPr>
        <w:t>, with most participants stating</w:t>
      </w:r>
      <w:r w:rsidR="00E93C1C" w:rsidRPr="0022670C">
        <w:rPr>
          <w:lang w:eastAsia="en-US"/>
        </w:rPr>
        <w:t xml:space="preserve"> they </w:t>
      </w:r>
      <w:r w:rsidR="002F7B82" w:rsidRPr="0022670C">
        <w:rPr>
          <w:lang w:eastAsia="en-US"/>
        </w:rPr>
        <w:t>did not</w:t>
      </w:r>
      <w:r w:rsidR="00E93C1C" w:rsidRPr="0022670C">
        <w:rPr>
          <w:lang w:eastAsia="en-US"/>
        </w:rPr>
        <w:t xml:space="preserve"> know or </w:t>
      </w:r>
      <w:r w:rsidR="002F7B82" w:rsidRPr="0022670C">
        <w:rPr>
          <w:lang w:eastAsia="en-US"/>
        </w:rPr>
        <w:t>could not</w:t>
      </w:r>
      <w:r w:rsidR="00E93C1C" w:rsidRPr="0022670C">
        <w:rPr>
          <w:lang w:eastAsia="en-US"/>
        </w:rPr>
        <w:t xml:space="preserve"> say</w:t>
      </w:r>
      <w:r w:rsidR="007E4532" w:rsidRPr="0022670C">
        <w:rPr>
          <w:lang w:eastAsia="en-US"/>
        </w:rPr>
        <w:t xml:space="preserve"> and </w:t>
      </w:r>
      <w:r w:rsidR="00333DD4" w:rsidRPr="0022670C">
        <w:rPr>
          <w:lang w:eastAsia="en-US"/>
        </w:rPr>
        <w:t xml:space="preserve">expressing a wish </w:t>
      </w:r>
      <w:r w:rsidR="007E4532" w:rsidRPr="0022670C">
        <w:rPr>
          <w:lang w:eastAsia="en-US"/>
        </w:rPr>
        <w:t>to understand further before committing.  The panel noted potential community impacts</w:t>
      </w:r>
      <w:r w:rsidR="00E24E88" w:rsidRPr="0022670C">
        <w:rPr>
          <w:lang w:eastAsia="en-US"/>
        </w:rPr>
        <w:t xml:space="preserve"> of these choices, and encouraged Council to consider closely monitoring costs</w:t>
      </w:r>
      <w:r w:rsidR="009A1261" w:rsidRPr="0022670C">
        <w:rPr>
          <w:lang w:eastAsia="en-US"/>
        </w:rPr>
        <w:t xml:space="preserve"> and suggested investigating alternative sources of revenue over the choice of </w:t>
      </w:r>
      <w:r w:rsidR="00095024" w:rsidRPr="0022670C">
        <w:rPr>
          <w:lang w:eastAsia="en-US"/>
        </w:rPr>
        <w:t xml:space="preserve">rate </w:t>
      </w:r>
      <w:r w:rsidR="009A1261" w:rsidRPr="0022670C">
        <w:rPr>
          <w:lang w:eastAsia="en-US"/>
        </w:rPr>
        <w:t xml:space="preserve">rises or service cuts. </w:t>
      </w:r>
    </w:p>
    <w:p w14:paraId="4B5C5D65" w14:textId="406CB6AB" w:rsidR="009A1261" w:rsidRPr="0022670C" w:rsidRDefault="00C5784C" w:rsidP="009716B3">
      <w:pPr>
        <w:rPr>
          <w:lang w:eastAsia="en-US"/>
        </w:rPr>
      </w:pPr>
      <w:r w:rsidRPr="0022670C">
        <w:rPr>
          <w:lang w:eastAsia="en-US"/>
        </w:rPr>
        <w:t xml:space="preserve">Regarding the question on higher user fees, the panel </w:t>
      </w:r>
      <w:r w:rsidR="002D53A3" w:rsidRPr="0022670C">
        <w:rPr>
          <w:lang w:eastAsia="en-US"/>
        </w:rPr>
        <w:t xml:space="preserve">had opinions both for and against the </w:t>
      </w:r>
      <w:r w:rsidR="003179F2" w:rsidRPr="0022670C">
        <w:rPr>
          <w:lang w:eastAsia="en-US"/>
        </w:rPr>
        <w:t>proposition and</w:t>
      </w:r>
      <w:r w:rsidR="002D53A3" w:rsidRPr="0022670C">
        <w:rPr>
          <w:lang w:eastAsia="en-US"/>
        </w:rPr>
        <w:t xml:space="preserve"> noted that essential services should be prioritised </w:t>
      </w:r>
      <w:r w:rsidR="003179F2" w:rsidRPr="0022670C">
        <w:rPr>
          <w:lang w:eastAsia="en-US"/>
        </w:rPr>
        <w:t>and wanted to ensure that Council would be transparent in pricing and decision-making regarding user fees.</w:t>
      </w:r>
    </w:p>
    <w:p w14:paraId="73A1B8E3" w14:textId="2B7A6353" w:rsidR="003179F2" w:rsidRPr="0022670C" w:rsidRDefault="001478C6" w:rsidP="009716B3">
      <w:pPr>
        <w:rPr>
          <w:lang w:eastAsia="en-US"/>
        </w:rPr>
      </w:pPr>
      <w:r w:rsidRPr="0022670C">
        <w:rPr>
          <w:lang w:eastAsia="en-US"/>
        </w:rPr>
        <w:t>When discussing the option to pursue revenue through commercial choices and investments, there was strong support from the panel</w:t>
      </w:r>
      <w:r w:rsidR="004068C8" w:rsidRPr="0022670C">
        <w:rPr>
          <w:lang w:eastAsia="en-US"/>
        </w:rPr>
        <w:t xml:space="preserve"> noting the potential for joint ventures, partnerships and innovative approaches to investment.  </w:t>
      </w:r>
      <w:r w:rsidR="00872C48" w:rsidRPr="0022670C">
        <w:rPr>
          <w:lang w:eastAsia="en-US"/>
        </w:rPr>
        <w:t xml:space="preserve">It was suggested that commercial investments should look to align with community needs </w:t>
      </w:r>
      <w:r w:rsidR="00FC202B" w:rsidRPr="0022670C">
        <w:rPr>
          <w:lang w:eastAsia="en-US"/>
        </w:rPr>
        <w:t xml:space="preserve">and aspirations, as outlined </w:t>
      </w:r>
      <w:r w:rsidR="00872C48" w:rsidRPr="0022670C">
        <w:rPr>
          <w:lang w:eastAsia="en-US"/>
        </w:rPr>
        <w:t>in the Community Vision</w:t>
      </w:r>
      <w:r w:rsidR="00326C2D" w:rsidRPr="0022670C">
        <w:rPr>
          <w:lang w:eastAsia="en-US"/>
        </w:rPr>
        <w:t>.</w:t>
      </w:r>
    </w:p>
    <w:p w14:paraId="3F684EFB" w14:textId="2EAD578C" w:rsidR="009A3976" w:rsidRPr="0022670C" w:rsidRDefault="00493B28" w:rsidP="009716B3">
      <w:pPr>
        <w:rPr>
          <w:lang w:eastAsia="en-US"/>
        </w:rPr>
      </w:pPr>
      <w:r w:rsidRPr="0022670C">
        <w:rPr>
          <w:lang w:eastAsia="en-US"/>
        </w:rPr>
        <w:t xml:space="preserve">Council is grateful for the </w:t>
      </w:r>
      <w:r w:rsidR="00BA4832" w:rsidRPr="0022670C">
        <w:rPr>
          <w:lang w:eastAsia="en-US"/>
        </w:rPr>
        <w:t xml:space="preserve">Community Panel’s </w:t>
      </w:r>
      <w:r w:rsidRPr="0022670C">
        <w:rPr>
          <w:lang w:eastAsia="en-US"/>
        </w:rPr>
        <w:t xml:space="preserve">time and effort </w:t>
      </w:r>
      <w:r w:rsidR="00BA4832" w:rsidRPr="0022670C">
        <w:rPr>
          <w:lang w:eastAsia="en-US"/>
        </w:rPr>
        <w:t xml:space="preserve">through the deliberative engagement process.  Their guidance has contributed significantly to </w:t>
      </w:r>
      <w:r w:rsidR="00D55839" w:rsidRPr="0022670C">
        <w:rPr>
          <w:lang w:eastAsia="en-US"/>
        </w:rPr>
        <w:t xml:space="preserve">the development of </w:t>
      </w:r>
      <w:r w:rsidR="00EC228D" w:rsidRPr="0022670C">
        <w:rPr>
          <w:lang w:eastAsia="en-US"/>
        </w:rPr>
        <w:t xml:space="preserve">this </w:t>
      </w:r>
      <w:r w:rsidR="00D55839" w:rsidRPr="0022670C">
        <w:rPr>
          <w:lang w:eastAsia="en-US"/>
        </w:rPr>
        <w:t>Financial Plan</w:t>
      </w:r>
      <w:r w:rsidR="00407D1A" w:rsidRPr="0022670C">
        <w:rPr>
          <w:lang w:eastAsia="en-US"/>
        </w:rPr>
        <w:t>.</w:t>
      </w:r>
    </w:p>
    <w:p w14:paraId="46817BC3" w14:textId="0B3FAE8E" w:rsidR="009973CF" w:rsidRPr="0022670C" w:rsidRDefault="0022670C" w:rsidP="0022670C">
      <w:pPr>
        <w:pStyle w:val="Heading2"/>
      </w:pPr>
      <w:bookmarkStart w:id="19" w:name="_Toc210205627"/>
      <w:bookmarkStart w:id="20" w:name="_Toc211874581"/>
      <w:r>
        <w:lastRenderedPageBreak/>
        <w:t xml:space="preserve">3.5 </w:t>
      </w:r>
      <w:r w:rsidR="004C28EB" w:rsidRPr="0022670C">
        <w:t>Service performance principles</w:t>
      </w:r>
      <w:bookmarkEnd w:id="19"/>
      <w:bookmarkEnd w:id="20"/>
    </w:p>
    <w:p w14:paraId="650DD242" w14:textId="77777777" w:rsidR="004C28EB" w:rsidRPr="0022670C" w:rsidRDefault="004C28EB" w:rsidP="004C28EB">
      <w:pPr>
        <w:rPr>
          <w:lang w:eastAsia="en-US"/>
        </w:rPr>
      </w:pPr>
      <w:r w:rsidRPr="0022670C">
        <w:rPr>
          <w:lang w:eastAsia="en-US"/>
        </w:rPr>
        <w:t>Council services are provided on a community needs and value for money basis.  The service performance principles are listed below:</w:t>
      </w:r>
    </w:p>
    <w:p w14:paraId="4713D6AF" w14:textId="77777777" w:rsidR="004C28EB" w:rsidRPr="0022670C" w:rsidRDefault="008F1EE3" w:rsidP="0022670C">
      <w:pPr>
        <w:pStyle w:val="Bulletlistmultilevel"/>
        <w:rPr>
          <w:lang w:eastAsia="en-US"/>
        </w:rPr>
      </w:pPr>
      <w:r w:rsidRPr="0022670C">
        <w:rPr>
          <w:lang w:eastAsia="en-US"/>
        </w:rPr>
        <w:t>Services provided are responsive to the diverse needs of the community.  The Council Plan is designed to identify the key services and projects to be delivered to the community.  The Financial Plan provides the mechanism to demonstrate how the service aspirations within the Council Plan may be funded.</w:t>
      </w:r>
    </w:p>
    <w:p w14:paraId="44375E21" w14:textId="77777777" w:rsidR="008F1EE3" w:rsidRPr="0022670C" w:rsidRDefault="008F1EE3" w:rsidP="0022670C">
      <w:pPr>
        <w:pStyle w:val="Bulletlistmultilevel"/>
        <w:rPr>
          <w:lang w:eastAsia="en-US"/>
        </w:rPr>
      </w:pPr>
      <w:r w:rsidRPr="0022670C">
        <w:rPr>
          <w:lang w:eastAsia="en-US"/>
        </w:rPr>
        <w:t>Services are accessible to the relevant users within the community.</w:t>
      </w:r>
    </w:p>
    <w:p w14:paraId="1350F141" w14:textId="3C58B31D" w:rsidR="008F1EE3" w:rsidRPr="0022670C" w:rsidRDefault="008F1EE3" w:rsidP="0022670C">
      <w:pPr>
        <w:pStyle w:val="Bulletlistmultilevel"/>
        <w:rPr>
          <w:lang w:eastAsia="en-US"/>
        </w:rPr>
      </w:pPr>
      <w:r w:rsidRPr="0022670C">
        <w:rPr>
          <w:lang w:eastAsia="en-US"/>
        </w:rPr>
        <w:t>Council provides quality</w:t>
      </w:r>
      <w:r w:rsidR="00A411FC" w:rsidRPr="0022670C">
        <w:rPr>
          <w:lang w:eastAsia="en-US"/>
        </w:rPr>
        <w:t>, value for money</w:t>
      </w:r>
      <w:r w:rsidRPr="0022670C">
        <w:rPr>
          <w:lang w:eastAsia="en-US"/>
        </w:rPr>
        <w:t xml:space="preserve"> services to the community.  The Local Government</w:t>
      </w:r>
      <w:r w:rsidR="001918F5" w:rsidRPr="0022670C">
        <w:rPr>
          <w:lang w:eastAsia="en-US"/>
        </w:rPr>
        <w:t xml:space="preserve"> Performance Reporting Framework (LGPRF) is designed to communicate Council’s performance regarding the provision of quality and efficient services.</w:t>
      </w:r>
    </w:p>
    <w:p w14:paraId="7F49A028" w14:textId="30242308" w:rsidR="001918F5" w:rsidRDefault="001918F5" w:rsidP="0022670C">
      <w:pPr>
        <w:pStyle w:val="Bulletlistmultilevel"/>
        <w:rPr>
          <w:lang w:eastAsia="en-US"/>
        </w:rPr>
      </w:pPr>
      <w:r w:rsidRPr="0022670C">
        <w:rPr>
          <w:lang w:eastAsia="en-US"/>
        </w:rPr>
        <w:t xml:space="preserve">Council </w:t>
      </w:r>
      <w:r w:rsidR="00B7701F" w:rsidRPr="0022670C">
        <w:rPr>
          <w:lang w:eastAsia="en-US"/>
        </w:rPr>
        <w:t xml:space="preserve">is developing a performance </w:t>
      </w:r>
      <w:r w:rsidR="00490D40" w:rsidRPr="0022670C">
        <w:rPr>
          <w:lang w:eastAsia="en-US"/>
        </w:rPr>
        <w:t>monitoring framework to continuously improve its service delivery standards.</w:t>
      </w:r>
    </w:p>
    <w:p w14:paraId="56A9AD13" w14:textId="77777777" w:rsidR="0022670C" w:rsidRPr="0022670C" w:rsidRDefault="0022670C" w:rsidP="0022670C">
      <w:pPr>
        <w:pStyle w:val="ListParagraph"/>
        <w:rPr>
          <w:lang w:eastAsia="en-US"/>
        </w:rPr>
      </w:pPr>
    </w:p>
    <w:p w14:paraId="1D0999B5" w14:textId="0991163E" w:rsidR="001B6CA6" w:rsidRPr="0022670C" w:rsidRDefault="0022670C" w:rsidP="0022670C">
      <w:pPr>
        <w:pStyle w:val="Heading2"/>
      </w:pPr>
      <w:bookmarkStart w:id="21" w:name="_Toc210205628"/>
      <w:bookmarkStart w:id="22" w:name="_Toc211874582"/>
      <w:r>
        <w:t xml:space="preserve">3.6 </w:t>
      </w:r>
      <w:r w:rsidR="00602849" w:rsidRPr="0022670C">
        <w:t>Financial sustainability</w:t>
      </w:r>
      <w:r w:rsidR="00A34E34" w:rsidRPr="0022670C">
        <w:t xml:space="preserve"> </w:t>
      </w:r>
      <w:r w:rsidR="00902095" w:rsidRPr="0022670C">
        <w:t>strategy</w:t>
      </w:r>
      <w:bookmarkEnd w:id="21"/>
      <w:bookmarkEnd w:id="22"/>
    </w:p>
    <w:p w14:paraId="560F68EF" w14:textId="6CDD64BD" w:rsidR="004E19E2" w:rsidRPr="0022670C" w:rsidRDefault="004E19E2" w:rsidP="00D342D9">
      <w:pPr>
        <w:rPr>
          <w:lang w:eastAsia="en-US"/>
        </w:rPr>
      </w:pPr>
      <w:r w:rsidRPr="0022670C">
        <w:rPr>
          <w:lang w:eastAsia="en-US"/>
        </w:rPr>
        <w:t>Sound long-term financial management is critical to providing the financial certainty and flexibility needed for efficient and effective service delivery and asset management.</w:t>
      </w:r>
    </w:p>
    <w:p w14:paraId="215DDC8E" w14:textId="25CA4DDD" w:rsidR="004E19E2" w:rsidRPr="0022670C" w:rsidRDefault="004E19E2" w:rsidP="00D342D9">
      <w:pPr>
        <w:rPr>
          <w:lang w:eastAsia="en-US"/>
        </w:rPr>
      </w:pPr>
      <w:r w:rsidRPr="0022670C">
        <w:rPr>
          <w:lang w:eastAsia="en-US"/>
        </w:rPr>
        <w:t>While we are currently financially sound, as demonstrated by the indicators in the following section, we want to ensure a strong continued focus on being as efficient as we can – this is in line with the budgeting principles of efficient use of ratepayers’ money and keeping services and service levels at an acceptable level for the community.</w:t>
      </w:r>
    </w:p>
    <w:p w14:paraId="42CC1DC5" w14:textId="2B36E9CC" w:rsidR="004E19E2" w:rsidRPr="0022670C" w:rsidRDefault="00BA56F2" w:rsidP="00D342D9">
      <w:pPr>
        <w:rPr>
          <w:lang w:eastAsia="en-US"/>
        </w:rPr>
      </w:pPr>
      <w:r w:rsidRPr="0022670C">
        <w:rPr>
          <w:lang w:eastAsia="en-US"/>
        </w:rPr>
        <w:t>We have also strong</w:t>
      </w:r>
      <w:r w:rsidR="00B32AA3" w:rsidRPr="0022670C">
        <w:rPr>
          <w:lang w:eastAsia="en-US"/>
        </w:rPr>
        <w:t>ly</w:t>
      </w:r>
      <w:r w:rsidRPr="0022670C">
        <w:rPr>
          <w:lang w:eastAsia="en-US"/>
        </w:rPr>
        <w:t xml:space="preserve"> advocated to the State and Federal Governments on our fair share of funding so we can use these funds to provide services to our community.  The State and Federal inquiries into financial sustainability of local government </w:t>
      </w:r>
      <w:r w:rsidR="008034D5" w:rsidRPr="0022670C">
        <w:rPr>
          <w:lang w:eastAsia="en-US"/>
        </w:rPr>
        <w:t xml:space="preserve">have provided recommendations to be made across the sector, and we look forward to many of the recommendations being implemented. </w:t>
      </w:r>
    </w:p>
    <w:p w14:paraId="70ED9F1E" w14:textId="209FEC5B" w:rsidR="00CA68C2" w:rsidRPr="0022670C" w:rsidRDefault="00CA68C2" w:rsidP="00CA68C2">
      <w:pPr>
        <w:rPr>
          <w:lang w:eastAsia="en-US"/>
        </w:rPr>
      </w:pPr>
      <w:r w:rsidRPr="0022670C">
        <w:rPr>
          <w:lang w:eastAsia="en-US"/>
        </w:rPr>
        <w:t xml:space="preserve">Council has a responsibility to current and future communities. </w:t>
      </w:r>
      <w:r w:rsidR="00B24EF6" w:rsidRPr="0022670C">
        <w:rPr>
          <w:lang w:eastAsia="en-US"/>
        </w:rPr>
        <w:t xml:space="preserve">As a growth Council, a growing population presents significant opportunities.  However, this growth also presents challenges that will </w:t>
      </w:r>
      <w:r w:rsidR="006C63E7" w:rsidRPr="0022670C">
        <w:rPr>
          <w:lang w:eastAsia="en-US"/>
        </w:rPr>
        <w:t>place substantial demands on Council’s financial resources</w:t>
      </w:r>
      <w:r w:rsidR="008A604D" w:rsidRPr="0022670C">
        <w:rPr>
          <w:lang w:eastAsia="en-US"/>
        </w:rPr>
        <w:t>, including:</w:t>
      </w:r>
      <w:r w:rsidR="006C63E7" w:rsidRPr="0022670C">
        <w:rPr>
          <w:lang w:eastAsia="en-US"/>
        </w:rPr>
        <w:t xml:space="preserve"> </w:t>
      </w:r>
    </w:p>
    <w:p w14:paraId="3071107F" w14:textId="60A865B0" w:rsidR="00EE3B92" w:rsidRPr="0022670C" w:rsidRDefault="006C63E7" w:rsidP="0022670C">
      <w:pPr>
        <w:pStyle w:val="Bulletlistmultilevel"/>
        <w:rPr>
          <w:lang w:eastAsia="en-US"/>
        </w:rPr>
      </w:pPr>
      <w:r w:rsidRPr="0022670C">
        <w:rPr>
          <w:lang w:eastAsia="en-US"/>
        </w:rPr>
        <w:t>Higher expectations from a growing community for new and upgraded services</w:t>
      </w:r>
      <w:r w:rsidR="00EE3B92" w:rsidRPr="0022670C">
        <w:rPr>
          <w:lang w:eastAsia="en-US"/>
        </w:rPr>
        <w:t>.</w:t>
      </w:r>
    </w:p>
    <w:p w14:paraId="496B061E" w14:textId="710649E8" w:rsidR="006C63E7" w:rsidRPr="0022670C" w:rsidRDefault="00EE3B92" w:rsidP="0022670C">
      <w:pPr>
        <w:pStyle w:val="Bulletlistmultilevel"/>
        <w:rPr>
          <w:lang w:eastAsia="en-US"/>
        </w:rPr>
      </w:pPr>
      <w:r w:rsidRPr="0022670C">
        <w:rPr>
          <w:lang w:eastAsia="en-US"/>
        </w:rPr>
        <w:t>Pressures of maintaining amenity in rural and fringe areas, and across many established townships.</w:t>
      </w:r>
    </w:p>
    <w:p w14:paraId="1A341C7C" w14:textId="77777777" w:rsidR="006C63E7" w:rsidRPr="0022670C" w:rsidRDefault="006C63E7" w:rsidP="0022670C">
      <w:pPr>
        <w:pStyle w:val="Bulletlistmultilevel"/>
        <w:rPr>
          <w:lang w:eastAsia="en-US"/>
        </w:rPr>
      </w:pPr>
      <w:r w:rsidRPr="0022670C">
        <w:rPr>
          <w:lang w:eastAsia="en-US"/>
        </w:rPr>
        <w:t xml:space="preserve">An asset renewal requirement </w:t>
      </w:r>
      <w:r w:rsidR="00913FD9" w:rsidRPr="0022670C">
        <w:rPr>
          <w:lang w:eastAsia="en-US"/>
        </w:rPr>
        <w:t>that is increasing as we grow.</w:t>
      </w:r>
    </w:p>
    <w:p w14:paraId="7D80E858" w14:textId="78D94139" w:rsidR="00B91822" w:rsidRPr="0022670C" w:rsidRDefault="00865473" w:rsidP="00B91822">
      <w:pPr>
        <w:rPr>
          <w:lang w:eastAsia="en-US"/>
        </w:rPr>
      </w:pPr>
      <w:r w:rsidRPr="0022670C">
        <w:rPr>
          <w:lang w:eastAsia="en-US"/>
        </w:rPr>
        <w:t>T</w:t>
      </w:r>
      <w:r w:rsidR="00BA4DFF" w:rsidRPr="0022670C">
        <w:rPr>
          <w:lang w:eastAsia="en-US"/>
        </w:rPr>
        <w:t>he following will be considered</w:t>
      </w:r>
      <w:r w:rsidRPr="0022670C">
        <w:rPr>
          <w:lang w:eastAsia="en-US"/>
        </w:rPr>
        <w:t xml:space="preserve"> </w:t>
      </w:r>
      <w:r w:rsidR="002A7232" w:rsidRPr="0022670C">
        <w:rPr>
          <w:lang w:eastAsia="en-US"/>
        </w:rPr>
        <w:t>as part of Council’s financial sustainability strategy:</w:t>
      </w:r>
    </w:p>
    <w:p w14:paraId="1E96511A" w14:textId="52F1E585" w:rsidR="00BA4DFF" w:rsidRPr="0022670C" w:rsidRDefault="00BA4DFF" w:rsidP="0022670C">
      <w:pPr>
        <w:pStyle w:val="Bulletlistmultilevel"/>
        <w:rPr>
          <w:lang w:eastAsia="en-US"/>
        </w:rPr>
      </w:pPr>
      <w:r w:rsidRPr="0022670C">
        <w:rPr>
          <w:lang w:eastAsia="en-US"/>
        </w:rPr>
        <w:t xml:space="preserve">Establish a </w:t>
      </w:r>
      <w:r w:rsidR="00EA3F8C" w:rsidRPr="0022670C">
        <w:rPr>
          <w:lang w:eastAsia="en-US"/>
        </w:rPr>
        <w:t>long-term</w:t>
      </w:r>
      <w:r w:rsidRPr="0022670C">
        <w:rPr>
          <w:lang w:eastAsia="en-US"/>
        </w:rPr>
        <w:t xml:space="preserve"> vision of a financially sustainable organisation to provide direction to Council and establish an appropriate </w:t>
      </w:r>
      <w:r w:rsidR="001714DF" w:rsidRPr="0022670C">
        <w:rPr>
          <w:lang w:eastAsia="en-US"/>
        </w:rPr>
        <w:t xml:space="preserve">governance </w:t>
      </w:r>
      <w:r w:rsidR="00A66368" w:rsidRPr="0022670C">
        <w:rPr>
          <w:lang w:eastAsia="en-US"/>
        </w:rPr>
        <w:t xml:space="preserve">framework </w:t>
      </w:r>
      <w:r w:rsidR="001714DF" w:rsidRPr="0022670C">
        <w:rPr>
          <w:lang w:eastAsia="en-US"/>
        </w:rPr>
        <w:t>for financially responsible decision making.</w:t>
      </w:r>
    </w:p>
    <w:p w14:paraId="1D55D946" w14:textId="40198458" w:rsidR="001714DF" w:rsidRPr="0022670C" w:rsidRDefault="001714DF" w:rsidP="0022670C">
      <w:pPr>
        <w:pStyle w:val="Bulletlistmultilevel"/>
        <w:rPr>
          <w:lang w:eastAsia="en-US"/>
        </w:rPr>
      </w:pPr>
      <w:r w:rsidRPr="0022670C">
        <w:rPr>
          <w:lang w:eastAsia="en-US"/>
        </w:rPr>
        <w:t>Assessment of the capacity to pay of the community and the impact on considerations for rate settings and affordability of fees and charges for services.</w:t>
      </w:r>
    </w:p>
    <w:p w14:paraId="74492457" w14:textId="78B938B6" w:rsidR="001714DF" w:rsidRPr="0022670C" w:rsidRDefault="001714DF" w:rsidP="0022670C">
      <w:pPr>
        <w:pStyle w:val="Bulletlistmultilevel"/>
        <w:rPr>
          <w:lang w:eastAsia="en-US"/>
        </w:rPr>
      </w:pPr>
      <w:r w:rsidRPr="0022670C">
        <w:rPr>
          <w:lang w:eastAsia="en-US"/>
        </w:rPr>
        <w:t xml:space="preserve">Review long term modelling </w:t>
      </w:r>
      <w:r w:rsidR="00335F7B" w:rsidRPr="0022670C">
        <w:rPr>
          <w:lang w:eastAsia="en-US"/>
        </w:rPr>
        <w:t>to ensure it includes all reasonable financial estimates.</w:t>
      </w:r>
    </w:p>
    <w:p w14:paraId="7BC83120" w14:textId="411621AC" w:rsidR="001D5012" w:rsidRPr="0022670C" w:rsidRDefault="00335F7B" w:rsidP="0022670C">
      <w:pPr>
        <w:pStyle w:val="Bulletlistmultilevel"/>
        <w:rPr>
          <w:lang w:eastAsia="en-US"/>
        </w:rPr>
      </w:pPr>
      <w:r w:rsidRPr="0022670C">
        <w:rPr>
          <w:lang w:eastAsia="en-US"/>
        </w:rPr>
        <w:t>Assessment of the current level</w:t>
      </w:r>
      <w:r w:rsidR="00392390" w:rsidRPr="0022670C">
        <w:rPr>
          <w:lang w:eastAsia="en-US"/>
        </w:rPr>
        <w:t>s</w:t>
      </w:r>
      <w:r w:rsidRPr="0022670C">
        <w:rPr>
          <w:lang w:eastAsia="en-US"/>
        </w:rPr>
        <w:t xml:space="preserve"> of </w:t>
      </w:r>
      <w:r w:rsidR="00D377B5" w:rsidRPr="0022670C">
        <w:rPr>
          <w:lang w:eastAsia="en-US"/>
        </w:rPr>
        <w:t>income.</w:t>
      </w:r>
    </w:p>
    <w:p w14:paraId="251964C4" w14:textId="17DB038D" w:rsidR="00335F7B" w:rsidRPr="0022670C" w:rsidRDefault="00335F7B" w:rsidP="0022670C">
      <w:pPr>
        <w:pStyle w:val="Bulletlistmultilevel"/>
        <w:rPr>
          <w:lang w:eastAsia="en-US"/>
        </w:rPr>
      </w:pPr>
      <w:r w:rsidRPr="0022670C">
        <w:rPr>
          <w:lang w:eastAsia="en-US"/>
        </w:rPr>
        <w:t xml:space="preserve">Examine all aspects of </w:t>
      </w:r>
      <w:r w:rsidR="00CB2A6D" w:rsidRPr="0022670C">
        <w:rPr>
          <w:lang w:eastAsia="en-US"/>
        </w:rPr>
        <w:t xml:space="preserve">the </w:t>
      </w:r>
      <w:r w:rsidR="004363BC" w:rsidRPr="0022670C">
        <w:rPr>
          <w:lang w:eastAsia="en-US"/>
        </w:rPr>
        <w:t>budget including operating, capital and project budgets and the progress of projects against timeframes.</w:t>
      </w:r>
    </w:p>
    <w:p w14:paraId="26CAF00B" w14:textId="7F1B7737" w:rsidR="004363BC" w:rsidRPr="0022670C" w:rsidRDefault="004363BC" w:rsidP="0022670C">
      <w:pPr>
        <w:pStyle w:val="Bulletlistmultilevel"/>
        <w:rPr>
          <w:lang w:eastAsia="en-US"/>
        </w:rPr>
      </w:pPr>
      <w:r w:rsidRPr="0022670C">
        <w:rPr>
          <w:lang w:eastAsia="en-US"/>
        </w:rPr>
        <w:lastRenderedPageBreak/>
        <w:t xml:space="preserve">Consider the efficiency and effectiveness </w:t>
      </w:r>
      <w:r w:rsidR="00CB3070" w:rsidRPr="0022670C">
        <w:rPr>
          <w:lang w:eastAsia="en-US"/>
        </w:rPr>
        <w:t>of current services and administration and then consider what is Council’s core business.</w:t>
      </w:r>
    </w:p>
    <w:p w14:paraId="5E92C0A7" w14:textId="540C9E46" w:rsidR="00CB3070" w:rsidRPr="0022670C" w:rsidRDefault="00F945B9" w:rsidP="0022670C">
      <w:pPr>
        <w:pStyle w:val="Bulletlistmultilevel"/>
        <w:rPr>
          <w:lang w:eastAsia="en-US"/>
        </w:rPr>
      </w:pPr>
      <w:r w:rsidRPr="0022670C">
        <w:rPr>
          <w:lang w:eastAsia="en-US"/>
        </w:rPr>
        <w:t xml:space="preserve">Consider the maturity of asset management and the accuracy of current </w:t>
      </w:r>
      <w:r w:rsidR="00597EDB" w:rsidRPr="0022670C">
        <w:rPr>
          <w:lang w:eastAsia="en-US"/>
        </w:rPr>
        <w:t xml:space="preserve">asset renewal </w:t>
      </w:r>
      <w:r w:rsidRPr="0022670C">
        <w:rPr>
          <w:lang w:eastAsia="en-US"/>
        </w:rPr>
        <w:t>projections</w:t>
      </w:r>
      <w:r w:rsidR="00597EDB" w:rsidRPr="0022670C">
        <w:rPr>
          <w:lang w:eastAsia="en-US"/>
        </w:rPr>
        <w:t>.</w:t>
      </w:r>
    </w:p>
    <w:p w14:paraId="27549991" w14:textId="0320BF85" w:rsidR="00F945B9" w:rsidRPr="0022670C" w:rsidRDefault="00F945B9" w:rsidP="0022670C">
      <w:pPr>
        <w:pStyle w:val="Bulletlistmultilevel"/>
        <w:rPr>
          <w:lang w:eastAsia="en-US"/>
        </w:rPr>
      </w:pPr>
      <w:r w:rsidRPr="0022670C">
        <w:rPr>
          <w:lang w:eastAsia="en-US"/>
        </w:rPr>
        <w:t xml:space="preserve">Consider alternative revenue sources and strategies to support </w:t>
      </w:r>
      <w:r w:rsidR="00F12469" w:rsidRPr="0022670C">
        <w:rPr>
          <w:lang w:eastAsia="en-US"/>
        </w:rPr>
        <w:t>them.</w:t>
      </w:r>
    </w:p>
    <w:p w14:paraId="3BDD9993" w14:textId="3F5964C9" w:rsidR="0022670C" w:rsidRDefault="00A165DA" w:rsidP="00A165DA">
      <w:pPr>
        <w:rPr>
          <w:lang w:eastAsia="en-US"/>
        </w:rPr>
      </w:pPr>
      <w:r w:rsidRPr="0022670C">
        <w:rPr>
          <w:lang w:eastAsia="en-US"/>
        </w:rPr>
        <w:t>In modelling the Financial Plan, a cost effi</w:t>
      </w:r>
      <w:r w:rsidR="001D11A4" w:rsidRPr="0022670C">
        <w:rPr>
          <w:lang w:eastAsia="en-US"/>
        </w:rPr>
        <w:t xml:space="preserve">ciency factor is assumed each year.  This factor recognises that delivering productivity in operations is an important consideration of Council.  It provides a starting point for determining productivity targets, which can be further informed by </w:t>
      </w:r>
      <w:r w:rsidR="00750D40" w:rsidRPr="0022670C">
        <w:rPr>
          <w:lang w:eastAsia="en-US"/>
        </w:rPr>
        <w:t xml:space="preserve">strategic priorities.  Primary focus areas include realising benefits from investment in technology, managing workforce productivity through wage growth control, continuous improvement in operational processes, discretionary cost containment, and effective balance sheet management. </w:t>
      </w:r>
    </w:p>
    <w:p w14:paraId="2F89C908" w14:textId="77777777" w:rsidR="0022670C" w:rsidRPr="0022670C" w:rsidRDefault="0022670C" w:rsidP="00A165DA">
      <w:pPr>
        <w:rPr>
          <w:lang w:eastAsia="en-US"/>
        </w:rPr>
      </w:pPr>
    </w:p>
    <w:p w14:paraId="5C7BDA13" w14:textId="112ACA7F" w:rsidR="00021DCC" w:rsidRPr="0022670C" w:rsidRDefault="0022670C" w:rsidP="0022670C">
      <w:pPr>
        <w:pStyle w:val="Heading2"/>
      </w:pPr>
      <w:bookmarkStart w:id="23" w:name="_Toc210205629"/>
      <w:bookmarkStart w:id="24" w:name="_Toc211874583"/>
      <w:r>
        <w:t xml:space="preserve">3.7 </w:t>
      </w:r>
      <w:r w:rsidR="00021DCC" w:rsidRPr="0022670C">
        <w:t>Strategic actions</w:t>
      </w:r>
      <w:bookmarkEnd w:id="23"/>
      <w:bookmarkEnd w:id="24"/>
    </w:p>
    <w:p w14:paraId="3B0287CE" w14:textId="768EDA85" w:rsidR="0022670C" w:rsidRPr="0022670C" w:rsidRDefault="00997291" w:rsidP="0022670C">
      <w:pPr>
        <w:rPr>
          <w:rFonts w:eastAsia="Arial"/>
          <w:lang w:eastAsia="en-US"/>
        </w:rPr>
      </w:pPr>
      <w:r w:rsidRPr="0022670C">
        <w:rPr>
          <w:rFonts w:eastAsia="Arial"/>
          <w:lang w:eastAsia="en-US"/>
        </w:rPr>
        <w:t xml:space="preserve">The following strategic actions outline our risk-based approach to financial sustainability and funding priorities.  These </w:t>
      </w:r>
      <w:r w:rsidR="00223546" w:rsidRPr="0022670C">
        <w:rPr>
          <w:rFonts w:eastAsia="Arial"/>
          <w:lang w:eastAsia="en-US"/>
        </w:rPr>
        <w:t xml:space="preserve">are the result of significant consultation within the organisation, with Councillors and </w:t>
      </w:r>
      <w:r w:rsidR="000376AF" w:rsidRPr="0022670C">
        <w:rPr>
          <w:rFonts w:eastAsia="Arial"/>
          <w:lang w:eastAsia="en-US"/>
        </w:rPr>
        <w:t xml:space="preserve">members of </w:t>
      </w:r>
      <w:r w:rsidR="00223546" w:rsidRPr="0022670C">
        <w:rPr>
          <w:rFonts w:eastAsia="Arial"/>
          <w:lang w:eastAsia="en-US"/>
        </w:rPr>
        <w:t>our community panel.</w:t>
      </w:r>
      <w:r w:rsidR="0022670C">
        <w:rPr>
          <w:rFonts w:eastAsia="Arial"/>
          <w:lang w:eastAsia="en-US"/>
        </w:rPr>
        <w:br/>
      </w:r>
    </w:p>
    <w:p w14:paraId="08218895" w14:textId="2C98193A" w:rsidR="00223546" w:rsidRPr="0022670C" w:rsidRDefault="002E4939" w:rsidP="002E4939">
      <w:pPr>
        <w:pStyle w:val="Heading4"/>
        <w:rPr>
          <w:color w:val="auto"/>
          <w:lang w:eastAsia="en-US"/>
        </w:rPr>
      </w:pPr>
      <w:r w:rsidRPr="0022670C">
        <w:rPr>
          <w:color w:val="auto"/>
          <w:lang w:eastAsia="en-US"/>
        </w:rPr>
        <w:t>Financial sustainability</w:t>
      </w:r>
    </w:p>
    <w:p w14:paraId="14F2F246" w14:textId="63CF383A" w:rsidR="002E4939" w:rsidRPr="0022670C" w:rsidRDefault="00CC0726" w:rsidP="002E4939">
      <w:pPr>
        <w:rPr>
          <w:rFonts w:eastAsia="Arial"/>
          <w:lang w:eastAsia="en-US"/>
        </w:rPr>
      </w:pPr>
      <w:r w:rsidRPr="0022670C">
        <w:rPr>
          <w:rFonts w:eastAsia="Arial"/>
          <w:lang w:eastAsia="en-US"/>
        </w:rPr>
        <w:t>We will be guided by the risk levels recommended by the Victorian Auditor General’s Office (VAGO) for our financial sustainability indicators.</w:t>
      </w:r>
    </w:p>
    <w:p w14:paraId="47B4C8DE" w14:textId="5618D076" w:rsidR="00CC0726" w:rsidRPr="0022670C" w:rsidRDefault="00CC0726" w:rsidP="0022670C">
      <w:pPr>
        <w:pStyle w:val="Bulletlistmultilevel"/>
        <w:rPr>
          <w:rFonts w:eastAsia="Arial"/>
          <w:lang w:eastAsia="en-US"/>
        </w:rPr>
      </w:pPr>
      <w:r w:rsidRPr="0022670C">
        <w:rPr>
          <w:rFonts w:eastAsia="Arial"/>
          <w:lang w:eastAsia="en-US"/>
        </w:rPr>
        <w:t>All key financial sustainability indicators will remain at low</w:t>
      </w:r>
      <w:r w:rsidR="0072592C" w:rsidRPr="0022670C">
        <w:rPr>
          <w:rFonts w:eastAsia="Arial"/>
          <w:lang w:eastAsia="en-US"/>
        </w:rPr>
        <w:t xml:space="preserve"> to medium</w:t>
      </w:r>
      <w:r w:rsidRPr="0022670C">
        <w:rPr>
          <w:rFonts w:eastAsia="Arial"/>
          <w:lang w:eastAsia="en-US"/>
        </w:rPr>
        <w:t xml:space="preserve"> risk except for the adjusted underlying result.</w:t>
      </w:r>
    </w:p>
    <w:p w14:paraId="13893D80" w14:textId="1CD862EE" w:rsidR="00CC0726" w:rsidRPr="0022670C" w:rsidRDefault="00CC0726" w:rsidP="0022670C">
      <w:pPr>
        <w:pStyle w:val="Bulletlistmultilevel"/>
        <w:rPr>
          <w:rFonts w:eastAsia="Arial"/>
          <w:lang w:eastAsia="en-US"/>
        </w:rPr>
      </w:pPr>
      <w:r w:rsidRPr="0022670C">
        <w:rPr>
          <w:rFonts w:eastAsia="Arial"/>
          <w:lang w:eastAsia="en-US"/>
        </w:rPr>
        <w:t xml:space="preserve">The adjusted underlying result remains at medium </w:t>
      </w:r>
      <w:r w:rsidR="00932F41" w:rsidRPr="0022670C">
        <w:rPr>
          <w:rFonts w:eastAsia="Arial"/>
          <w:lang w:eastAsia="en-US"/>
        </w:rPr>
        <w:t xml:space="preserve">to high </w:t>
      </w:r>
      <w:r w:rsidRPr="0022670C">
        <w:rPr>
          <w:rFonts w:eastAsia="Arial"/>
          <w:lang w:eastAsia="en-US"/>
        </w:rPr>
        <w:t xml:space="preserve">risk until </w:t>
      </w:r>
      <w:r w:rsidR="00B22062" w:rsidRPr="0022670C">
        <w:rPr>
          <w:rFonts w:eastAsia="Arial"/>
          <w:lang w:eastAsia="en-US"/>
        </w:rPr>
        <w:t xml:space="preserve">the outcomes of the financial sustainability strategy are confirmed.  This should result in appropriate measures being implemented </w:t>
      </w:r>
      <w:r w:rsidR="00EF1CF2" w:rsidRPr="0022670C">
        <w:rPr>
          <w:rFonts w:eastAsia="Arial"/>
          <w:lang w:eastAsia="en-US"/>
        </w:rPr>
        <w:t>to improve Council’s financial sustainability.</w:t>
      </w:r>
    </w:p>
    <w:p w14:paraId="3B6B6D75" w14:textId="12BAFDC1" w:rsidR="0001483B" w:rsidRPr="0022670C" w:rsidRDefault="00EF1CF2" w:rsidP="0022670C">
      <w:pPr>
        <w:pStyle w:val="Bulletlistmultilevel"/>
        <w:rPr>
          <w:rFonts w:eastAsia="Arial"/>
          <w:lang w:eastAsia="en-US"/>
        </w:rPr>
      </w:pPr>
      <w:r w:rsidRPr="0022670C">
        <w:rPr>
          <w:rFonts w:eastAsia="Arial"/>
          <w:lang w:eastAsia="en-US"/>
        </w:rPr>
        <w:t>Ongoing efficiency savings are built</w:t>
      </w:r>
      <w:r w:rsidR="0001483B" w:rsidRPr="0022670C">
        <w:rPr>
          <w:rFonts w:eastAsia="Arial"/>
          <w:lang w:eastAsia="en-US"/>
        </w:rPr>
        <w:t xml:space="preserve"> into the current projections with further savings to be identified as part of the financial sustainability strategy</w:t>
      </w:r>
      <w:r w:rsidR="00932F41" w:rsidRPr="0022670C">
        <w:rPr>
          <w:rFonts w:eastAsia="Arial"/>
          <w:lang w:eastAsia="en-US"/>
        </w:rPr>
        <w:t xml:space="preserve"> and the annual budget process</w:t>
      </w:r>
      <w:r w:rsidR="0001483B" w:rsidRPr="0022670C">
        <w:rPr>
          <w:rFonts w:eastAsia="Arial"/>
          <w:lang w:eastAsia="en-US"/>
        </w:rPr>
        <w:t>.</w:t>
      </w:r>
    </w:p>
    <w:p w14:paraId="06085853" w14:textId="37AA6528" w:rsidR="00EF1CF2" w:rsidRPr="0022670C" w:rsidRDefault="009E7319" w:rsidP="0022670C">
      <w:pPr>
        <w:pStyle w:val="Bulletlistmultilevel"/>
        <w:rPr>
          <w:rFonts w:eastAsia="Arial"/>
          <w:lang w:eastAsia="en-US"/>
        </w:rPr>
      </w:pPr>
      <w:r w:rsidRPr="0022670C">
        <w:rPr>
          <w:rFonts w:eastAsia="Arial"/>
          <w:lang w:eastAsia="en-US"/>
        </w:rPr>
        <w:t xml:space="preserve">Council will consider risk appetite levels as they apply to financial sustainability and will build any mitigations </w:t>
      </w:r>
      <w:r w:rsidR="00BF2F9C" w:rsidRPr="0022670C">
        <w:rPr>
          <w:rFonts w:eastAsia="Arial"/>
          <w:lang w:eastAsia="en-US"/>
        </w:rPr>
        <w:t>needed into long term financial planning.</w:t>
      </w:r>
    </w:p>
    <w:p w14:paraId="246E7844" w14:textId="1670E543" w:rsidR="006C4EA2" w:rsidRPr="0022670C" w:rsidRDefault="00F93512" w:rsidP="0022670C">
      <w:pPr>
        <w:pStyle w:val="Bulletlistmultilevel"/>
        <w:rPr>
          <w:rFonts w:eastAsia="Arial"/>
          <w:lang w:eastAsia="en-US"/>
        </w:rPr>
      </w:pPr>
      <w:r w:rsidRPr="0022670C">
        <w:rPr>
          <w:rFonts w:eastAsia="Arial"/>
          <w:lang w:eastAsia="en-US"/>
        </w:rPr>
        <w:t>Make the most of Developer Contributions and Public Open Space levies to fund community infrastructure, while reducing the risk of Council having to cover funding gaps</w:t>
      </w:r>
      <w:r w:rsidR="00211C02" w:rsidRPr="0022670C">
        <w:rPr>
          <w:rFonts w:eastAsia="Arial"/>
          <w:lang w:eastAsia="en-US"/>
        </w:rPr>
        <w:t>.</w:t>
      </w:r>
    </w:p>
    <w:p w14:paraId="72334A2A" w14:textId="6E91A300" w:rsidR="00211C02" w:rsidRPr="0022670C" w:rsidRDefault="00211C02" w:rsidP="0022670C">
      <w:pPr>
        <w:pStyle w:val="Bulletlistmultilevel"/>
        <w:rPr>
          <w:rFonts w:eastAsia="Arial"/>
          <w:lang w:eastAsia="en-US"/>
        </w:rPr>
      </w:pPr>
      <w:r w:rsidRPr="0022670C">
        <w:rPr>
          <w:rFonts w:eastAsia="Arial"/>
          <w:lang w:eastAsia="en-US"/>
        </w:rPr>
        <w:t>Council will invest in digital transformation to improve the efficiency of services to its growing community, to enable greater levels of productivity across Council</w:t>
      </w:r>
      <w:r w:rsidR="00BB63B2" w:rsidRPr="0022670C">
        <w:rPr>
          <w:rFonts w:eastAsia="Arial"/>
          <w:lang w:eastAsia="en-US"/>
        </w:rPr>
        <w:t>.</w:t>
      </w:r>
    </w:p>
    <w:p w14:paraId="3264E6A7" w14:textId="5D3CD7C7" w:rsidR="0022670C" w:rsidRPr="0022670C" w:rsidRDefault="00533FC7" w:rsidP="0022670C">
      <w:pPr>
        <w:pStyle w:val="Bulletlistmultilevel"/>
        <w:rPr>
          <w:rFonts w:eastAsia="Arial"/>
          <w:lang w:eastAsia="en-US"/>
        </w:rPr>
      </w:pPr>
      <w:r w:rsidRPr="0022670C">
        <w:rPr>
          <w:rFonts w:eastAsia="Arial"/>
          <w:lang w:eastAsia="en-US"/>
        </w:rPr>
        <w:t>Council will aim to get as much grant funding as possible from Commonwealth and State Governments to help pay for infrastructure and ongoing services</w:t>
      </w:r>
      <w:r w:rsidR="00BB63B2" w:rsidRPr="0022670C">
        <w:rPr>
          <w:rFonts w:eastAsia="Arial"/>
          <w:lang w:eastAsia="en-US"/>
        </w:rPr>
        <w:t>.</w:t>
      </w:r>
      <w:r w:rsidR="0022670C">
        <w:rPr>
          <w:rFonts w:eastAsia="Arial"/>
          <w:lang w:eastAsia="en-US"/>
        </w:rPr>
        <w:br/>
      </w:r>
    </w:p>
    <w:p w14:paraId="1943F45A" w14:textId="7A5ED16C" w:rsidR="00BF2F9C" w:rsidRPr="0022670C" w:rsidRDefault="00BF2F9C" w:rsidP="00BF2F9C">
      <w:pPr>
        <w:pStyle w:val="Heading4"/>
        <w:rPr>
          <w:color w:val="auto"/>
          <w:lang w:eastAsia="en-US"/>
        </w:rPr>
      </w:pPr>
      <w:r w:rsidRPr="0022670C">
        <w:rPr>
          <w:color w:val="auto"/>
          <w:lang w:eastAsia="en-US"/>
        </w:rPr>
        <w:t>Asset management</w:t>
      </w:r>
    </w:p>
    <w:p w14:paraId="4CC16E66" w14:textId="2D49329B" w:rsidR="00BF2F9C" w:rsidRPr="0022670C" w:rsidRDefault="00BF2F9C" w:rsidP="0022670C">
      <w:pPr>
        <w:pStyle w:val="Bulletlistmultilevel"/>
        <w:rPr>
          <w:rFonts w:eastAsia="Arial"/>
          <w:lang w:eastAsia="en-US"/>
        </w:rPr>
      </w:pPr>
      <w:r w:rsidRPr="0022670C">
        <w:rPr>
          <w:rFonts w:eastAsia="Arial"/>
          <w:lang w:eastAsia="en-US"/>
        </w:rPr>
        <w:t xml:space="preserve">Through the asset management plans, Council will </w:t>
      </w:r>
      <w:r w:rsidR="003971A4" w:rsidRPr="0022670C">
        <w:rPr>
          <w:rFonts w:eastAsia="Arial"/>
          <w:lang w:eastAsia="en-US"/>
        </w:rPr>
        <w:t xml:space="preserve">ensure </w:t>
      </w:r>
      <w:r w:rsidRPr="0022670C">
        <w:rPr>
          <w:rFonts w:eastAsia="Arial"/>
          <w:lang w:eastAsia="en-US"/>
        </w:rPr>
        <w:t xml:space="preserve">its focus </w:t>
      </w:r>
      <w:r w:rsidR="003971A4" w:rsidRPr="0022670C">
        <w:rPr>
          <w:rFonts w:eastAsia="Arial"/>
          <w:lang w:eastAsia="en-US"/>
        </w:rPr>
        <w:t xml:space="preserve">is </w:t>
      </w:r>
      <w:r w:rsidRPr="0022670C">
        <w:rPr>
          <w:rFonts w:eastAsia="Arial"/>
          <w:lang w:eastAsia="en-US"/>
        </w:rPr>
        <w:t>on maintenance and renewal of existing assets</w:t>
      </w:r>
      <w:r w:rsidR="00C7567B" w:rsidRPr="0022670C">
        <w:rPr>
          <w:rFonts w:eastAsia="Arial"/>
          <w:lang w:eastAsia="en-US"/>
        </w:rPr>
        <w:t xml:space="preserve"> over the creation of new ones, focusing on cost management and community need. </w:t>
      </w:r>
    </w:p>
    <w:p w14:paraId="4A5B85FE" w14:textId="30F0467C" w:rsidR="001A0362" w:rsidRPr="0022670C" w:rsidRDefault="001A0362" w:rsidP="0022670C">
      <w:pPr>
        <w:pStyle w:val="Bulletlistmultilevel"/>
        <w:rPr>
          <w:rFonts w:eastAsia="Arial"/>
          <w:lang w:eastAsia="en-US"/>
        </w:rPr>
      </w:pPr>
      <w:r w:rsidRPr="0022670C">
        <w:rPr>
          <w:rFonts w:eastAsia="Arial"/>
          <w:lang w:eastAsia="en-US"/>
        </w:rPr>
        <w:t xml:space="preserve">Continued maturity of strategic asset management and capital delivery to optimise renewals and new capital investments </w:t>
      </w:r>
      <w:r w:rsidR="00A618A4" w:rsidRPr="0022670C">
        <w:rPr>
          <w:rFonts w:eastAsia="Arial"/>
          <w:lang w:eastAsia="en-US"/>
        </w:rPr>
        <w:t xml:space="preserve">using </w:t>
      </w:r>
      <w:r w:rsidR="00D16E67" w:rsidRPr="0022670C">
        <w:rPr>
          <w:rFonts w:eastAsia="Arial"/>
          <w:lang w:eastAsia="en-US"/>
        </w:rPr>
        <w:t>evidence-based</w:t>
      </w:r>
      <w:r w:rsidRPr="0022670C">
        <w:rPr>
          <w:rFonts w:eastAsia="Arial"/>
          <w:lang w:eastAsia="en-US"/>
        </w:rPr>
        <w:t xml:space="preserve"> decisions and strong project governance. </w:t>
      </w:r>
    </w:p>
    <w:p w14:paraId="60F74CED" w14:textId="183E5DF0" w:rsidR="0022670C" w:rsidRPr="0022670C" w:rsidRDefault="001D19FD" w:rsidP="0022670C">
      <w:pPr>
        <w:pStyle w:val="Bulletlistmultilevel"/>
        <w:rPr>
          <w:rFonts w:eastAsia="Arial"/>
          <w:lang w:eastAsia="en-US"/>
        </w:rPr>
      </w:pPr>
      <w:r w:rsidRPr="0022670C">
        <w:rPr>
          <w:rFonts w:eastAsia="Arial"/>
          <w:lang w:eastAsia="en-US"/>
        </w:rPr>
        <w:t xml:space="preserve">Continued maturity of </w:t>
      </w:r>
      <w:r w:rsidR="00526568" w:rsidRPr="0022670C">
        <w:rPr>
          <w:rFonts w:eastAsia="Arial"/>
          <w:lang w:eastAsia="en-US"/>
        </w:rPr>
        <w:t xml:space="preserve">understanding of Council’s renewal gap to ensure any backlogs are addressed within financial constraints. </w:t>
      </w:r>
    </w:p>
    <w:p w14:paraId="05F8CE6F" w14:textId="77777777" w:rsidR="008F54B0" w:rsidRPr="0022670C" w:rsidRDefault="00A616C2" w:rsidP="008F54B0">
      <w:pPr>
        <w:pStyle w:val="Heading4"/>
        <w:rPr>
          <w:color w:val="auto"/>
          <w:lang w:eastAsia="en-US"/>
        </w:rPr>
      </w:pPr>
      <w:r w:rsidRPr="0022670C">
        <w:rPr>
          <w:color w:val="auto"/>
          <w:lang w:eastAsia="en-US"/>
        </w:rPr>
        <w:lastRenderedPageBreak/>
        <w:t>Service levels</w:t>
      </w:r>
    </w:p>
    <w:p w14:paraId="6E6CE682" w14:textId="0F924651" w:rsidR="002706B2" w:rsidRPr="0022670C" w:rsidRDefault="008F54B0" w:rsidP="0022670C">
      <w:pPr>
        <w:pStyle w:val="Bulletlistmultilevel"/>
        <w:rPr>
          <w:rFonts w:asciiTheme="majorHAnsi" w:eastAsiaTheme="majorEastAsia" w:hAnsiTheme="majorHAnsi" w:cstheme="majorBidi"/>
          <w:lang w:eastAsia="en-US"/>
        </w:rPr>
      </w:pPr>
      <w:r w:rsidRPr="0022670C">
        <w:rPr>
          <w:rFonts w:eastAsia="Arial"/>
        </w:rPr>
        <w:t xml:space="preserve">Service levels are to remain </w:t>
      </w:r>
      <w:r w:rsidR="00A31E62" w:rsidRPr="0022670C">
        <w:rPr>
          <w:rFonts w:eastAsia="Arial"/>
        </w:rPr>
        <w:t>at</w:t>
      </w:r>
      <w:r w:rsidRPr="0022670C">
        <w:rPr>
          <w:rFonts w:eastAsia="Arial"/>
        </w:rPr>
        <w:t xml:space="preserve"> similar levels pending the outcomes of </w:t>
      </w:r>
      <w:r w:rsidR="0087264F" w:rsidRPr="0022670C">
        <w:rPr>
          <w:rFonts w:eastAsia="Arial"/>
        </w:rPr>
        <w:t xml:space="preserve">the development of </w:t>
      </w:r>
      <w:r w:rsidR="00DD5697" w:rsidRPr="0022670C">
        <w:rPr>
          <w:rFonts w:eastAsia="Arial"/>
        </w:rPr>
        <w:t>Council’s service review framework.</w:t>
      </w:r>
    </w:p>
    <w:p w14:paraId="0CF62DD7" w14:textId="4A0844AE" w:rsidR="00DF7AB6" w:rsidRPr="0022670C" w:rsidRDefault="00DD5697" w:rsidP="0022670C">
      <w:pPr>
        <w:pStyle w:val="Bulletlistmultilevel"/>
        <w:rPr>
          <w:rFonts w:eastAsiaTheme="majorEastAsia"/>
          <w:lang w:eastAsia="en-US"/>
        </w:rPr>
      </w:pPr>
      <w:r w:rsidRPr="0022670C">
        <w:rPr>
          <w:rFonts w:eastAsiaTheme="majorEastAsia"/>
          <w:lang w:eastAsia="en-US"/>
        </w:rPr>
        <w:t xml:space="preserve">Council to continue to review </w:t>
      </w:r>
      <w:r w:rsidR="00EE4577" w:rsidRPr="0022670C">
        <w:rPr>
          <w:rFonts w:eastAsiaTheme="majorEastAsia"/>
          <w:lang w:eastAsia="en-US"/>
        </w:rPr>
        <w:t>all</w:t>
      </w:r>
      <w:r w:rsidRPr="0022670C">
        <w:rPr>
          <w:rFonts w:eastAsiaTheme="majorEastAsia"/>
          <w:lang w:eastAsia="en-US"/>
        </w:rPr>
        <w:t xml:space="preserve"> its key services to ensure that the community is receiving value for money.  </w:t>
      </w:r>
      <w:r w:rsidR="00434A5E" w:rsidRPr="0022670C">
        <w:rPr>
          <w:rFonts w:eastAsiaTheme="majorEastAsia"/>
          <w:lang w:eastAsia="en-US"/>
        </w:rPr>
        <w:t xml:space="preserve">Following the implementation of the service review framework, a scheduled review of Council services in detail will ensure that </w:t>
      </w:r>
      <w:r w:rsidR="002F7B82" w:rsidRPr="0022670C">
        <w:rPr>
          <w:rFonts w:eastAsiaTheme="majorEastAsia"/>
          <w:lang w:eastAsia="en-US"/>
        </w:rPr>
        <w:t>it is</w:t>
      </w:r>
      <w:r w:rsidR="00434A5E" w:rsidRPr="0022670C">
        <w:rPr>
          <w:rFonts w:eastAsiaTheme="majorEastAsia"/>
          <w:lang w:eastAsia="en-US"/>
        </w:rPr>
        <w:t xml:space="preserve"> operating efficiently and delivering the services required by the community. </w:t>
      </w:r>
    </w:p>
    <w:p w14:paraId="3AD7736A" w14:textId="2D41C8BB" w:rsidR="0022670C" w:rsidRPr="0022670C" w:rsidRDefault="002706B2" w:rsidP="0022670C">
      <w:pPr>
        <w:pStyle w:val="Bulletlistmultilevel"/>
        <w:rPr>
          <w:rFonts w:asciiTheme="majorHAnsi" w:eastAsiaTheme="majorEastAsia" w:hAnsiTheme="majorHAnsi" w:cstheme="majorBidi"/>
          <w:lang w:eastAsia="en-US"/>
        </w:rPr>
      </w:pPr>
      <w:r w:rsidRPr="0022670C">
        <w:rPr>
          <w:rFonts w:eastAsia="Arial"/>
        </w:rPr>
        <w:t>As part of the service review process, the most appropriate fees and charges are considered to balance the key principles of service cost and quality standards, value for money, community expectations, affordability and access</w:t>
      </w:r>
      <w:r w:rsidR="00ED734F" w:rsidRPr="0022670C">
        <w:rPr>
          <w:rFonts w:eastAsia="Arial"/>
        </w:rPr>
        <w:t>ibility.  This is aligned with standard pricing strategies of market pricing (benchmarked), full cost recovery (cost neutral) and subsidised.</w:t>
      </w:r>
      <w:r w:rsidR="0022670C">
        <w:rPr>
          <w:rFonts w:asciiTheme="majorHAnsi" w:eastAsiaTheme="majorEastAsia" w:hAnsiTheme="majorHAnsi" w:cstheme="majorBidi"/>
          <w:lang w:eastAsia="en-US"/>
        </w:rPr>
        <w:br/>
      </w:r>
    </w:p>
    <w:p w14:paraId="31EE0898" w14:textId="77777777" w:rsidR="00CC51BE" w:rsidRPr="0022670C" w:rsidRDefault="00CC51BE" w:rsidP="00CC51BE">
      <w:pPr>
        <w:pStyle w:val="Heading4"/>
        <w:rPr>
          <w:color w:val="auto"/>
        </w:rPr>
      </w:pPr>
      <w:r w:rsidRPr="0022670C">
        <w:rPr>
          <w:color w:val="auto"/>
        </w:rPr>
        <w:t>Borrowings</w:t>
      </w:r>
    </w:p>
    <w:p w14:paraId="593A212D" w14:textId="24B703AF" w:rsidR="00415023" w:rsidRPr="0022670C" w:rsidRDefault="0054205B" w:rsidP="0022670C">
      <w:pPr>
        <w:pStyle w:val="Bulletlistmultilevel"/>
        <w:rPr>
          <w:rFonts w:eastAsiaTheme="majorEastAsia"/>
          <w:lang w:eastAsia="en-US"/>
        </w:rPr>
      </w:pPr>
      <w:r w:rsidRPr="0022670C">
        <w:rPr>
          <w:rFonts w:eastAsiaTheme="majorEastAsia"/>
          <w:lang w:eastAsia="en-US"/>
        </w:rPr>
        <w:t>Council will consider borrowing money when planning its Capital Works Program to help cover gaps between when cash is available and when it’s needed.</w:t>
      </w:r>
      <w:r w:rsidR="00BA2B7E" w:rsidRPr="0022670C">
        <w:rPr>
          <w:rFonts w:eastAsiaTheme="majorEastAsia"/>
          <w:lang w:eastAsia="en-US"/>
        </w:rPr>
        <w:t xml:space="preserve">  </w:t>
      </w:r>
    </w:p>
    <w:p w14:paraId="58B7B845" w14:textId="524E84BD" w:rsidR="00BD512E" w:rsidRPr="0022670C" w:rsidRDefault="004F168E" w:rsidP="0022670C">
      <w:pPr>
        <w:pStyle w:val="Bulletlistmultilevel"/>
        <w:rPr>
          <w:rFonts w:eastAsiaTheme="majorEastAsia"/>
          <w:lang w:eastAsia="en-US"/>
        </w:rPr>
      </w:pPr>
      <w:r w:rsidRPr="0022670C">
        <w:rPr>
          <w:rFonts w:eastAsiaTheme="majorEastAsia"/>
          <w:lang w:eastAsia="en-US"/>
        </w:rPr>
        <w:t>Council will borrow money based on cash flow needs, not to fund specific projects or investments.</w:t>
      </w:r>
    </w:p>
    <w:p w14:paraId="2AF442EF" w14:textId="6D2E0D88" w:rsidR="00FD1510" w:rsidRPr="009D01B2" w:rsidRDefault="00CC51BE" w:rsidP="0022670C">
      <w:pPr>
        <w:pStyle w:val="Bulletlistmultilevel"/>
        <w:rPr>
          <w:rFonts w:eastAsiaTheme="majorEastAsia"/>
          <w:lang w:eastAsia="en-US"/>
        </w:rPr>
      </w:pPr>
      <w:r w:rsidRPr="0022670C">
        <w:rPr>
          <w:rFonts w:eastAsia="Arial"/>
        </w:rPr>
        <w:t xml:space="preserve">A borrowing policy has been </w:t>
      </w:r>
      <w:r w:rsidR="006B1C40" w:rsidRPr="0022670C">
        <w:rPr>
          <w:rFonts w:eastAsia="Arial"/>
        </w:rPr>
        <w:t xml:space="preserve">drafted and will be </w:t>
      </w:r>
      <w:r w:rsidR="00675E12" w:rsidRPr="0022670C">
        <w:rPr>
          <w:rFonts w:eastAsia="Arial"/>
        </w:rPr>
        <w:t xml:space="preserve">considered for endorsement </w:t>
      </w:r>
      <w:r w:rsidR="00550B4A" w:rsidRPr="0022670C">
        <w:rPr>
          <w:rFonts w:eastAsia="Arial"/>
        </w:rPr>
        <w:t xml:space="preserve">by Council in support of </w:t>
      </w:r>
      <w:r w:rsidR="006B1C40" w:rsidRPr="0022670C">
        <w:rPr>
          <w:rFonts w:eastAsia="Arial"/>
        </w:rPr>
        <w:t>the Financial Plan.</w:t>
      </w:r>
      <w:r w:rsidR="00FD1510" w:rsidRPr="009D01B2">
        <w:rPr>
          <w:rFonts w:eastAsia="Arial"/>
        </w:rPr>
        <w:br w:type="page"/>
      </w:r>
    </w:p>
    <w:p w14:paraId="577B7F9C" w14:textId="77777777" w:rsidR="00563DE5" w:rsidRDefault="00563DE5" w:rsidP="0022670C">
      <w:pPr>
        <w:pStyle w:val="Heading2"/>
        <w:ind w:left="360"/>
        <w:rPr>
          <w:rFonts w:eastAsia="Arial"/>
        </w:rPr>
        <w:sectPr w:rsidR="00563DE5" w:rsidSect="0022670C">
          <w:headerReference w:type="even" r:id="rId17"/>
          <w:headerReference w:type="default" r:id="rId18"/>
          <w:footerReference w:type="even" r:id="rId19"/>
          <w:footerReference w:type="default" r:id="rId20"/>
          <w:headerReference w:type="first" r:id="rId21"/>
          <w:pgSz w:w="11906" w:h="16838" w:code="9"/>
          <w:pgMar w:top="1701" w:right="991" w:bottom="1440" w:left="1560" w:header="567" w:footer="782" w:gutter="0"/>
          <w:cols w:space="708"/>
          <w:docGrid w:linePitch="360"/>
        </w:sectPr>
      </w:pPr>
    </w:p>
    <w:p w14:paraId="6AC21AEE" w14:textId="2090C013" w:rsidR="0040173D" w:rsidRDefault="0023074D" w:rsidP="0022670C">
      <w:pPr>
        <w:pStyle w:val="Heading1"/>
        <w:numPr>
          <w:ilvl w:val="0"/>
          <w:numId w:val="28"/>
        </w:numPr>
      </w:pPr>
      <w:bookmarkStart w:id="25" w:name="_Toc210205630"/>
      <w:bookmarkStart w:id="26" w:name="_Toc211874584"/>
      <w:r>
        <w:lastRenderedPageBreak/>
        <w:t>Financial performance statement</w:t>
      </w:r>
      <w:bookmarkEnd w:id="25"/>
      <w:bookmarkEnd w:id="26"/>
    </w:p>
    <w:p w14:paraId="4ADB6F87" w14:textId="77777777" w:rsidR="0022670C" w:rsidRPr="0022670C" w:rsidRDefault="0022670C" w:rsidP="0022670C">
      <w:pPr>
        <w:rPr>
          <w:rFonts w:eastAsia="Arial"/>
          <w:lang w:eastAsia="en-US"/>
        </w:rPr>
      </w:pPr>
    </w:p>
    <w:p w14:paraId="4CA5F862" w14:textId="258676DB" w:rsidR="0070684A" w:rsidRPr="0022670C" w:rsidRDefault="0022670C" w:rsidP="0022670C">
      <w:pPr>
        <w:pStyle w:val="Heading2"/>
      </w:pPr>
      <w:bookmarkStart w:id="27" w:name="_Toc210205631"/>
      <w:bookmarkStart w:id="28" w:name="_Toc211874585"/>
      <w:bookmarkStart w:id="29" w:name="_Ref161136141"/>
      <w:bookmarkStart w:id="30" w:name="_Ref162962081"/>
      <w:r>
        <w:t xml:space="preserve">4.1 </w:t>
      </w:r>
      <w:r w:rsidR="00652CEF" w:rsidRPr="0022670C">
        <w:t>Financial sustainability indicators</w:t>
      </w:r>
      <w:bookmarkEnd w:id="27"/>
      <w:bookmarkEnd w:id="28"/>
    </w:p>
    <w:p w14:paraId="622A9575" w14:textId="58CF630E" w:rsidR="0012281A" w:rsidRPr="0022670C" w:rsidRDefault="00A60DC6">
      <w:r w:rsidRPr="0022670C">
        <w:t xml:space="preserve">Council is committed to remaining in a strong financial position and </w:t>
      </w:r>
      <w:r w:rsidR="00A341EE" w:rsidRPr="0022670C">
        <w:t xml:space="preserve">uses </w:t>
      </w:r>
      <w:r w:rsidRPr="0022670C">
        <w:t xml:space="preserve">VAGO’s financial sustainability indicators when making assessments </w:t>
      </w:r>
      <w:r w:rsidR="0012281A" w:rsidRPr="0022670C">
        <w:t>regarding financial risks and forward planning.</w:t>
      </w:r>
      <w:r w:rsidR="00B73EF1" w:rsidRPr="0022670C">
        <w:t xml:space="preserve"> </w:t>
      </w:r>
      <w:r w:rsidR="0012281A" w:rsidRPr="0022670C">
        <w:t xml:space="preserve">This section defines the measures that demonstrate Council’s financial sustainability to fund </w:t>
      </w:r>
      <w:r w:rsidR="00EC7946" w:rsidRPr="0022670C">
        <w:t xml:space="preserve">key </w:t>
      </w:r>
      <w:r w:rsidR="0012281A" w:rsidRPr="0022670C">
        <w:t>Council Plan</w:t>
      </w:r>
      <w:r w:rsidR="00EC7946" w:rsidRPr="0022670C">
        <w:t xml:space="preserve"> initiatives. </w:t>
      </w:r>
    </w:p>
    <w:p w14:paraId="48DF4E5E" w14:textId="4D1E1675" w:rsidR="00282E95" w:rsidRDefault="0012281A">
      <w:r w:rsidRPr="0022670C">
        <w:t>The table below shows the forecast result</w:t>
      </w:r>
      <w:r w:rsidR="00550206" w:rsidRPr="0022670C">
        <w:t>s</w:t>
      </w:r>
      <w:r w:rsidRPr="0022670C">
        <w:t xml:space="preserve"> for the </w:t>
      </w:r>
      <w:r w:rsidR="004A7492" w:rsidRPr="0022670C">
        <w:t>seven</w:t>
      </w:r>
      <w:r w:rsidRPr="0022670C">
        <w:t xml:space="preserve"> key VAGO financial sustainability indicators over the 10 years of the Financial Plan.</w:t>
      </w:r>
    </w:p>
    <w:p w14:paraId="75D2CD01" w14:textId="77777777" w:rsidR="0022670C" w:rsidRDefault="0022670C"/>
    <w:tbl>
      <w:tblPr>
        <w:tblStyle w:val="CSCGridblue"/>
        <w:tblW w:w="5000" w:type="pct"/>
        <w:tblLook w:val="04A0" w:firstRow="1" w:lastRow="0" w:firstColumn="1" w:lastColumn="0" w:noHBand="0" w:noVBand="1"/>
      </w:tblPr>
      <w:tblGrid>
        <w:gridCol w:w="2596"/>
        <w:gridCol w:w="914"/>
        <w:gridCol w:w="961"/>
        <w:gridCol w:w="961"/>
        <w:gridCol w:w="960"/>
        <w:gridCol w:w="960"/>
        <w:gridCol w:w="960"/>
        <w:gridCol w:w="960"/>
        <w:gridCol w:w="960"/>
        <w:gridCol w:w="960"/>
        <w:gridCol w:w="960"/>
        <w:gridCol w:w="968"/>
      </w:tblGrid>
      <w:tr w:rsidR="00740273" w:rsidRPr="0022670C" w14:paraId="51429651" w14:textId="77777777" w:rsidTr="00930A3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989" w:type="pct"/>
            <w:vMerge w:val="restart"/>
            <w:vAlign w:val="center"/>
          </w:tcPr>
          <w:p w14:paraId="60774164" w14:textId="7AABD1A9" w:rsidR="00740273" w:rsidRPr="0022670C" w:rsidRDefault="00740273" w:rsidP="0022670C">
            <w:pPr>
              <w:spacing w:before="0" w:after="0"/>
            </w:pPr>
            <w:r w:rsidRPr="0022670C">
              <w:t>Ratio</w:t>
            </w:r>
          </w:p>
        </w:tc>
        <w:tc>
          <w:tcPr>
            <w:tcW w:w="348" w:type="pct"/>
            <w:vMerge w:val="restart"/>
            <w:vAlign w:val="center"/>
          </w:tcPr>
          <w:p w14:paraId="5A147650" w14:textId="12193329"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Target</w:t>
            </w:r>
          </w:p>
        </w:tc>
        <w:tc>
          <w:tcPr>
            <w:tcW w:w="3663" w:type="pct"/>
            <w:gridSpan w:val="10"/>
          </w:tcPr>
          <w:p w14:paraId="454CF2BB" w14:textId="14247429" w:rsidR="00740273" w:rsidRPr="0022670C" w:rsidRDefault="00740273" w:rsidP="0022670C">
            <w:pPr>
              <w:spacing w:before="0" w:after="0"/>
              <w:jc w:val="center"/>
              <w:cnfStyle w:val="100000000000" w:firstRow="1" w:lastRow="0" w:firstColumn="0" w:lastColumn="0" w:oddVBand="0" w:evenVBand="0" w:oddHBand="0" w:evenHBand="0" w:firstRowFirstColumn="0" w:firstRowLastColumn="0" w:lastRowFirstColumn="0" w:lastRowLastColumn="0"/>
            </w:pPr>
            <w:r w:rsidRPr="0022670C">
              <w:t>Forecast</w:t>
            </w:r>
          </w:p>
        </w:tc>
      </w:tr>
      <w:tr w:rsidR="00740273" w:rsidRPr="0022670C" w14:paraId="09530D60" w14:textId="77777777" w:rsidTr="00930A3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989" w:type="pct"/>
            <w:vMerge/>
          </w:tcPr>
          <w:p w14:paraId="68E55EBB" w14:textId="77777777" w:rsidR="00740273" w:rsidRPr="0022670C" w:rsidRDefault="00740273" w:rsidP="0022670C">
            <w:pPr>
              <w:spacing w:before="0" w:after="0"/>
            </w:pPr>
          </w:p>
        </w:tc>
        <w:tc>
          <w:tcPr>
            <w:tcW w:w="348" w:type="pct"/>
            <w:vMerge/>
          </w:tcPr>
          <w:p w14:paraId="42701369" w14:textId="77777777"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p>
        </w:tc>
        <w:tc>
          <w:tcPr>
            <w:tcW w:w="366" w:type="pct"/>
          </w:tcPr>
          <w:p w14:paraId="1B1926FC" w14:textId="0081F6E1"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2025/26</w:t>
            </w:r>
          </w:p>
        </w:tc>
        <w:tc>
          <w:tcPr>
            <w:tcW w:w="366" w:type="pct"/>
          </w:tcPr>
          <w:p w14:paraId="2B610E49" w14:textId="69A1F9AE"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2026/27</w:t>
            </w:r>
          </w:p>
        </w:tc>
        <w:tc>
          <w:tcPr>
            <w:tcW w:w="366" w:type="pct"/>
          </w:tcPr>
          <w:p w14:paraId="20651C34" w14:textId="7EABA22B"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2027/28</w:t>
            </w:r>
          </w:p>
        </w:tc>
        <w:tc>
          <w:tcPr>
            <w:tcW w:w="366" w:type="pct"/>
          </w:tcPr>
          <w:p w14:paraId="781E497C" w14:textId="3690925C"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2028/29</w:t>
            </w:r>
          </w:p>
        </w:tc>
        <w:tc>
          <w:tcPr>
            <w:tcW w:w="366" w:type="pct"/>
          </w:tcPr>
          <w:p w14:paraId="491D5234" w14:textId="177B6FD7"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2029/30</w:t>
            </w:r>
          </w:p>
        </w:tc>
        <w:tc>
          <w:tcPr>
            <w:tcW w:w="366" w:type="pct"/>
          </w:tcPr>
          <w:p w14:paraId="3CC97688" w14:textId="415448D1"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2030/31</w:t>
            </w:r>
          </w:p>
        </w:tc>
        <w:tc>
          <w:tcPr>
            <w:tcW w:w="366" w:type="pct"/>
          </w:tcPr>
          <w:p w14:paraId="61C3DF43" w14:textId="71EF12B4"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2031/32</w:t>
            </w:r>
          </w:p>
        </w:tc>
        <w:tc>
          <w:tcPr>
            <w:tcW w:w="366" w:type="pct"/>
          </w:tcPr>
          <w:p w14:paraId="1778C396" w14:textId="24FBF369"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2032/33</w:t>
            </w:r>
          </w:p>
        </w:tc>
        <w:tc>
          <w:tcPr>
            <w:tcW w:w="366" w:type="pct"/>
          </w:tcPr>
          <w:p w14:paraId="415E5C0D" w14:textId="4CF4411E"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2033/34</w:t>
            </w:r>
          </w:p>
        </w:tc>
        <w:tc>
          <w:tcPr>
            <w:tcW w:w="366" w:type="pct"/>
          </w:tcPr>
          <w:p w14:paraId="60A57710" w14:textId="6F0DF43A" w:rsidR="00740273" w:rsidRPr="0022670C" w:rsidRDefault="00740273" w:rsidP="0022670C">
            <w:pPr>
              <w:spacing w:before="0" w:after="0"/>
              <w:cnfStyle w:val="100000000000" w:firstRow="1" w:lastRow="0" w:firstColumn="0" w:lastColumn="0" w:oddVBand="0" w:evenVBand="0" w:oddHBand="0" w:evenHBand="0" w:firstRowFirstColumn="0" w:firstRowLastColumn="0" w:lastRowFirstColumn="0" w:lastRowLastColumn="0"/>
            </w:pPr>
            <w:r w:rsidRPr="0022670C">
              <w:t>2034/35</w:t>
            </w:r>
          </w:p>
        </w:tc>
      </w:tr>
      <w:tr w:rsidR="00740273" w:rsidRPr="0022670C" w14:paraId="41BD8E6D" w14:textId="77777777" w:rsidTr="00930A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9" w:type="pct"/>
          </w:tcPr>
          <w:p w14:paraId="028D72F4" w14:textId="3480BDB9" w:rsidR="00740273" w:rsidRPr="0022670C" w:rsidRDefault="00740273" w:rsidP="0022670C">
            <w:pPr>
              <w:spacing w:before="0" w:after="0"/>
              <w:rPr>
                <w:b/>
              </w:rPr>
            </w:pPr>
            <w:r w:rsidRPr="0022670C">
              <w:rPr>
                <w:b/>
              </w:rPr>
              <w:t>Net result</w:t>
            </w:r>
          </w:p>
        </w:tc>
        <w:tc>
          <w:tcPr>
            <w:tcW w:w="348" w:type="pct"/>
            <w:vAlign w:val="center"/>
          </w:tcPr>
          <w:p w14:paraId="077F9FBC" w14:textId="679E92E7"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rPr>
                <w:bCs/>
              </w:rPr>
              <w:t>&gt; 0%</w:t>
            </w:r>
          </w:p>
        </w:tc>
        <w:tc>
          <w:tcPr>
            <w:tcW w:w="366" w:type="pct"/>
            <w:shd w:val="clear" w:color="auto" w:fill="92D050"/>
            <w:vAlign w:val="center"/>
          </w:tcPr>
          <w:p w14:paraId="461F9F67" w14:textId="0B54BCFF"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38.2%</w:t>
            </w:r>
          </w:p>
        </w:tc>
        <w:tc>
          <w:tcPr>
            <w:tcW w:w="366" w:type="pct"/>
            <w:shd w:val="clear" w:color="auto" w:fill="92D050"/>
            <w:vAlign w:val="center"/>
          </w:tcPr>
          <w:p w14:paraId="4633146A" w14:textId="46BC0462"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28.9%</w:t>
            </w:r>
          </w:p>
        </w:tc>
        <w:tc>
          <w:tcPr>
            <w:tcW w:w="366" w:type="pct"/>
            <w:shd w:val="clear" w:color="auto" w:fill="92D050"/>
            <w:vAlign w:val="center"/>
          </w:tcPr>
          <w:p w14:paraId="30A3078B" w14:textId="605DBA55"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29.3%</w:t>
            </w:r>
          </w:p>
        </w:tc>
        <w:tc>
          <w:tcPr>
            <w:tcW w:w="366" w:type="pct"/>
            <w:shd w:val="clear" w:color="auto" w:fill="92D050"/>
            <w:vAlign w:val="center"/>
          </w:tcPr>
          <w:p w14:paraId="79651B96" w14:textId="62CEBEEF"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25.2%</w:t>
            </w:r>
          </w:p>
        </w:tc>
        <w:tc>
          <w:tcPr>
            <w:tcW w:w="366" w:type="pct"/>
            <w:shd w:val="clear" w:color="auto" w:fill="92D050"/>
            <w:vAlign w:val="center"/>
          </w:tcPr>
          <w:p w14:paraId="36E03D42" w14:textId="31BCAC7C"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26.0%</w:t>
            </w:r>
          </w:p>
        </w:tc>
        <w:tc>
          <w:tcPr>
            <w:tcW w:w="366" w:type="pct"/>
            <w:shd w:val="clear" w:color="auto" w:fill="92D050"/>
            <w:vAlign w:val="center"/>
          </w:tcPr>
          <w:p w14:paraId="539AD8E1" w14:textId="4C043886"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21.4%</w:t>
            </w:r>
          </w:p>
        </w:tc>
        <w:tc>
          <w:tcPr>
            <w:tcW w:w="366" w:type="pct"/>
            <w:shd w:val="clear" w:color="auto" w:fill="92D050"/>
            <w:vAlign w:val="center"/>
          </w:tcPr>
          <w:p w14:paraId="767F09A6" w14:textId="6FDC396C"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21.2%</w:t>
            </w:r>
          </w:p>
        </w:tc>
        <w:tc>
          <w:tcPr>
            <w:tcW w:w="366" w:type="pct"/>
            <w:shd w:val="clear" w:color="auto" w:fill="92D050"/>
            <w:vAlign w:val="center"/>
          </w:tcPr>
          <w:p w14:paraId="02A22450" w14:textId="3A285470"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21.3%</w:t>
            </w:r>
          </w:p>
        </w:tc>
        <w:tc>
          <w:tcPr>
            <w:tcW w:w="366" w:type="pct"/>
            <w:shd w:val="clear" w:color="auto" w:fill="92D050"/>
            <w:vAlign w:val="center"/>
          </w:tcPr>
          <w:p w14:paraId="2157C00B" w14:textId="76D85820"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22.0%</w:t>
            </w:r>
          </w:p>
        </w:tc>
        <w:tc>
          <w:tcPr>
            <w:tcW w:w="366" w:type="pct"/>
            <w:shd w:val="clear" w:color="auto" w:fill="92D050"/>
            <w:vAlign w:val="center"/>
          </w:tcPr>
          <w:p w14:paraId="3E6F3B91" w14:textId="44AEB85E"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21.4%</w:t>
            </w:r>
          </w:p>
        </w:tc>
      </w:tr>
      <w:tr w:rsidR="009650DB" w:rsidRPr="0022670C" w14:paraId="3067E844" w14:textId="77777777" w:rsidTr="00930A3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9" w:type="pct"/>
          </w:tcPr>
          <w:p w14:paraId="200DCBA8" w14:textId="49FB1F80" w:rsidR="00740273" w:rsidRPr="0022670C" w:rsidRDefault="00740273" w:rsidP="0022670C">
            <w:pPr>
              <w:spacing w:before="0" w:after="0"/>
              <w:rPr>
                <w:b/>
              </w:rPr>
            </w:pPr>
            <w:r w:rsidRPr="0022670C">
              <w:rPr>
                <w:b/>
              </w:rPr>
              <w:t>Adjusted underlying result</w:t>
            </w:r>
          </w:p>
        </w:tc>
        <w:tc>
          <w:tcPr>
            <w:tcW w:w="348" w:type="pct"/>
            <w:vAlign w:val="center"/>
          </w:tcPr>
          <w:p w14:paraId="4C4AC0A0" w14:textId="6A215F2C"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rPr>
                <w:bCs/>
              </w:rPr>
              <w:t>&gt; 0%</w:t>
            </w:r>
          </w:p>
        </w:tc>
        <w:tc>
          <w:tcPr>
            <w:tcW w:w="366" w:type="pct"/>
            <w:shd w:val="clear" w:color="auto" w:fill="FF0000"/>
            <w:vAlign w:val="center"/>
          </w:tcPr>
          <w:p w14:paraId="6ACC96BC" w14:textId="265C6802"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color w:val="FF0000"/>
              </w:rPr>
            </w:pPr>
            <w:r w:rsidRPr="0022670C">
              <w:t>-1.9%</w:t>
            </w:r>
          </w:p>
        </w:tc>
        <w:tc>
          <w:tcPr>
            <w:tcW w:w="366" w:type="pct"/>
            <w:shd w:val="clear" w:color="auto" w:fill="FFC000"/>
            <w:vAlign w:val="center"/>
          </w:tcPr>
          <w:p w14:paraId="45BF979E" w14:textId="4D20392E"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color w:val="FF0000"/>
              </w:rPr>
            </w:pPr>
            <w:r w:rsidRPr="0022670C">
              <w:t>0.1%</w:t>
            </w:r>
          </w:p>
        </w:tc>
        <w:tc>
          <w:tcPr>
            <w:tcW w:w="366" w:type="pct"/>
            <w:shd w:val="clear" w:color="auto" w:fill="FFC000"/>
            <w:vAlign w:val="center"/>
          </w:tcPr>
          <w:p w14:paraId="622862D6" w14:textId="41F75676"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color w:val="FF0000"/>
              </w:rPr>
            </w:pPr>
            <w:r w:rsidRPr="0022670C">
              <w:t>0.1%</w:t>
            </w:r>
          </w:p>
        </w:tc>
        <w:tc>
          <w:tcPr>
            <w:tcW w:w="366" w:type="pct"/>
            <w:shd w:val="clear" w:color="auto" w:fill="FF0000"/>
            <w:vAlign w:val="center"/>
          </w:tcPr>
          <w:p w14:paraId="42648ECC" w14:textId="0A907CEA"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color w:val="FF0000"/>
              </w:rPr>
            </w:pPr>
            <w:r w:rsidRPr="0022670C">
              <w:t>-0.4%</w:t>
            </w:r>
          </w:p>
        </w:tc>
        <w:tc>
          <w:tcPr>
            <w:tcW w:w="366" w:type="pct"/>
            <w:shd w:val="clear" w:color="auto" w:fill="FF0000"/>
            <w:vAlign w:val="center"/>
          </w:tcPr>
          <w:p w14:paraId="26C706E5" w14:textId="105216E8"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-0.1%</w:t>
            </w:r>
          </w:p>
        </w:tc>
        <w:tc>
          <w:tcPr>
            <w:tcW w:w="366" w:type="pct"/>
            <w:shd w:val="clear" w:color="auto" w:fill="FFC000"/>
            <w:vAlign w:val="center"/>
          </w:tcPr>
          <w:p w14:paraId="3C60506A" w14:textId="5EFF3FE7"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color w:val="FF0000"/>
              </w:rPr>
            </w:pPr>
            <w:r w:rsidRPr="0022670C">
              <w:t>0.2%</w:t>
            </w:r>
          </w:p>
        </w:tc>
        <w:tc>
          <w:tcPr>
            <w:tcW w:w="366" w:type="pct"/>
            <w:shd w:val="clear" w:color="auto" w:fill="FFC000"/>
            <w:vAlign w:val="center"/>
          </w:tcPr>
          <w:p w14:paraId="55F9C873" w14:textId="104852CA"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color w:val="FF0000"/>
              </w:rPr>
            </w:pPr>
            <w:r w:rsidRPr="0022670C">
              <w:t>0.0%</w:t>
            </w:r>
          </w:p>
        </w:tc>
        <w:tc>
          <w:tcPr>
            <w:tcW w:w="366" w:type="pct"/>
            <w:shd w:val="clear" w:color="auto" w:fill="FFC000"/>
            <w:vAlign w:val="center"/>
          </w:tcPr>
          <w:p w14:paraId="6A8BCABA" w14:textId="370BC22A"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color w:val="FF0000"/>
              </w:rPr>
            </w:pPr>
            <w:r w:rsidRPr="0022670C">
              <w:t>0.1%</w:t>
            </w:r>
          </w:p>
        </w:tc>
        <w:tc>
          <w:tcPr>
            <w:tcW w:w="366" w:type="pct"/>
            <w:shd w:val="clear" w:color="auto" w:fill="FFC000"/>
            <w:vAlign w:val="center"/>
          </w:tcPr>
          <w:p w14:paraId="0FED3171" w14:textId="6AD34C74"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color w:val="FF0000"/>
              </w:rPr>
            </w:pPr>
            <w:r w:rsidRPr="0022670C">
              <w:t>0.1%</w:t>
            </w:r>
          </w:p>
        </w:tc>
        <w:tc>
          <w:tcPr>
            <w:tcW w:w="366" w:type="pct"/>
            <w:shd w:val="clear" w:color="auto" w:fill="FF0000"/>
            <w:vAlign w:val="center"/>
          </w:tcPr>
          <w:p w14:paraId="198E76CC" w14:textId="07DB0883"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color w:val="FF0000"/>
              </w:rPr>
            </w:pPr>
            <w:r w:rsidRPr="0022670C">
              <w:t>-0.</w:t>
            </w:r>
            <w:r w:rsidRPr="0022670C">
              <w:rPr>
                <w:shd w:val="clear" w:color="auto" w:fill="FF0000"/>
              </w:rPr>
              <w:t>3</w:t>
            </w:r>
            <w:r w:rsidRPr="0022670C">
              <w:t>%</w:t>
            </w:r>
          </w:p>
        </w:tc>
      </w:tr>
      <w:tr w:rsidR="00740273" w:rsidRPr="0022670C" w14:paraId="30980E72" w14:textId="77777777" w:rsidTr="00930A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9" w:type="pct"/>
          </w:tcPr>
          <w:p w14:paraId="1D4644E8" w14:textId="41F43B4E" w:rsidR="00740273" w:rsidRPr="0022670C" w:rsidRDefault="00740273" w:rsidP="0022670C">
            <w:pPr>
              <w:spacing w:before="0" w:after="0"/>
              <w:rPr>
                <w:b/>
              </w:rPr>
            </w:pPr>
            <w:r w:rsidRPr="0022670C">
              <w:rPr>
                <w:b/>
              </w:rPr>
              <w:t>Liquidity</w:t>
            </w:r>
          </w:p>
        </w:tc>
        <w:tc>
          <w:tcPr>
            <w:tcW w:w="348" w:type="pct"/>
            <w:vAlign w:val="center"/>
          </w:tcPr>
          <w:p w14:paraId="2BCE47B5" w14:textId="73531FC6"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rPr>
                <w:bCs/>
              </w:rPr>
              <w:t>&gt; 1.5</w:t>
            </w:r>
          </w:p>
        </w:tc>
        <w:tc>
          <w:tcPr>
            <w:tcW w:w="366" w:type="pct"/>
            <w:shd w:val="clear" w:color="auto" w:fill="92D050"/>
            <w:vAlign w:val="center"/>
          </w:tcPr>
          <w:p w14:paraId="23A1B2E9" w14:textId="1D5883CE"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3.22 </w:t>
            </w:r>
          </w:p>
        </w:tc>
        <w:tc>
          <w:tcPr>
            <w:tcW w:w="366" w:type="pct"/>
            <w:shd w:val="clear" w:color="auto" w:fill="92D050"/>
            <w:vAlign w:val="center"/>
          </w:tcPr>
          <w:p w14:paraId="0D596B6A" w14:textId="111C7BC1"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4.35 </w:t>
            </w:r>
          </w:p>
        </w:tc>
        <w:tc>
          <w:tcPr>
            <w:tcW w:w="366" w:type="pct"/>
            <w:shd w:val="clear" w:color="auto" w:fill="92D050"/>
            <w:vAlign w:val="center"/>
          </w:tcPr>
          <w:p w14:paraId="3A7A8206" w14:textId="65C21D97"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4.73 </w:t>
            </w:r>
          </w:p>
        </w:tc>
        <w:tc>
          <w:tcPr>
            <w:tcW w:w="366" w:type="pct"/>
            <w:shd w:val="clear" w:color="auto" w:fill="92D050"/>
            <w:vAlign w:val="center"/>
          </w:tcPr>
          <w:p w14:paraId="08DAE2B8" w14:textId="14D5BFDF"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5.20 </w:t>
            </w:r>
          </w:p>
        </w:tc>
        <w:tc>
          <w:tcPr>
            <w:tcW w:w="366" w:type="pct"/>
            <w:shd w:val="clear" w:color="auto" w:fill="92D050"/>
            <w:vAlign w:val="center"/>
          </w:tcPr>
          <w:p w14:paraId="50386BB5" w14:textId="7F105FBB"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4.95 </w:t>
            </w:r>
          </w:p>
        </w:tc>
        <w:tc>
          <w:tcPr>
            <w:tcW w:w="366" w:type="pct"/>
            <w:shd w:val="clear" w:color="auto" w:fill="92D050"/>
            <w:vAlign w:val="center"/>
          </w:tcPr>
          <w:p w14:paraId="1F88E7CE" w14:textId="4D1F7B56"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4.75 </w:t>
            </w:r>
          </w:p>
        </w:tc>
        <w:tc>
          <w:tcPr>
            <w:tcW w:w="366" w:type="pct"/>
            <w:shd w:val="clear" w:color="auto" w:fill="92D050"/>
            <w:vAlign w:val="center"/>
          </w:tcPr>
          <w:p w14:paraId="623196A3" w14:textId="58B2F422"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4.35 </w:t>
            </w:r>
          </w:p>
        </w:tc>
        <w:tc>
          <w:tcPr>
            <w:tcW w:w="366" w:type="pct"/>
            <w:shd w:val="clear" w:color="auto" w:fill="92D050"/>
            <w:vAlign w:val="center"/>
          </w:tcPr>
          <w:p w14:paraId="236CCC06" w14:textId="69BD40E0"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4.00 </w:t>
            </w:r>
          </w:p>
        </w:tc>
        <w:tc>
          <w:tcPr>
            <w:tcW w:w="366" w:type="pct"/>
            <w:shd w:val="clear" w:color="auto" w:fill="92D050"/>
            <w:vAlign w:val="center"/>
          </w:tcPr>
          <w:p w14:paraId="1FDBCFBC" w14:textId="5F996CE6"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3.73 </w:t>
            </w:r>
          </w:p>
        </w:tc>
        <w:tc>
          <w:tcPr>
            <w:tcW w:w="366" w:type="pct"/>
            <w:shd w:val="clear" w:color="auto" w:fill="92D050"/>
            <w:vAlign w:val="center"/>
          </w:tcPr>
          <w:p w14:paraId="4EBD12B2" w14:textId="693C5098"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 xml:space="preserve"> 3.32 </w:t>
            </w:r>
          </w:p>
        </w:tc>
      </w:tr>
      <w:tr w:rsidR="00EE7147" w:rsidRPr="0022670C" w14:paraId="20E1322F" w14:textId="77777777" w:rsidTr="00930A3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9" w:type="pct"/>
          </w:tcPr>
          <w:p w14:paraId="546EF943" w14:textId="5193F5F4" w:rsidR="00740273" w:rsidRPr="0022670C" w:rsidRDefault="00740273" w:rsidP="0022670C">
            <w:pPr>
              <w:spacing w:before="0" w:after="0"/>
              <w:rPr>
                <w:b/>
              </w:rPr>
            </w:pPr>
            <w:r w:rsidRPr="0022670C">
              <w:rPr>
                <w:b/>
              </w:rPr>
              <w:t>Internal financing</w:t>
            </w:r>
          </w:p>
        </w:tc>
        <w:tc>
          <w:tcPr>
            <w:tcW w:w="348" w:type="pct"/>
            <w:vAlign w:val="center"/>
          </w:tcPr>
          <w:p w14:paraId="405D74FA" w14:textId="27F04AF1"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rPr>
                <w:bCs/>
              </w:rPr>
              <w:t>&gt; 100%</w:t>
            </w:r>
          </w:p>
        </w:tc>
        <w:tc>
          <w:tcPr>
            <w:tcW w:w="366" w:type="pct"/>
            <w:shd w:val="clear" w:color="auto" w:fill="92D050"/>
            <w:vAlign w:val="center"/>
          </w:tcPr>
          <w:p w14:paraId="5C5D7B67" w14:textId="1C311182"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138.2%</w:t>
            </w:r>
          </w:p>
        </w:tc>
        <w:tc>
          <w:tcPr>
            <w:tcW w:w="366" w:type="pct"/>
            <w:shd w:val="clear" w:color="auto" w:fill="FFC000"/>
            <w:vAlign w:val="center"/>
          </w:tcPr>
          <w:p w14:paraId="0953FD6E" w14:textId="47557ED9"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89.8%</w:t>
            </w:r>
          </w:p>
        </w:tc>
        <w:tc>
          <w:tcPr>
            <w:tcW w:w="366" w:type="pct"/>
            <w:shd w:val="clear" w:color="auto" w:fill="FFC000"/>
            <w:vAlign w:val="center"/>
          </w:tcPr>
          <w:p w14:paraId="762E24B9" w14:textId="58850E9D"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89.6%</w:t>
            </w:r>
          </w:p>
        </w:tc>
        <w:tc>
          <w:tcPr>
            <w:tcW w:w="366" w:type="pct"/>
            <w:shd w:val="clear" w:color="auto" w:fill="FFC000"/>
            <w:vAlign w:val="center"/>
          </w:tcPr>
          <w:p w14:paraId="6343BD26" w14:textId="0B9E5F1C"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88.5%</w:t>
            </w:r>
          </w:p>
        </w:tc>
        <w:tc>
          <w:tcPr>
            <w:tcW w:w="366" w:type="pct"/>
            <w:shd w:val="clear" w:color="auto" w:fill="92D050"/>
            <w:vAlign w:val="center"/>
          </w:tcPr>
          <w:p w14:paraId="38BC4308" w14:textId="60ED4104"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107.6%</w:t>
            </w:r>
          </w:p>
        </w:tc>
        <w:tc>
          <w:tcPr>
            <w:tcW w:w="366" w:type="pct"/>
            <w:shd w:val="clear" w:color="auto" w:fill="FFC000"/>
            <w:vAlign w:val="center"/>
          </w:tcPr>
          <w:p w14:paraId="296456C9" w14:textId="31CA6DFA"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94.7%</w:t>
            </w:r>
          </w:p>
        </w:tc>
        <w:tc>
          <w:tcPr>
            <w:tcW w:w="366" w:type="pct"/>
            <w:shd w:val="clear" w:color="auto" w:fill="FFC000"/>
            <w:vAlign w:val="center"/>
          </w:tcPr>
          <w:p w14:paraId="09621E70" w14:textId="513A2FA0"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97.1%</w:t>
            </w:r>
          </w:p>
        </w:tc>
        <w:tc>
          <w:tcPr>
            <w:tcW w:w="366" w:type="pct"/>
            <w:shd w:val="clear" w:color="auto" w:fill="92D050"/>
            <w:vAlign w:val="center"/>
          </w:tcPr>
          <w:p w14:paraId="143651C2" w14:textId="3EC45B2F"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100.3%</w:t>
            </w:r>
          </w:p>
        </w:tc>
        <w:tc>
          <w:tcPr>
            <w:tcW w:w="366" w:type="pct"/>
            <w:shd w:val="clear" w:color="auto" w:fill="92D050"/>
            <w:vAlign w:val="center"/>
          </w:tcPr>
          <w:p w14:paraId="02EB3342" w14:textId="0732257D"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120.0%</w:t>
            </w:r>
          </w:p>
        </w:tc>
        <w:tc>
          <w:tcPr>
            <w:tcW w:w="366" w:type="pct"/>
            <w:shd w:val="clear" w:color="auto" w:fill="92D050"/>
            <w:vAlign w:val="center"/>
          </w:tcPr>
          <w:p w14:paraId="141A0BCC" w14:textId="67197393"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t>110.5%</w:t>
            </w:r>
          </w:p>
        </w:tc>
      </w:tr>
      <w:tr w:rsidR="00740273" w:rsidRPr="0022670C" w14:paraId="5EE10991" w14:textId="77777777" w:rsidTr="00930A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9" w:type="pct"/>
          </w:tcPr>
          <w:p w14:paraId="7A4EE9AC" w14:textId="344F6A95" w:rsidR="00740273" w:rsidRPr="0022670C" w:rsidRDefault="00740273" w:rsidP="0022670C">
            <w:pPr>
              <w:spacing w:before="0" w:after="0"/>
              <w:rPr>
                <w:b/>
              </w:rPr>
            </w:pPr>
            <w:r w:rsidRPr="0022670C">
              <w:rPr>
                <w:b/>
              </w:rPr>
              <w:t>Indebtedness</w:t>
            </w:r>
          </w:p>
        </w:tc>
        <w:tc>
          <w:tcPr>
            <w:tcW w:w="348" w:type="pct"/>
            <w:vAlign w:val="center"/>
          </w:tcPr>
          <w:p w14:paraId="406758F4" w14:textId="3A34D9B7"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rPr>
                <w:bCs/>
              </w:rPr>
              <w:t>&lt; 40%</w:t>
            </w:r>
          </w:p>
        </w:tc>
        <w:tc>
          <w:tcPr>
            <w:tcW w:w="366" w:type="pct"/>
            <w:shd w:val="clear" w:color="auto" w:fill="92D050"/>
            <w:vAlign w:val="center"/>
          </w:tcPr>
          <w:p w14:paraId="57CC7104" w14:textId="30296BC1"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25.5%</w:t>
            </w:r>
          </w:p>
        </w:tc>
        <w:tc>
          <w:tcPr>
            <w:tcW w:w="366" w:type="pct"/>
            <w:shd w:val="clear" w:color="auto" w:fill="92D050"/>
            <w:vAlign w:val="center"/>
          </w:tcPr>
          <w:p w14:paraId="59188144" w14:textId="64512B22"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34.6%</w:t>
            </w:r>
          </w:p>
        </w:tc>
        <w:tc>
          <w:tcPr>
            <w:tcW w:w="366" w:type="pct"/>
            <w:shd w:val="clear" w:color="auto" w:fill="FFC000"/>
            <w:vAlign w:val="center"/>
          </w:tcPr>
          <w:p w14:paraId="1C23ED3D" w14:textId="619FA3B8"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41.0%</w:t>
            </w:r>
          </w:p>
        </w:tc>
        <w:tc>
          <w:tcPr>
            <w:tcW w:w="366" w:type="pct"/>
            <w:shd w:val="clear" w:color="auto" w:fill="FFC000"/>
            <w:vAlign w:val="center"/>
          </w:tcPr>
          <w:p w14:paraId="29510757" w14:textId="19EAC6F6"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47.1%</w:t>
            </w:r>
          </w:p>
        </w:tc>
        <w:tc>
          <w:tcPr>
            <w:tcW w:w="366" w:type="pct"/>
            <w:shd w:val="clear" w:color="auto" w:fill="FFC000"/>
            <w:vAlign w:val="center"/>
          </w:tcPr>
          <w:p w14:paraId="249367B4" w14:textId="40EC40CD"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43.0%</w:t>
            </w:r>
          </w:p>
        </w:tc>
        <w:tc>
          <w:tcPr>
            <w:tcW w:w="366" w:type="pct"/>
            <w:shd w:val="clear" w:color="auto" w:fill="92D050"/>
            <w:vAlign w:val="center"/>
          </w:tcPr>
          <w:p w14:paraId="45FE28BA" w14:textId="17DB2747"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38.6%</w:t>
            </w:r>
          </w:p>
        </w:tc>
        <w:tc>
          <w:tcPr>
            <w:tcW w:w="366" w:type="pct"/>
            <w:shd w:val="clear" w:color="auto" w:fill="92D050"/>
            <w:vAlign w:val="center"/>
          </w:tcPr>
          <w:p w14:paraId="426D3439" w14:textId="0C24228A"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34.0%</w:t>
            </w:r>
          </w:p>
        </w:tc>
        <w:tc>
          <w:tcPr>
            <w:tcW w:w="366" w:type="pct"/>
            <w:shd w:val="clear" w:color="auto" w:fill="92D050"/>
            <w:vAlign w:val="center"/>
          </w:tcPr>
          <w:p w14:paraId="72794193" w14:textId="7F84B16F"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29.1%</w:t>
            </w:r>
          </w:p>
        </w:tc>
        <w:tc>
          <w:tcPr>
            <w:tcW w:w="366" w:type="pct"/>
            <w:shd w:val="clear" w:color="auto" w:fill="92D050"/>
            <w:vAlign w:val="center"/>
          </w:tcPr>
          <w:p w14:paraId="30D5A08F" w14:textId="7E824E95"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24.1%</w:t>
            </w:r>
          </w:p>
        </w:tc>
        <w:tc>
          <w:tcPr>
            <w:tcW w:w="366" w:type="pct"/>
            <w:shd w:val="clear" w:color="auto" w:fill="92D050"/>
            <w:vAlign w:val="center"/>
          </w:tcPr>
          <w:p w14:paraId="0E7D670B" w14:textId="71435A11"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t>20.1%</w:t>
            </w:r>
          </w:p>
        </w:tc>
      </w:tr>
      <w:tr w:rsidR="00EE7147" w:rsidRPr="0022670C" w14:paraId="6285D0BB" w14:textId="77777777" w:rsidTr="00930A3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9" w:type="pct"/>
          </w:tcPr>
          <w:p w14:paraId="7A38F097" w14:textId="65B8A0E8" w:rsidR="00740273" w:rsidRPr="0022670C" w:rsidRDefault="00740273" w:rsidP="0022670C">
            <w:pPr>
              <w:spacing w:before="0" w:after="0"/>
              <w:rPr>
                <w:b/>
              </w:rPr>
            </w:pPr>
            <w:r w:rsidRPr="0022670C">
              <w:rPr>
                <w:b/>
              </w:rPr>
              <w:t>Capital replacement ratio</w:t>
            </w:r>
          </w:p>
        </w:tc>
        <w:tc>
          <w:tcPr>
            <w:tcW w:w="348" w:type="pct"/>
            <w:vAlign w:val="center"/>
          </w:tcPr>
          <w:p w14:paraId="7572C6CA" w14:textId="402BB007"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Cs/>
              </w:rPr>
            </w:pPr>
            <w:r w:rsidRPr="0022670C">
              <w:rPr>
                <w:bCs/>
              </w:rPr>
              <w:t>&gt; 1.0</w:t>
            </w:r>
          </w:p>
        </w:tc>
        <w:tc>
          <w:tcPr>
            <w:tcW w:w="366" w:type="pct"/>
            <w:shd w:val="clear" w:color="auto" w:fill="92D050"/>
            <w:vAlign w:val="center"/>
          </w:tcPr>
          <w:p w14:paraId="4F412FFD" w14:textId="094A9EAE"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2.03 </w:t>
            </w:r>
          </w:p>
        </w:tc>
        <w:tc>
          <w:tcPr>
            <w:tcW w:w="366" w:type="pct"/>
            <w:shd w:val="clear" w:color="auto" w:fill="92D050"/>
            <w:vAlign w:val="center"/>
          </w:tcPr>
          <w:p w14:paraId="12DAD973" w14:textId="7D9550D7"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2.49 </w:t>
            </w:r>
          </w:p>
        </w:tc>
        <w:tc>
          <w:tcPr>
            <w:tcW w:w="366" w:type="pct"/>
            <w:shd w:val="clear" w:color="auto" w:fill="92D050"/>
            <w:vAlign w:val="center"/>
          </w:tcPr>
          <w:p w14:paraId="70D4D0C3" w14:textId="3541C5F8"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2.40 </w:t>
            </w:r>
          </w:p>
        </w:tc>
        <w:tc>
          <w:tcPr>
            <w:tcW w:w="366" w:type="pct"/>
            <w:shd w:val="clear" w:color="auto" w:fill="92D050"/>
            <w:vAlign w:val="center"/>
          </w:tcPr>
          <w:p w14:paraId="2F59CDB0" w14:textId="42780B48"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2.42 </w:t>
            </w:r>
          </w:p>
        </w:tc>
        <w:tc>
          <w:tcPr>
            <w:tcW w:w="366" w:type="pct"/>
            <w:shd w:val="clear" w:color="auto" w:fill="92D050"/>
            <w:vAlign w:val="center"/>
          </w:tcPr>
          <w:p w14:paraId="2334B4BA" w14:textId="7A2444C3"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2.36 </w:t>
            </w:r>
          </w:p>
        </w:tc>
        <w:tc>
          <w:tcPr>
            <w:tcW w:w="366" w:type="pct"/>
            <w:shd w:val="clear" w:color="auto" w:fill="92D050"/>
            <w:vAlign w:val="center"/>
          </w:tcPr>
          <w:p w14:paraId="38060A9A" w14:textId="26B3AEE1"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2.03 </w:t>
            </w:r>
          </w:p>
        </w:tc>
        <w:tc>
          <w:tcPr>
            <w:tcW w:w="366" w:type="pct"/>
            <w:shd w:val="clear" w:color="auto" w:fill="92D050"/>
            <w:vAlign w:val="center"/>
          </w:tcPr>
          <w:p w14:paraId="5AD19747" w14:textId="3F9EFBA3"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1.91 </w:t>
            </w:r>
          </w:p>
        </w:tc>
        <w:tc>
          <w:tcPr>
            <w:tcW w:w="366" w:type="pct"/>
            <w:shd w:val="clear" w:color="auto" w:fill="92D050"/>
            <w:vAlign w:val="center"/>
          </w:tcPr>
          <w:p w14:paraId="35A556C2" w14:textId="19DB1687"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1.89 </w:t>
            </w:r>
          </w:p>
        </w:tc>
        <w:tc>
          <w:tcPr>
            <w:tcW w:w="366" w:type="pct"/>
            <w:shd w:val="clear" w:color="auto" w:fill="92D050"/>
            <w:vAlign w:val="center"/>
          </w:tcPr>
          <w:p w14:paraId="22FE33C2" w14:textId="4EC4A677"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1.86 </w:t>
            </w:r>
          </w:p>
        </w:tc>
        <w:tc>
          <w:tcPr>
            <w:tcW w:w="366" w:type="pct"/>
            <w:shd w:val="clear" w:color="auto" w:fill="92D050"/>
            <w:vAlign w:val="center"/>
          </w:tcPr>
          <w:p w14:paraId="0D1466CE" w14:textId="625A61C6" w:rsidR="00740273" w:rsidRPr="0022670C" w:rsidRDefault="00740273" w:rsidP="0022670C">
            <w:pPr>
              <w:spacing w:before="0" w:after="0"/>
              <w:jc w:val="right"/>
              <w:cnfStyle w:val="000000010000" w:firstRow="0" w:lastRow="0" w:firstColumn="0" w:lastColumn="0" w:oddVBand="0" w:evenVBand="0" w:oddHBand="0" w:evenHBand="1" w:firstRowFirstColumn="0" w:firstRowLastColumn="0" w:lastRowFirstColumn="0" w:lastRowLastColumn="0"/>
              <w:rPr>
                <w:b/>
              </w:rPr>
            </w:pPr>
            <w:r w:rsidRPr="0022670C">
              <w:t xml:space="preserve"> 1.78 </w:t>
            </w:r>
          </w:p>
        </w:tc>
      </w:tr>
      <w:tr w:rsidR="00740273" w:rsidRPr="0022670C" w14:paraId="71C9CC7A" w14:textId="77777777" w:rsidTr="00930A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9" w:type="pct"/>
          </w:tcPr>
          <w:p w14:paraId="42A57252" w14:textId="7701C8C2" w:rsidR="00740273" w:rsidRPr="0022670C" w:rsidRDefault="00740273" w:rsidP="0022670C">
            <w:pPr>
              <w:spacing w:before="0" w:after="0"/>
              <w:rPr>
                <w:b/>
              </w:rPr>
            </w:pPr>
            <w:r w:rsidRPr="0022670C">
              <w:rPr>
                <w:b/>
              </w:rPr>
              <w:t>Renewal gap ratio</w:t>
            </w:r>
          </w:p>
        </w:tc>
        <w:tc>
          <w:tcPr>
            <w:tcW w:w="348" w:type="pct"/>
            <w:vAlign w:val="center"/>
          </w:tcPr>
          <w:p w14:paraId="601F8C34" w14:textId="323FFBC9"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Cs/>
              </w:rPr>
            </w:pPr>
            <w:r w:rsidRPr="0022670C">
              <w:rPr>
                <w:bCs/>
              </w:rPr>
              <w:t>&gt; 0.5</w:t>
            </w:r>
          </w:p>
        </w:tc>
        <w:tc>
          <w:tcPr>
            <w:tcW w:w="366" w:type="pct"/>
            <w:shd w:val="clear" w:color="auto" w:fill="92D050"/>
            <w:vAlign w:val="center"/>
          </w:tcPr>
          <w:p w14:paraId="35528D9E" w14:textId="1B526CB7"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
              </w:rPr>
            </w:pPr>
            <w:r w:rsidRPr="0022670C">
              <w:t xml:space="preserve"> 1.29 </w:t>
            </w:r>
          </w:p>
        </w:tc>
        <w:tc>
          <w:tcPr>
            <w:tcW w:w="366" w:type="pct"/>
            <w:shd w:val="clear" w:color="auto" w:fill="92D050"/>
            <w:vAlign w:val="center"/>
          </w:tcPr>
          <w:p w14:paraId="3B0FC15D" w14:textId="5021E88B"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
              </w:rPr>
            </w:pPr>
            <w:r w:rsidRPr="0022670C">
              <w:t xml:space="preserve"> 1.71 </w:t>
            </w:r>
          </w:p>
        </w:tc>
        <w:tc>
          <w:tcPr>
            <w:tcW w:w="366" w:type="pct"/>
            <w:shd w:val="clear" w:color="auto" w:fill="92D050"/>
            <w:vAlign w:val="center"/>
          </w:tcPr>
          <w:p w14:paraId="6679D3E4" w14:textId="037B171D"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
              </w:rPr>
            </w:pPr>
            <w:r w:rsidRPr="0022670C">
              <w:t xml:space="preserve"> 1.61 </w:t>
            </w:r>
          </w:p>
        </w:tc>
        <w:tc>
          <w:tcPr>
            <w:tcW w:w="366" w:type="pct"/>
            <w:shd w:val="clear" w:color="auto" w:fill="92D050"/>
            <w:vAlign w:val="center"/>
          </w:tcPr>
          <w:p w14:paraId="6AC2BA20" w14:textId="3C0896E0"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
              </w:rPr>
            </w:pPr>
            <w:r w:rsidRPr="0022670C">
              <w:t xml:space="preserve"> 1.39 </w:t>
            </w:r>
          </w:p>
        </w:tc>
        <w:tc>
          <w:tcPr>
            <w:tcW w:w="366" w:type="pct"/>
            <w:shd w:val="clear" w:color="auto" w:fill="92D050"/>
            <w:vAlign w:val="center"/>
          </w:tcPr>
          <w:p w14:paraId="4B6B57D5" w14:textId="41B75B82"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
              </w:rPr>
            </w:pPr>
            <w:r w:rsidRPr="0022670C">
              <w:t xml:space="preserve"> 1.51 </w:t>
            </w:r>
          </w:p>
        </w:tc>
        <w:tc>
          <w:tcPr>
            <w:tcW w:w="366" w:type="pct"/>
            <w:shd w:val="clear" w:color="auto" w:fill="92D050"/>
            <w:vAlign w:val="center"/>
          </w:tcPr>
          <w:p w14:paraId="70156A08" w14:textId="1CBD26EE"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
              </w:rPr>
            </w:pPr>
            <w:r w:rsidRPr="0022670C">
              <w:t xml:space="preserve"> 1.28 </w:t>
            </w:r>
          </w:p>
        </w:tc>
        <w:tc>
          <w:tcPr>
            <w:tcW w:w="366" w:type="pct"/>
            <w:shd w:val="clear" w:color="auto" w:fill="92D050"/>
            <w:vAlign w:val="center"/>
          </w:tcPr>
          <w:p w14:paraId="0091A514" w14:textId="3BFE66E2"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
              </w:rPr>
            </w:pPr>
            <w:r w:rsidRPr="0022670C">
              <w:t xml:space="preserve"> 1.24 </w:t>
            </w:r>
          </w:p>
        </w:tc>
        <w:tc>
          <w:tcPr>
            <w:tcW w:w="366" w:type="pct"/>
            <w:shd w:val="clear" w:color="auto" w:fill="92D050"/>
            <w:vAlign w:val="center"/>
          </w:tcPr>
          <w:p w14:paraId="6E76A098" w14:textId="6E0C7AFE"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
              </w:rPr>
            </w:pPr>
            <w:r w:rsidRPr="0022670C">
              <w:t xml:space="preserve"> 1.22 </w:t>
            </w:r>
          </w:p>
        </w:tc>
        <w:tc>
          <w:tcPr>
            <w:tcW w:w="366" w:type="pct"/>
            <w:shd w:val="clear" w:color="auto" w:fill="92D050"/>
            <w:vAlign w:val="center"/>
          </w:tcPr>
          <w:p w14:paraId="57FBC721" w14:textId="3074877C" w:rsidR="00740273" w:rsidRPr="0022670C" w:rsidRDefault="00740273" w:rsidP="0022670C">
            <w:pPr>
              <w:spacing w:before="0" w:after="0"/>
              <w:jc w:val="right"/>
              <w:cnfStyle w:val="000000100000" w:firstRow="0" w:lastRow="0" w:firstColumn="0" w:lastColumn="0" w:oddVBand="0" w:evenVBand="0" w:oddHBand="1" w:evenHBand="0" w:firstRowFirstColumn="0" w:firstRowLastColumn="0" w:lastRowFirstColumn="0" w:lastRowLastColumn="0"/>
              <w:rPr>
                <w:b/>
              </w:rPr>
            </w:pPr>
            <w:r w:rsidRPr="0022670C">
              <w:t xml:space="preserve"> 1.19 </w:t>
            </w:r>
          </w:p>
        </w:tc>
        <w:tc>
          <w:tcPr>
            <w:tcW w:w="366" w:type="pct"/>
            <w:shd w:val="clear" w:color="auto" w:fill="92D050"/>
            <w:vAlign w:val="center"/>
          </w:tcPr>
          <w:p w14:paraId="71130F2F" w14:textId="00C439EB" w:rsidR="00740273" w:rsidRPr="008531FB" w:rsidRDefault="00740273" w:rsidP="008531FB">
            <w:pPr>
              <w:pStyle w:val="ListParagraph"/>
              <w:numPr>
                <w:ilvl w:val="1"/>
                <w:numId w:val="35"/>
              </w:numPr>
              <w:spacing w:before="0" w:after="0"/>
              <w:jc w:val="right"/>
              <w:cnfStyle w:val="000000100000" w:firstRow="0" w:lastRow="0" w:firstColumn="0" w:lastColumn="0" w:oddVBand="0" w:evenVBand="0" w:oddHBand="1" w:evenHBand="0" w:firstRowFirstColumn="0" w:firstRowLastColumn="0" w:lastRowFirstColumn="0" w:lastRowLastColumn="0"/>
              <w:rPr>
                <w:b/>
              </w:rPr>
            </w:pPr>
          </w:p>
        </w:tc>
      </w:tr>
    </w:tbl>
    <w:p w14:paraId="7179B95C" w14:textId="521B4967" w:rsidR="0022670C" w:rsidRDefault="0022670C">
      <w:pPr>
        <w:rPr>
          <w:color w:val="FF0000"/>
        </w:rPr>
      </w:pPr>
    </w:p>
    <w:p w14:paraId="1B316C7A" w14:textId="41D2A58E" w:rsidR="00652CEF" w:rsidRDefault="0022670C">
      <w:pPr>
        <w:rPr>
          <w:color w:val="FF0000"/>
        </w:rPr>
      </w:pPr>
      <w:r>
        <w:rPr>
          <w:color w:val="FF0000"/>
        </w:rPr>
        <w:br w:type="page"/>
      </w:r>
    </w:p>
    <w:p w14:paraId="28843B50" w14:textId="337109E6" w:rsidR="00652CEF" w:rsidRPr="0022670C" w:rsidRDefault="008531FB" w:rsidP="008531FB">
      <w:pPr>
        <w:pStyle w:val="Heading2"/>
      </w:pPr>
      <w:bookmarkStart w:id="31" w:name="_Toc210205632"/>
      <w:bookmarkStart w:id="32" w:name="_Toc211874586"/>
      <w:r>
        <w:lastRenderedPageBreak/>
        <w:t xml:space="preserve">4.2 </w:t>
      </w:r>
      <w:r w:rsidR="00652CEF" w:rsidRPr="0022670C">
        <w:t xml:space="preserve">Sustainability </w:t>
      </w:r>
      <w:r w:rsidR="004404C9" w:rsidRPr="0022670C">
        <w:t>i</w:t>
      </w:r>
      <w:r w:rsidR="00652CEF" w:rsidRPr="0022670C">
        <w:t xml:space="preserve">ndicators </w:t>
      </w:r>
      <w:r w:rsidR="004404C9" w:rsidRPr="0022670C">
        <w:t>r</w:t>
      </w:r>
      <w:r w:rsidR="00652CEF" w:rsidRPr="0022670C">
        <w:t xml:space="preserve">isk </w:t>
      </w:r>
      <w:r w:rsidR="004404C9" w:rsidRPr="0022670C">
        <w:t>r</w:t>
      </w:r>
      <w:r w:rsidR="00652CEF" w:rsidRPr="0022670C">
        <w:t>atings</w:t>
      </w:r>
      <w:bookmarkEnd w:id="31"/>
      <w:bookmarkEnd w:id="32"/>
    </w:p>
    <w:p w14:paraId="2DC9EEA8" w14:textId="77777777" w:rsidR="004F0469" w:rsidRPr="0022670C" w:rsidRDefault="004F0469" w:rsidP="004F0469">
      <w:pPr>
        <w:rPr>
          <w:lang w:eastAsia="en-US"/>
        </w:rPr>
      </w:pPr>
    </w:p>
    <w:tbl>
      <w:tblPr>
        <w:tblStyle w:val="TableGrid"/>
        <w:tblW w:w="5000" w:type="pct"/>
        <w:tblLook w:val="04A0" w:firstRow="1" w:lastRow="0" w:firstColumn="1" w:lastColumn="0" w:noHBand="0" w:noVBand="1"/>
      </w:tblPr>
      <w:tblGrid>
        <w:gridCol w:w="953"/>
        <w:gridCol w:w="1698"/>
        <w:gridCol w:w="1488"/>
        <w:gridCol w:w="1871"/>
        <w:gridCol w:w="1944"/>
        <w:gridCol w:w="1619"/>
        <w:gridCol w:w="1750"/>
        <w:gridCol w:w="1797"/>
      </w:tblGrid>
      <w:tr w:rsidR="00A65428" w:rsidRPr="0022670C" w14:paraId="04A73AA0" w14:textId="0931A2C4" w:rsidTr="00A7516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3" w:type="pct"/>
            <w:shd w:val="clear" w:color="auto" w:fill="031F73" w:themeFill="text2"/>
            <w:vAlign w:val="center"/>
          </w:tcPr>
          <w:p w14:paraId="1B05B3FC" w14:textId="742BECC5" w:rsidR="00A65428" w:rsidRPr="0022670C" w:rsidRDefault="00A65428" w:rsidP="0022670C">
            <w:pPr>
              <w:spacing w:before="0" w:after="0"/>
              <w:jc w:val="center"/>
              <w:rPr>
                <w:rFonts w:asciiTheme="minorHAnsi" w:hAnsiTheme="minorHAnsi"/>
                <w:szCs w:val="20"/>
                <w:lang w:eastAsia="en-US"/>
              </w:rPr>
            </w:pPr>
            <w:r w:rsidRPr="0022670C">
              <w:rPr>
                <w:rFonts w:asciiTheme="minorHAnsi" w:hAnsiTheme="minorHAnsi"/>
                <w:szCs w:val="20"/>
                <w:lang w:eastAsia="en-US"/>
              </w:rPr>
              <w:t>Risk</w:t>
            </w:r>
          </w:p>
        </w:tc>
        <w:tc>
          <w:tcPr>
            <w:tcW w:w="647" w:type="pct"/>
            <w:shd w:val="clear" w:color="auto" w:fill="031F73" w:themeFill="text2"/>
            <w:vAlign w:val="center"/>
          </w:tcPr>
          <w:p w14:paraId="44D6970C" w14:textId="4826E922" w:rsidR="00A65428" w:rsidRPr="0022670C" w:rsidRDefault="00A65428" w:rsidP="0022670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Net Result</w:t>
            </w:r>
          </w:p>
        </w:tc>
        <w:tc>
          <w:tcPr>
            <w:tcW w:w="567" w:type="pct"/>
            <w:shd w:val="clear" w:color="auto" w:fill="031F73" w:themeFill="text2"/>
            <w:vAlign w:val="center"/>
          </w:tcPr>
          <w:p w14:paraId="776D92A7" w14:textId="257BB17B" w:rsidR="00A65428" w:rsidRPr="0022670C" w:rsidRDefault="00A65428" w:rsidP="0022670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Adjusted Underlying Result</w:t>
            </w:r>
          </w:p>
        </w:tc>
        <w:tc>
          <w:tcPr>
            <w:tcW w:w="713" w:type="pct"/>
            <w:shd w:val="clear" w:color="auto" w:fill="031F73" w:themeFill="text2"/>
            <w:vAlign w:val="center"/>
          </w:tcPr>
          <w:p w14:paraId="41A01511" w14:textId="25EE5E45" w:rsidR="00A65428" w:rsidRPr="0022670C" w:rsidRDefault="00A65428" w:rsidP="0022670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Liquidity</w:t>
            </w:r>
          </w:p>
        </w:tc>
        <w:tc>
          <w:tcPr>
            <w:tcW w:w="741" w:type="pct"/>
            <w:shd w:val="clear" w:color="auto" w:fill="031F73" w:themeFill="text2"/>
            <w:vAlign w:val="center"/>
          </w:tcPr>
          <w:p w14:paraId="35550584" w14:textId="07908150" w:rsidR="00A65428" w:rsidRPr="0022670C" w:rsidRDefault="00A65428" w:rsidP="0022670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Indebtedness</w:t>
            </w:r>
          </w:p>
        </w:tc>
        <w:tc>
          <w:tcPr>
            <w:tcW w:w="617" w:type="pct"/>
            <w:shd w:val="clear" w:color="auto" w:fill="031F73" w:themeFill="text2"/>
            <w:vAlign w:val="center"/>
          </w:tcPr>
          <w:p w14:paraId="19C178B7" w14:textId="5B68703E" w:rsidR="00A65428" w:rsidRPr="0022670C" w:rsidRDefault="00A65428" w:rsidP="0022670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Internal financing</w:t>
            </w:r>
          </w:p>
        </w:tc>
        <w:tc>
          <w:tcPr>
            <w:tcW w:w="667" w:type="pct"/>
            <w:shd w:val="clear" w:color="auto" w:fill="031F73" w:themeFill="text2"/>
            <w:vAlign w:val="center"/>
          </w:tcPr>
          <w:p w14:paraId="2E40BD34" w14:textId="173019BD" w:rsidR="00A65428" w:rsidRPr="0022670C" w:rsidRDefault="00A65428" w:rsidP="0022670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Capital replacement</w:t>
            </w:r>
          </w:p>
        </w:tc>
        <w:tc>
          <w:tcPr>
            <w:tcW w:w="686" w:type="pct"/>
            <w:shd w:val="clear" w:color="auto" w:fill="031F73" w:themeFill="text2"/>
            <w:vAlign w:val="center"/>
          </w:tcPr>
          <w:p w14:paraId="503E01F5" w14:textId="5E2B1E81" w:rsidR="00A65428" w:rsidRPr="0022670C" w:rsidRDefault="00A65428" w:rsidP="0022670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Renewal Gap</w:t>
            </w:r>
          </w:p>
        </w:tc>
      </w:tr>
      <w:tr w:rsidR="00A65428" w:rsidRPr="0022670C" w14:paraId="6B528895" w14:textId="4395EB75" w:rsidTr="00A75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 w:type="pct"/>
            <w:shd w:val="clear" w:color="auto" w:fill="FF0000"/>
          </w:tcPr>
          <w:p w14:paraId="1E80D196" w14:textId="39919FCA" w:rsidR="00A65428" w:rsidRPr="0022670C" w:rsidRDefault="00A65428" w:rsidP="0022670C">
            <w:pPr>
              <w:spacing w:before="0" w:after="0"/>
              <w:rPr>
                <w:rFonts w:asciiTheme="minorHAnsi" w:hAnsiTheme="minorHAnsi"/>
                <w:b/>
                <w:szCs w:val="20"/>
                <w:lang w:eastAsia="en-US"/>
              </w:rPr>
            </w:pPr>
            <w:r w:rsidRPr="0022670C">
              <w:rPr>
                <w:rFonts w:asciiTheme="minorHAnsi" w:hAnsiTheme="minorHAnsi"/>
                <w:b/>
                <w:szCs w:val="20"/>
                <w:lang w:eastAsia="en-US"/>
              </w:rPr>
              <w:t>High</w:t>
            </w:r>
          </w:p>
        </w:tc>
        <w:tc>
          <w:tcPr>
            <w:tcW w:w="647" w:type="pct"/>
          </w:tcPr>
          <w:p w14:paraId="494F3A82" w14:textId="77777777" w:rsidR="00A65428" w:rsidRPr="0022670C" w:rsidRDefault="004D3772"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Less than negative 10%</w:t>
            </w:r>
          </w:p>
          <w:p w14:paraId="4EF52994" w14:textId="70026C97" w:rsidR="004D3772" w:rsidRPr="0022670C" w:rsidRDefault="004D3772"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Insufficient revenue is being generated to fund operations and asset renewal</w:t>
            </w:r>
          </w:p>
        </w:tc>
        <w:tc>
          <w:tcPr>
            <w:tcW w:w="567" w:type="pct"/>
          </w:tcPr>
          <w:p w14:paraId="003D2E5B" w14:textId="77777777" w:rsidR="00A65428" w:rsidRPr="0022670C" w:rsidRDefault="000F024A"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Less than 0%</w:t>
            </w:r>
          </w:p>
          <w:p w14:paraId="2E48F48C" w14:textId="51A9A00C" w:rsidR="000F024A" w:rsidRPr="0022670C" w:rsidRDefault="000F024A"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Insufficient surplus is being generated to fund operations</w:t>
            </w:r>
          </w:p>
        </w:tc>
        <w:tc>
          <w:tcPr>
            <w:tcW w:w="713" w:type="pct"/>
          </w:tcPr>
          <w:p w14:paraId="6327A6B8" w14:textId="77777777" w:rsidR="00A65428" w:rsidRPr="0022670C" w:rsidRDefault="000F024A"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Less than 0.75</w:t>
            </w:r>
          </w:p>
          <w:p w14:paraId="3FDA7A46" w14:textId="1FEA1F93" w:rsidR="000F024A" w:rsidRPr="0022670C" w:rsidRDefault="000F024A"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Immediate sustainability issues with insufficient current assets to cover liabilities</w:t>
            </w:r>
          </w:p>
        </w:tc>
        <w:tc>
          <w:tcPr>
            <w:tcW w:w="741" w:type="pct"/>
          </w:tcPr>
          <w:p w14:paraId="080CC621" w14:textId="77777777" w:rsidR="00A65428" w:rsidRPr="0022670C" w:rsidRDefault="00A2231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More than 60%</w:t>
            </w:r>
          </w:p>
          <w:p w14:paraId="3B9199FC" w14:textId="7C392A81" w:rsidR="00A22319" w:rsidRPr="0022670C" w:rsidRDefault="00A2231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Potentially long-term concern over an entity’s ability to repay debt levels from own-source revenue</w:t>
            </w:r>
          </w:p>
        </w:tc>
        <w:tc>
          <w:tcPr>
            <w:tcW w:w="617" w:type="pct"/>
          </w:tcPr>
          <w:p w14:paraId="083AD65B" w14:textId="77777777" w:rsidR="00A65428" w:rsidRPr="0022670C" w:rsidRDefault="00C11C92"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Less than 75%</w:t>
            </w:r>
          </w:p>
          <w:p w14:paraId="5BCD281F" w14:textId="5F64DB7F" w:rsidR="00C11C92" w:rsidRPr="0022670C" w:rsidRDefault="00C11C92"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Limited cash generated from operations to fund new assets and asset renewal</w:t>
            </w:r>
          </w:p>
        </w:tc>
        <w:tc>
          <w:tcPr>
            <w:tcW w:w="667" w:type="pct"/>
          </w:tcPr>
          <w:p w14:paraId="4A08F50B" w14:textId="77777777" w:rsidR="00A65428" w:rsidRPr="0022670C" w:rsidRDefault="00C11C92"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Less than 1.0</w:t>
            </w:r>
          </w:p>
          <w:p w14:paraId="6889035A" w14:textId="7BC86ECD" w:rsidR="00C11C92" w:rsidRPr="0022670C" w:rsidRDefault="00216A35"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Spending on capital works has not kept pace with consumption of assets</w:t>
            </w:r>
          </w:p>
        </w:tc>
        <w:tc>
          <w:tcPr>
            <w:tcW w:w="686" w:type="pct"/>
          </w:tcPr>
          <w:p w14:paraId="52B329A5" w14:textId="77777777" w:rsidR="00A65428" w:rsidRPr="0022670C" w:rsidRDefault="00216A35"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Less than 0.5</w:t>
            </w:r>
          </w:p>
          <w:p w14:paraId="6976C65D" w14:textId="291D27A4" w:rsidR="00216A35" w:rsidRPr="0022670C" w:rsidRDefault="00216A35"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Spending on existing assets has not kept pace with consumption of those assets</w:t>
            </w:r>
          </w:p>
        </w:tc>
      </w:tr>
      <w:tr w:rsidR="00A65428" w:rsidRPr="0022670C" w14:paraId="7B030CC0" w14:textId="437DBC57" w:rsidTr="00A751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 w:type="pct"/>
            <w:shd w:val="clear" w:color="auto" w:fill="FFC000"/>
          </w:tcPr>
          <w:p w14:paraId="584EA3C1" w14:textId="08C11FC0" w:rsidR="00A65428" w:rsidRPr="0022670C" w:rsidRDefault="00A65428" w:rsidP="0022670C">
            <w:pPr>
              <w:spacing w:before="0" w:after="0"/>
              <w:rPr>
                <w:rFonts w:asciiTheme="minorHAnsi" w:hAnsiTheme="minorHAnsi"/>
                <w:b/>
                <w:szCs w:val="20"/>
                <w:lang w:eastAsia="en-US"/>
              </w:rPr>
            </w:pPr>
            <w:r w:rsidRPr="0022670C">
              <w:rPr>
                <w:rFonts w:asciiTheme="minorHAnsi" w:hAnsiTheme="minorHAnsi"/>
                <w:b/>
                <w:szCs w:val="20"/>
                <w:lang w:eastAsia="en-US"/>
              </w:rPr>
              <w:t>Medium</w:t>
            </w:r>
          </w:p>
        </w:tc>
        <w:tc>
          <w:tcPr>
            <w:tcW w:w="647" w:type="pct"/>
          </w:tcPr>
          <w:p w14:paraId="425AC46A" w14:textId="77777777" w:rsidR="00A65428" w:rsidRPr="0022670C" w:rsidRDefault="00CB1ABA"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Negative 10% to 0%</w:t>
            </w:r>
          </w:p>
          <w:p w14:paraId="5BED050B" w14:textId="112F1EB3" w:rsidR="00CB1ABA" w:rsidRPr="0022670C" w:rsidRDefault="00CB1ABA"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A risk of long-term run down of cash reserves and inability to fund asset renewals</w:t>
            </w:r>
          </w:p>
        </w:tc>
        <w:tc>
          <w:tcPr>
            <w:tcW w:w="567" w:type="pct"/>
          </w:tcPr>
          <w:p w14:paraId="17EEA118" w14:textId="77777777" w:rsidR="00A65428" w:rsidRPr="0022670C" w:rsidRDefault="00B1668C"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0% to 5%</w:t>
            </w:r>
          </w:p>
          <w:p w14:paraId="2EE76059" w14:textId="336F5B5E" w:rsidR="00B1668C" w:rsidRPr="0022670C" w:rsidRDefault="00B1668C"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Surplus being generated to fund operations</w:t>
            </w:r>
          </w:p>
        </w:tc>
        <w:tc>
          <w:tcPr>
            <w:tcW w:w="713" w:type="pct"/>
          </w:tcPr>
          <w:p w14:paraId="3AE4207C" w14:textId="77777777" w:rsidR="00A65428" w:rsidRPr="0022670C" w:rsidRDefault="00B1668C"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0.75 to 1.0</w:t>
            </w:r>
          </w:p>
          <w:p w14:paraId="7D67F8A4" w14:textId="3F6C347A" w:rsidR="00B1668C" w:rsidRPr="0022670C" w:rsidRDefault="00B1668C"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Need for caution with cashflow, as issues could arise with meeting obligations as they fall due</w:t>
            </w:r>
          </w:p>
        </w:tc>
        <w:tc>
          <w:tcPr>
            <w:tcW w:w="741" w:type="pct"/>
          </w:tcPr>
          <w:p w14:paraId="347F390E" w14:textId="77777777" w:rsidR="00A65428" w:rsidRPr="0022670C" w:rsidRDefault="00B1668C"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40% to 60%</w:t>
            </w:r>
          </w:p>
          <w:p w14:paraId="18BAA244" w14:textId="5969356F" w:rsidR="00B1668C" w:rsidRPr="0022670C" w:rsidRDefault="00B1668C"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 xml:space="preserve">Some concern over the ability to repay </w:t>
            </w:r>
            <w:r w:rsidR="00030287" w:rsidRPr="0022670C">
              <w:rPr>
                <w:rFonts w:asciiTheme="minorHAnsi" w:hAnsiTheme="minorHAnsi"/>
                <w:szCs w:val="20"/>
                <w:lang w:eastAsia="en-US"/>
              </w:rPr>
              <w:t>debt from own-source revenue</w:t>
            </w:r>
          </w:p>
        </w:tc>
        <w:tc>
          <w:tcPr>
            <w:tcW w:w="617" w:type="pct"/>
          </w:tcPr>
          <w:p w14:paraId="32D24FD6" w14:textId="77777777" w:rsidR="00A65428" w:rsidRPr="0022670C" w:rsidRDefault="00030287"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75% to 100%</w:t>
            </w:r>
          </w:p>
          <w:p w14:paraId="4AEFD9C1" w14:textId="10CB089F" w:rsidR="00030287" w:rsidRPr="0022670C" w:rsidRDefault="00030287"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May not be generating sufficient cash from operations to fund new assets</w:t>
            </w:r>
          </w:p>
        </w:tc>
        <w:tc>
          <w:tcPr>
            <w:tcW w:w="667" w:type="pct"/>
          </w:tcPr>
          <w:p w14:paraId="19CF0877" w14:textId="4216B119" w:rsidR="00A65428" w:rsidRPr="0022670C" w:rsidRDefault="00030287" w:rsidP="0022670C">
            <w:pPr>
              <w:pStyle w:val="ListParagraph"/>
              <w:numPr>
                <w:ilvl w:val="1"/>
                <w:numId w:val="30"/>
              </w:num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to 1.5</w:t>
            </w:r>
          </w:p>
          <w:p w14:paraId="6E818CCA" w14:textId="7BEF85FB" w:rsidR="00030287" w:rsidRPr="0022670C" w:rsidRDefault="00030287"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 xml:space="preserve">May indicate </w:t>
            </w:r>
            <w:r w:rsidR="00DA0568" w:rsidRPr="0022670C">
              <w:rPr>
                <w:rFonts w:asciiTheme="minorHAnsi" w:hAnsiTheme="minorHAnsi"/>
                <w:szCs w:val="20"/>
                <w:lang w:eastAsia="en-US"/>
              </w:rPr>
              <w:t>spending on asset renewal is insufficient</w:t>
            </w:r>
          </w:p>
        </w:tc>
        <w:tc>
          <w:tcPr>
            <w:tcW w:w="686" w:type="pct"/>
          </w:tcPr>
          <w:p w14:paraId="149D0C72" w14:textId="77777777" w:rsidR="00A65428" w:rsidRPr="0022670C" w:rsidRDefault="00DA0568"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0.5 to 1.0</w:t>
            </w:r>
          </w:p>
          <w:p w14:paraId="49AF1B83" w14:textId="63AFB314" w:rsidR="00DA0568" w:rsidRPr="0022670C" w:rsidRDefault="00DA0568" w:rsidP="0022670C">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May indicate insufficient spending on renewal of existing assets</w:t>
            </w:r>
          </w:p>
        </w:tc>
      </w:tr>
      <w:tr w:rsidR="00A65428" w:rsidRPr="0022670C" w14:paraId="17C2550B" w14:textId="2954E2E4" w:rsidTr="00A75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 w:type="pct"/>
            <w:shd w:val="clear" w:color="auto" w:fill="92D050"/>
          </w:tcPr>
          <w:p w14:paraId="3F0D2D31" w14:textId="5BD3021F" w:rsidR="00A65428" w:rsidRPr="0022670C" w:rsidRDefault="00A65428" w:rsidP="0022670C">
            <w:pPr>
              <w:spacing w:before="0" w:after="0"/>
              <w:rPr>
                <w:rFonts w:asciiTheme="minorHAnsi" w:hAnsiTheme="minorHAnsi"/>
                <w:b/>
                <w:szCs w:val="20"/>
                <w:lang w:eastAsia="en-US"/>
              </w:rPr>
            </w:pPr>
            <w:r w:rsidRPr="0022670C">
              <w:rPr>
                <w:rFonts w:asciiTheme="minorHAnsi" w:hAnsiTheme="minorHAnsi"/>
                <w:b/>
                <w:szCs w:val="20"/>
                <w:lang w:eastAsia="en-US"/>
              </w:rPr>
              <w:t>Low</w:t>
            </w:r>
          </w:p>
        </w:tc>
        <w:tc>
          <w:tcPr>
            <w:tcW w:w="647" w:type="pct"/>
          </w:tcPr>
          <w:p w14:paraId="62BD8A0A" w14:textId="77777777" w:rsidR="00A65428"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More than 0%</w:t>
            </w:r>
          </w:p>
          <w:p w14:paraId="778B8BFC" w14:textId="13BE27E0" w:rsidR="00C12379"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Generating surpluses consistently</w:t>
            </w:r>
          </w:p>
        </w:tc>
        <w:tc>
          <w:tcPr>
            <w:tcW w:w="567" w:type="pct"/>
          </w:tcPr>
          <w:p w14:paraId="01C335CA" w14:textId="77777777" w:rsidR="00A65428"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More than 5%</w:t>
            </w:r>
          </w:p>
          <w:p w14:paraId="3F8644EC" w14:textId="78B08732" w:rsidR="00C12379"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Generating strong surpluses to fund operations</w:t>
            </w:r>
          </w:p>
        </w:tc>
        <w:tc>
          <w:tcPr>
            <w:tcW w:w="713" w:type="pct"/>
          </w:tcPr>
          <w:p w14:paraId="447D0317" w14:textId="77777777" w:rsidR="00A65428"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More than 1.0</w:t>
            </w:r>
          </w:p>
          <w:p w14:paraId="1D0EEDAD" w14:textId="1DC2FBC3" w:rsidR="00C12379"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No immediate issues with repaying short-term liabilities as they fall due</w:t>
            </w:r>
          </w:p>
        </w:tc>
        <w:tc>
          <w:tcPr>
            <w:tcW w:w="741" w:type="pct"/>
          </w:tcPr>
          <w:p w14:paraId="713BAAED" w14:textId="77777777" w:rsidR="00A65428"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40% or less</w:t>
            </w:r>
          </w:p>
          <w:p w14:paraId="60C0B474" w14:textId="646D7DD9" w:rsidR="00C12379"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No concern over the ability to repay debt from own-source revenue</w:t>
            </w:r>
          </w:p>
        </w:tc>
        <w:tc>
          <w:tcPr>
            <w:tcW w:w="617" w:type="pct"/>
          </w:tcPr>
          <w:p w14:paraId="3449FC77" w14:textId="77777777" w:rsidR="00A65428"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More than 100%</w:t>
            </w:r>
          </w:p>
          <w:p w14:paraId="5BD79F3B" w14:textId="7B7ECB09" w:rsidR="00C12379" w:rsidRPr="0022670C" w:rsidRDefault="00C12379"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 xml:space="preserve">Generating enough cash from operations </w:t>
            </w:r>
            <w:r w:rsidR="00E03630" w:rsidRPr="0022670C">
              <w:rPr>
                <w:rFonts w:asciiTheme="minorHAnsi" w:hAnsiTheme="minorHAnsi"/>
                <w:szCs w:val="20"/>
                <w:lang w:eastAsia="en-US"/>
              </w:rPr>
              <w:t>to fund new assets</w:t>
            </w:r>
          </w:p>
        </w:tc>
        <w:tc>
          <w:tcPr>
            <w:tcW w:w="667" w:type="pct"/>
          </w:tcPr>
          <w:p w14:paraId="041622D3" w14:textId="77777777" w:rsidR="00A65428" w:rsidRPr="0022670C" w:rsidRDefault="00E03630"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More than 1.5</w:t>
            </w:r>
          </w:p>
          <w:p w14:paraId="7A047325" w14:textId="24BAD253" w:rsidR="00E03630" w:rsidRPr="0022670C" w:rsidRDefault="00E03630"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Low risk of insufficient spending on asset renewal</w:t>
            </w:r>
          </w:p>
        </w:tc>
        <w:tc>
          <w:tcPr>
            <w:tcW w:w="686" w:type="pct"/>
          </w:tcPr>
          <w:p w14:paraId="540D3EFC" w14:textId="77777777" w:rsidR="00A65428" w:rsidRPr="0022670C" w:rsidRDefault="00E03630"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lang w:eastAsia="en-US"/>
              </w:rPr>
            </w:pPr>
            <w:r w:rsidRPr="0022670C">
              <w:rPr>
                <w:rFonts w:asciiTheme="minorHAnsi" w:hAnsiTheme="minorHAnsi"/>
                <w:b/>
                <w:bCs/>
                <w:szCs w:val="20"/>
                <w:lang w:eastAsia="en-US"/>
              </w:rPr>
              <w:t>More than 1.0</w:t>
            </w:r>
          </w:p>
          <w:p w14:paraId="3891209E" w14:textId="04EAE813" w:rsidR="00E03630" w:rsidRPr="0022670C" w:rsidRDefault="00E03630" w:rsidP="0022670C">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eastAsia="en-US"/>
              </w:rPr>
            </w:pPr>
            <w:r w:rsidRPr="0022670C">
              <w:rPr>
                <w:rFonts w:asciiTheme="minorHAnsi" w:hAnsiTheme="minorHAnsi"/>
                <w:szCs w:val="20"/>
                <w:lang w:eastAsia="en-US"/>
              </w:rPr>
              <w:t>Low risk of insufficient spending on asset base</w:t>
            </w:r>
          </w:p>
        </w:tc>
      </w:tr>
    </w:tbl>
    <w:p w14:paraId="32B7BBA4" w14:textId="77777777" w:rsidR="004F0469" w:rsidRPr="004F0469" w:rsidRDefault="004F0469" w:rsidP="004F0469">
      <w:pPr>
        <w:rPr>
          <w:lang w:eastAsia="en-US"/>
        </w:rPr>
      </w:pPr>
    </w:p>
    <w:p w14:paraId="49C0B4D1" w14:textId="77777777" w:rsidR="00C909EA" w:rsidRPr="00C909EA" w:rsidRDefault="00C909EA" w:rsidP="00C909EA">
      <w:pPr>
        <w:rPr>
          <w:lang w:eastAsia="en-US"/>
        </w:rPr>
      </w:pPr>
    </w:p>
    <w:bookmarkEnd w:id="29"/>
    <w:bookmarkEnd w:id="30"/>
    <w:p w14:paraId="37DB6EE5" w14:textId="7EE6254A" w:rsidR="00563DE5" w:rsidRPr="0022670C" w:rsidRDefault="00563DE5" w:rsidP="0022670C">
      <w:pPr>
        <w:rPr>
          <w:rFonts w:ascii="Franklin Gothic Demi" w:eastAsiaTheme="majorEastAsia" w:hAnsi="Franklin Gothic Demi" w:cstheme="majorBidi"/>
          <w:sz w:val="28"/>
          <w:szCs w:val="26"/>
          <w:lang w:eastAsia="en-US"/>
        </w:rPr>
        <w:sectPr w:rsidR="00563DE5" w:rsidRPr="0022670C" w:rsidSect="00563DE5">
          <w:pgSz w:w="16838" w:h="11906" w:orient="landscape" w:code="9"/>
          <w:pgMar w:top="1559" w:right="2268" w:bottom="992" w:left="1440" w:header="709" w:footer="782" w:gutter="0"/>
          <w:cols w:space="708"/>
          <w:docGrid w:linePitch="360"/>
        </w:sectPr>
      </w:pPr>
    </w:p>
    <w:p w14:paraId="543AF90F" w14:textId="282DBD22" w:rsidR="0040173D" w:rsidRPr="009E4573" w:rsidRDefault="00B9248F" w:rsidP="0022670C">
      <w:pPr>
        <w:pStyle w:val="Heading1"/>
        <w:numPr>
          <w:ilvl w:val="0"/>
          <w:numId w:val="28"/>
        </w:numPr>
      </w:pPr>
      <w:bookmarkStart w:id="33" w:name="_Toc210205633"/>
      <w:bookmarkStart w:id="34" w:name="_Toc211874587"/>
      <w:r w:rsidRPr="009E4573">
        <w:lastRenderedPageBreak/>
        <w:t>Economic assumptions</w:t>
      </w:r>
      <w:bookmarkEnd w:id="33"/>
      <w:bookmarkEnd w:id="34"/>
    </w:p>
    <w:p w14:paraId="3927DEE1" w14:textId="597C9145" w:rsidR="009E4573" w:rsidRDefault="0022670C" w:rsidP="0022670C">
      <w:pPr>
        <w:pStyle w:val="Heading2"/>
      </w:pPr>
      <w:bookmarkStart w:id="35" w:name="_Toc210205634"/>
      <w:bookmarkStart w:id="36" w:name="_Toc211874588"/>
      <w:r>
        <w:t xml:space="preserve">5.1 </w:t>
      </w:r>
      <w:r w:rsidR="00CE7C59">
        <w:t>Economic assumption forecasts</w:t>
      </w:r>
      <w:bookmarkEnd w:id="35"/>
      <w:bookmarkEnd w:id="36"/>
    </w:p>
    <w:p w14:paraId="2D304D72" w14:textId="657F4EAC" w:rsidR="00CE7C59" w:rsidRDefault="00CE7C59" w:rsidP="00CE7C59">
      <w:pPr>
        <w:rPr>
          <w:rFonts w:eastAsia="Arial"/>
          <w:lang w:eastAsia="en-US"/>
        </w:rPr>
      </w:pPr>
      <w:r>
        <w:rPr>
          <w:rFonts w:eastAsia="Arial"/>
          <w:lang w:eastAsia="en-US"/>
        </w:rPr>
        <w:t>This section presents information regarding economic assumptions.  The assumptions comprise the annual escalations for each line item in the Comprehensive Income Statement.</w:t>
      </w:r>
    </w:p>
    <w:p w14:paraId="139F5D80" w14:textId="47E895A7" w:rsidR="00CE7C59" w:rsidRDefault="001C62FB" w:rsidP="00CE7C59">
      <w:pPr>
        <w:rPr>
          <w:rFonts w:eastAsia="Arial"/>
          <w:color w:val="FF0000"/>
          <w:lang w:eastAsia="en-US"/>
        </w:rPr>
      </w:pPr>
      <w:r w:rsidRPr="001C62FB">
        <w:rPr>
          <w:rFonts w:eastAsia="Arial"/>
          <w:noProof/>
        </w:rPr>
        <w:drawing>
          <wp:inline distT="0" distB="0" distL="0" distR="0" wp14:anchorId="0B78D363" wp14:editId="0F74EDD2">
            <wp:extent cx="5940425" cy="1760220"/>
            <wp:effectExtent l="0" t="0" r="3175" b="0"/>
            <wp:docPr id="1345633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1760220"/>
                    </a:xfrm>
                    <a:prstGeom prst="rect">
                      <a:avLst/>
                    </a:prstGeom>
                    <a:noFill/>
                    <a:ln>
                      <a:noFill/>
                    </a:ln>
                  </pic:spPr>
                </pic:pic>
              </a:graphicData>
            </a:graphic>
          </wp:inline>
        </w:drawing>
      </w:r>
    </w:p>
    <w:p w14:paraId="0266BA7A" w14:textId="77777777" w:rsidR="0022670C" w:rsidRDefault="0022670C" w:rsidP="00CE7C59">
      <w:pPr>
        <w:rPr>
          <w:rFonts w:eastAsia="Arial"/>
          <w:color w:val="FF0000"/>
          <w:lang w:eastAsia="en-US"/>
        </w:rPr>
      </w:pPr>
    </w:p>
    <w:p w14:paraId="045EA19D" w14:textId="7C79587C" w:rsidR="00B54E94" w:rsidRDefault="0022670C" w:rsidP="0022670C">
      <w:pPr>
        <w:pStyle w:val="Heading2"/>
        <w:spacing w:after="120"/>
      </w:pPr>
      <w:bookmarkStart w:id="37" w:name="_Toc210205635"/>
      <w:bookmarkStart w:id="38" w:name="_Toc211874589"/>
      <w:r>
        <w:t xml:space="preserve">5.2 </w:t>
      </w:r>
      <w:r w:rsidR="00B54E94">
        <w:t>Economic assumptions commentary</w:t>
      </w:r>
      <w:bookmarkEnd w:id="37"/>
      <w:bookmarkEnd w:id="38"/>
    </w:p>
    <w:p w14:paraId="5610ED77" w14:textId="313A15D9" w:rsidR="00B54E94" w:rsidRPr="0022670C" w:rsidRDefault="00B54E94" w:rsidP="00B54E94">
      <w:pPr>
        <w:pStyle w:val="Heading4"/>
        <w:rPr>
          <w:color w:val="auto"/>
          <w:lang w:eastAsia="en-US"/>
        </w:rPr>
      </w:pPr>
      <w:r w:rsidRPr="0022670C">
        <w:rPr>
          <w:color w:val="auto"/>
          <w:lang w:eastAsia="en-US"/>
        </w:rPr>
        <w:t>Consumer Price Index</w:t>
      </w:r>
    </w:p>
    <w:p w14:paraId="191A6771" w14:textId="56447CEA" w:rsidR="0022670C" w:rsidRPr="0022670C" w:rsidRDefault="00B54E94" w:rsidP="0022670C">
      <w:pPr>
        <w:spacing w:before="100" w:beforeAutospacing="1" w:after="100" w:afterAutospacing="1"/>
        <w:rPr>
          <w:rFonts w:eastAsia="Arial"/>
          <w:lang w:eastAsia="en-US"/>
        </w:rPr>
      </w:pPr>
      <w:r w:rsidRPr="0022670C">
        <w:rPr>
          <w:rFonts w:eastAsia="Arial"/>
          <w:lang w:eastAsia="en-US"/>
        </w:rPr>
        <w:t xml:space="preserve">The Financial Plan assumes a conservative increase of </w:t>
      </w:r>
      <w:r w:rsidR="00730C24" w:rsidRPr="0022670C">
        <w:rPr>
          <w:rFonts w:eastAsia="Arial"/>
          <w:lang w:eastAsia="en-US"/>
        </w:rPr>
        <w:t>2.5%</w:t>
      </w:r>
      <w:r w:rsidR="00CF02DD" w:rsidRPr="0022670C">
        <w:rPr>
          <w:rFonts w:eastAsia="Arial"/>
          <w:lang w:eastAsia="en-US"/>
        </w:rPr>
        <w:t xml:space="preserve"> over the </w:t>
      </w:r>
      <w:r w:rsidR="00A609C2" w:rsidRPr="0022670C">
        <w:rPr>
          <w:rFonts w:eastAsia="Arial"/>
          <w:lang w:eastAsia="en-US"/>
        </w:rPr>
        <w:t>10-year</w:t>
      </w:r>
      <w:r w:rsidR="00207DC0" w:rsidRPr="0022670C">
        <w:rPr>
          <w:rFonts w:eastAsia="Arial"/>
          <w:lang w:eastAsia="en-US"/>
        </w:rPr>
        <w:t xml:space="preserve"> life </w:t>
      </w:r>
      <w:r w:rsidR="00D667C8" w:rsidRPr="0022670C">
        <w:rPr>
          <w:rFonts w:eastAsia="Arial"/>
          <w:lang w:eastAsia="en-US"/>
        </w:rPr>
        <w:t xml:space="preserve">of the </w:t>
      </w:r>
      <w:r w:rsidR="0066034E" w:rsidRPr="0022670C">
        <w:rPr>
          <w:rFonts w:eastAsia="Arial"/>
          <w:lang w:eastAsia="en-US"/>
        </w:rPr>
        <w:t>Plan and</w:t>
      </w:r>
      <w:r w:rsidR="00023090" w:rsidRPr="0022670C">
        <w:rPr>
          <w:rFonts w:eastAsia="Arial"/>
          <w:lang w:eastAsia="en-US"/>
        </w:rPr>
        <w:t xml:space="preserve"> has been based on the assumptions outlined in the 2025-26 Victorian State Government Budget.  This in effect builds in a strategy for cost containment and encourages efficiencies as current economic indicators reflect a greater increase in prices for various goods and services.</w:t>
      </w:r>
    </w:p>
    <w:p w14:paraId="4BFE62B5" w14:textId="70530B2D" w:rsidR="007C6040" w:rsidRPr="0022670C" w:rsidRDefault="007C6040" w:rsidP="007C6040">
      <w:pPr>
        <w:pStyle w:val="Heading4"/>
        <w:rPr>
          <w:color w:val="auto"/>
          <w:lang w:eastAsia="en-US"/>
        </w:rPr>
      </w:pPr>
      <w:r w:rsidRPr="0022670C">
        <w:rPr>
          <w:color w:val="auto"/>
          <w:lang w:eastAsia="en-US"/>
        </w:rPr>
        <w:t>Population growth</w:t>
      </w:r>
    </w:p>
    <w:p w14:paraId="497549B6" w14:textId="77777777" w:rsidR="0022670C" w:rsidRDefault="002701B8" w:rsidP="0022670C">
      <w:pPr>
        <w:rPr>
          <w:rFonts w:eastAsia="Arial"/>
          <w:lang w:eastAsia="en-US"/>
        </w:rPr>
      </w:pPr>
      <w:r w:rsidRPr="0022670C">
        <w:rPr>
          <w:rFonts w:eastAsia="Arial"/>
          <w:lang w:eastAsia="en-US"/>
        </w:rPr>
        <w:t>Cardinia Shire is one of the fastest growing municipalities in Victoria, with a current population</w:t>
      </w:r>
      <w:r w:rsidR="00490DDC" w:rsidRPr="0022670C">
        <w:rPr>
          <w:rFonts w:eastAsia="Arial"/>
          <w:lang w:eastAsia="en-US"/>
        </w:rPr>
        <w:t xml:space="preserve"> of approximately 132,289.  By 2046, this is </w:t>
      </w:r>
      <w:r w:rsidR="0073389F" w:rsidRPr="0022670C">
        <w:rPr>
          <w:rFonts w:eastAsia="Arial"/>
          <w:lang w:eastAsia="en-US"/>
        </w:rPr>
        <w:t>expected to increase to approximately 167,989.</w:t>
      </w:r>
    </w:p>
    <w:p w14:paraId="6951EA39" w14:textId="33999705" w:rsidR="0022670C" w:rsidRPr="0022670C" w:rsidRDefault="0073389F" w:rsidP="0022670C">
      <w:pPr>
        <w:rPr>
          <w:rFonts w:eastAsia="Arial"/>
          <w:lang w:eastAsia="en-US"/>
        </w:rPr>
      </w:pPr>
      <w:r w:rsidRPr="0022670C">
        <w:rPr>
          <w:rFonts w:eastAsia="Arial"/>
          <w:lang w:eastAsia="en-US"/>
        </w:rPr>
        <w:t>Based on current data</w:t>
      </w:r>
      <w:r w:rsidR="005B5796" w:rsidRPr="0022670C">
        <w:rPr>
          <w:rFonts w:eastAsia="Arial"/>
          <w:lang w:eastAsia="en-US"/>
        </w:rPr>
        <w:t>, Cardinia Shire is expected to</w:t>
      </w:r>
      <w:r w:rsidR="004418E3" w:rsidRPr="0022670C">
        <w:rPr>
          <w:rFonts w:eastAsia="Arial"/>
          <w:lang w:eastAsia="en-US"/>
        </w:rPr>
        <w:t xml:space="preserve"> peak at a growth rate of 2.7% by the </w:t>
      </w:r>
      <w:r w:rsidR="00032106" w:rsidRPr="0022670C">
        <w:rPr>
          <w:rFonts w:eastAsia="Arial"/>
          <w:lang w:eastAsia="en-US"/>
        </w:rPr>
        <w:t xml:space="preserve">end of 2029 and then start to plateau.  The average growth over the </w:t>
      </w:r>
      <w:r w:rsidR="00A609C2" w:rsidRPr="0022670C">
        <w:rPr>
          <w:rFonts w:eastAsia="Arial"/>
          <w:lang w:eastAsia="en-US"/>
        </w:rPr>
        <w:t>10-year</w:t>
      </w:r>
      <w:r w:rsidR="00032106" w:rsidRPr="0022670C">
        <w:rPr>
          <w:rFonts w:eastAsia="Arial"/>
          <w:lang w:eastAsia="en-US"/>
        </w:rPr>
        <w:t xml:space="preserve"> period is expected to average 1.9%</w:t>
      </w:r>
      <w:r w:rsidR="004F1CB5" w:rsidRPr="0022670C">
        <w:rPr>
          <w:rFonts w:eastAsia="Arial"/>
          <w:lang w:eastAsia="en-US"/>
        </w:rPr>
        <w:t>.</w:t>
      </w:r>
      <w:r w:rsidR="0022670C">
        <w:rPr>
          <w:rFonts w:eastAsia="Arial"/>
          <w:lang w:eastAsia="en-US"/>
        </w:rPr>
        <w:br/>
      </w:r>
    </w:p>
    <w:p w14:paraId="292F8D8F" w14:textId="5E075103" w:rsidR="004F1CB5" w:rsidRPr="0022670C" w:rsidRDefault="000205DE" w:rsidP="004F1CB5">
      <w:pPr>
        <w:pStyle w:val="Heading4"/>
        <w:rPr>
          <w:color w:val="auto"/>
          <w:lang w:eastAsia="en-US"/>
        </w:rPr>
      </w:pPr>
      <w:r w:rsidRPr="0022670C">
        <w:rPr>
          <w:color w:val="auto"/>
          <w:lang w:eastAsia="en-US"/>
        </w:rPr>
        <w:t>Investment interest rate</w:t>
      </w:r>
    </w:p>
    <w:p w14:paraId="52661315" w14:textId="77777777" w:rsidR="0022670C" w:rsidRDefault="00A31E62" w:rsidP="0022670C">
      <w:pPr>
        <w:rPr>
          <w:rFonts w:eastAsia="Arial"/>
          <w:lang w:eastAsia="en-US"/>
        </w:rPr>
      </w:pPr>
      <w:r w:rsidRPr="0022670C">
        <w:rPr>
          <w:rFonts w:eastAsia="Arial"/>
          <w:lang w:eastAsia="en-US"/>
        </w:rPr>
        <w:t>To</w:t>
      </w:r>
      <w:r w:rsidR="003174F7" w:rsidRPr="0022670C">
        <w:rPr>
          <w:rFonts w:eastAsia="Arial"/>
          <w:lang w:eastAsia="en-US"/>
        </w:rPr>
        <w:t xml:space="preserve"> maximise income</w:t>
      </w:r>
      <w:r w:rsidR="005119EE" w:rsidRPr="0022670C">
        <w:rPr>
          <w:rFonts w:eastAsia="Arial"/>
          <w:lang w:eastAsia="en-US"/>
        </w:rPr>
        <w:t xml:space="preserve">, Council invests unspent capital works and reserve funds into term deposits </w:t>
      </w:r>
      <w:r w:rsidR="00A856C8" w:rsidRPr="0022670C">
        <w:rPr>
          <w:rFonts w:eastAsia="Arial"/>
          <w:lang w:eastAsia="en-US"/>
        </w:rPr>
        <w:t>to earn interest income.</w:t>
      </w:r>
    </w:p>
    <w:p w14:paraId="6210C0AA" w14:textId="30F6FB4D" w:rsidR="0022670C" w:rsidRPr="0022670C" w:rsidRDefault="00A856C8" w:rsidP="0022670C">
      <w:pPr>
        <w:rPr>
          <w:rFonts w:eastAsia="Arial"/>
          <w:lang w:eastAsia="en-US"/>
        </w:rPr>
      </w:pPr>
      <w:r w:rsidRPr="0022670C">
        <w:rPr>
          <w:rFonts w:eastAsia="Arial"/>
          <w:lang w:eastAsia="en-US"/>
        </w:rPr>
        <w:t>Council is estimating interest rates to be at 4.5</w:t>
      </w:r>
      <w:r w:rsidR="00D05F89" w:rsidRPr="0022670C">
        <w:rPr>
          <w:rFonts w:eastAsia="Arial"/>
          <w:lang w:eastAsia="en-US"/>
        </w:rPr>
        <w:t>0</w:t>
      </w:r>
      <w:r w:rsidRPr="0022670C">
        <w:rPr>
          <w:rFonts w:eastAsia="Arial"/>
          <w:lang w:eastAsia="en-US"/>
        </w:rPr>
        <w:t>% for the life of the Financial Plan</w:t>
      </w:r>
      <w:r w:rsidR="00D05F89" w:rsidRPr="0022670C">
        <w:rPr>
          <w:rFonts w:eastAsia="Arial"/>
          <w:lang w:eastAsia="en-US"/>
        </w:rPr>
        <w:t>.</w:t>
      </w:r>
      <w:r w:rsidR="0022670C">
        <w:rPr>
          <w:rFonts w:eastAsia="Arial"/>
          <w:lang w:eastAsia="en-US"/>
        </w:rPr>
        <w:br/>
      </w:r>
    </w:p>
    <w:p w14:paraId="1AEB1382" w14:textId="77777777" w:rsidR="0022670C" w:rsidRDefault="00345A54" w:rsidP="0022670C">
      <w:pPr>
        <w:pStyle w:val="Heading4"/>
        <w:rPr>
          <w:color w:val="auto"/>
          <w:lang w:eastAsia="en-US"/>
        </w:rPr>
      </w:pPr>
      <w:r w:rsidRPr="0022670C">
        <w:rPr>
          <w:color w:val="auto"/>
          <w:lang w:eastAsia="en-US"/>
        </w:rPr>
        <w:t>Borrowing interest rate</w:t>
      </w:r>
    </w:p>
    <w:p w14:paraId="022A4AB9" w14:textId="545B739D" w:rsidR="0022670C" w:rsidRDefault="00D05F89" w:rsidP="0022670C">
      <w:pPr>
        <w:rPr>
          <w:rFonts w:eastAsiaTheme="majorEastAsia"/>
          <w:lang w:eastAsia="en-US"/>
        </w:rPr>
      </w:pPr>
      <w:r w:rsidRPr="0022670C">
        <w:rPr>
          <w:rFonts w:eastAsia="Arial"/>
          <w:lang w:eastAsia="en-US"/>
        </w:rPr>
        <w:t xml:space="preserve">Council has set the borrowing interest rate of 5.00% </w:t>
      </w:r>
      <w:r w:rsidR="00443EEC" w:rsidRPr="0022670C">
        <w:rPr>
          <w:rFonts w:eastAsia="Arial"/>
          <w:lang w:eastAsia="en-US"/>
        </w:rPr>
        <w:t xml:space="preserve">for the life of the Financial Plan.  </w:t>
      </w:r>
      <w:r w:rsidR="00F0201A" w:rsidRPr="0022670C">
        <w:rPr>
          <w:rFonts w:eastAsia="Arial"/>
          <w:lang w:eastAsia="en-US"/>
        </w:rPr>
        <w:t>Borrowing rates are sought at the time Council intend</w:t>
      </w:r>
      <w:r w:rsidR="00EC7CC9" w:rsidRPr="0022670C">
        <w:rPr>
          <w:rFonts w:eastAsia="Arial"/>
          <w:lang w:eastAsia="en-US"/>
        </w:rPr>
        <w:t>s</w:t>
      </w:r>
      <w:r w:rsidR="00F0201A" w:rsidRPr="0022670C">
        <w:rPr>
          <w:rFonts w:eastAsia="Arial"/>
          <w:lang w:eastAsia="en-US"/>
        </w:rPr>
        <w:t xml:space="preserve"> to take out any new loan </w:t>
      </w:r>
      <w:r w:rsidR="007D5978" w:rsidRPr="0022670C">
        <w:rPr>
          <w:rFonts w:eastAsia="Arial"/>
          <w:lang w:eastAsia="en-US"/>
        </w:rPr>
        <w:t xml:space="preserve">and any </w:t>
      </w:r>
      <w:r w:rsidR="00F12469" w:rsidRPr="0022670C">
        <w:rPr>
          <w:rFonts w:eastAsia="Arial"/>
          <w:lang w:eastAsia="en-US"/>
        </w:rPr>
        <w:t>changes.</w:t>
      </w:r>
      <w:r w:rsidR="007D5978" w:rsidRPr="0022670C">
        <w:rPr>
          <w:rFonts w:eastAsia="Arial"/>
          <w:lang w:eastAsia="en-US"/>
        </w:rPr>
        <w:t xml:space="preserve"> </w:t>
      </w:r>
      <w:r w:rsidR="0022670C">
        <w:rPr>
          <w:rFonts w:eastAsia="Arial"/>
          <w:lang w:eastAsia="en-US"/>
        </w:rPr>
        <w:br/>
      </w:r>
    </w:p>
    <w:p w14:paraId="6B2E4479" w14:textId="77777777" w:rsidR="0022670C" w:rsidRPr="0022670C" w:rsidRDefault="0022670C" w:rsidP="0022670C">
      <w:pPr>
        <w:rPr>
          <w:rFonts w:eastAsiaTheme="majorEastAsia"/>
          <w:lang w:eastAsia="en-US"/>
        </w:rPr>
      </w:pPr>
    </w:p>
    <w:p w14:paraId="059D27E1" w14:textId="4FC21C06" w:rsidR="00D8565E" w:rsidRPr="0022670C" w:rsidRDefault="002701B8" w:rsidP="002701B8">
      <w:pPr>
        <w:pStyle w:val="Heading4"/>
        <w:rPr>
          <w:color w:val="auto"/>
          <w:lang w:eastAsia="en-US"/>
        </w:rPr>
      </w:pPr>
      <w:r w:rsidRPr="0022670C">
        <w:rPr>
          <w:color w:val="auto"/>
          <w:lang w:eastAsia="en-US"/>
        </w:rPr>
        <w:lastRenderedPageBreak/>
        <w:t>Rate cap</w:t>
      </w:r>
      <w:r w:rsidR="008C46B1" w:rsidRPr="0022670C">
        <w:rPr>
          <w:color w:val="auto"/>
          <w:lang w:eastAsia="en-US"/>
        </w:rPr>
        <w:t>, waste charges and supplementary rates</w:t>
      </w:r>
    </w:p>
    <w:p w14:paraId="6A4BA3EF" w14:textId="17447BBA" w:rsidR="00732855" w:rsidRPr="0022670C" w:rsidRDefault="00841679" w:rsidP="008C46B1">
      <w:pPr>
        <w:rPr>
          <w:lang w:eastAsia="en-US"/>
        </w:rPr>
      </w:pPr>
      <w:r w:rsidRPr="0022670C">
        <w:rPr>
          <w:lang w:eastAsia="en-US"/>
        </w:rPr>
        <w:t xml:space="preserve">Base rate </w:t>
      </w:r>
      <w:r w:rsidR="00E64920" w:rsidRPr="0022670C">
        <w:rPr>
          <w:lang w:eastAsia="en-US"/>
        </w:rPr>
        <w:t xml:space="preserve">revenue will increase by 3.00% for the 2025-26 year based on the State Government rate cap, with estimated future </w:t>
      </w:r>
      <w:r w:rsidR="00732855" w:rsidRPr="0022670C">
        <w:rPr>
          <w:lang w:eastAsia="en-US"/>
        </w:rPr>
        <w:t xml:space="preserve">annual increases </w:t>
      </w:r>
      <w:r w:rsidR="000449E4" w:rsidRPr="0022670C">
        <w:rPr>
          <w:lang w:eastAsia="en-US"/>
        </w:rPr>
        <w:t xml:space="preserve">at 2.5% </w:t>
      </w:r>
      <w:r w:rsidR="00732855" w:rsidRPr="0022670C">
        <w:rPr>
          <w:lang w:eastAsia="en-US"/>
        </w:rPr>
        <w:t>per annum for the period of the Financial Plan.</w:t>
      </w:r>
    </w:p>
    <w:p w14:paraId="728087F3" w14:textId="787C87E9" w:rsidR="00AC3F2E" w:rsidRPr="0022670C" w:rsidRDefault="00732855" w:rsidP="008C46B1">
      <w:pPr>
        <w:rPr>
          <w:lang w:eastAsia="en-US"/>
        </w:rPr>
      </w:pPr>
      <w:r w:rsidRPr="0022670C">
        <w:rPr>
          <w:lang w:eastAsia="en-US"/>
        </w:rPr>
        <w:t xml:space="preserve">In addition, it is expected that during the 2025-26 financial year </w:t>
      </w:r>
      <w:r w:rsidR="006F3F1C" w:rsidRPr="0022670C">
        <w:rPr>
          <w:lang w:eastAsia="en-US"/>
        </w:rPr>
        <w:t xml:space="preserve">$1.3 million </w:t>
      </w:r>
      <w:r w:rsidR="00550022" w:rsidRPr="0022670C">
        <w:rPr>
          <w:lang w:eastAsia="en-US"/>
        </w:rPr>
        <w:t xml:space="preserve">will be received in supplementary rates </w:t>
      </w:r>
      <w:r w:rsidR="007D3813" w:rsidRPr="0022670C">
        <w:rPr>
          <w:lang w:eastAsia="en-US"/>
        </w:rPr>
        <w:t>because of</w:t>
      </w:r>
      <w:r w:rsidR="00550022" w:rsidRPr="0022670C">
        <w:rPr>
          <w:lang w:eastAsia="en-US"/>
        </w:rPr>
        <w:t xml:space="preserve"> growth of the municipality.  This amount is expected to</w:t>
      </w:r>
      <w:r w:rsidR="00AC3F2E" w:rsidRPr="0022670C">
        <w:rPr>
          <w:lang w:eastAsia="en-US"/>
        </w:rPr>
        <w:t xml:space="preserve"> reflect the anticipated growth of Council.</w:t>
      </w:r>
    </w:p>
    <w:p w14:paraId="48C0E4AD" w14:textId="4628A062" w:rsidR="0022670C" w:rsidRPr="0022670C" w:rsidRDefault="00AC3F2E" w:rsidP="0022670C">
      <w:pPr>
        <w:rPr>
          <w:lang w:eastAsia="en-US"/>
        </w:rPr>
      </w:pPr>
      <w:r w:rsidRPr="0022670C">
        <w:rPr>
          <w:lang w:eastAsia="en-US"/>
        </w:rPr>
        <w:t xml:space="preserve">Waste charges are expected to increase </w:t>
      </w:r>
      <w:r w:rsidR="00403C29" w:rsidRPr="0022670C">
        <w:rPr>
          <w:lang w:eastAsia="en-US"/>
        </w:rPr>
        <w:t xml:space="preserve">16.5% </w:t>
      </w:r>
      <w:r w:rsidR="008A3E8A" w:rsidRPr="0022670C">
        <w:rPr>
          <w:lang w:eastAsia="en-US"/>
        </w:rPr>
        <w:t xml:space="preserve">compared to 2024-25 levels </w:t>
      </w:r>
      <w:r w:rsidR="00A609C2" w:rsidRPr="0022670C">
        <w:rPr>
          <w:lang w:eastAsia="en-US"/>
        </w:rPr>
        <w:t>to</w:t>
      </w:r>
      <w:r w:rsidR="001E3C9F" w:rsidRPr="0022670C">
        <w:rPr>
          <w:lang w:eastAsia="en-US"/>
        </w:rPr>
        <w:t xml:space="preserve"> cover the total costs of waste management incurred across the municipality.  </w:t>
      </w:r>
      <w:r w:rsidR="00ED51E9" w:rsidRPr="0022670C">
        <w:rPr>
          <w:lang w:eastAsia="en-US"/>
        </w:rPr>
        <w:t xml:space="preserve">Future waste charges are expected to increase by 10% per annum </w:t>
      </w:r>
      <w:r w:rsidR="00581C9F" w:rsidRPr="0022670C">
        <w:rPr>
          <w:lang w:eastAsia="en-US"/>
        </w:rPr>
        <w:t xml:space="preserve">from 2026-27 to </w:t>
      </w:r>
      <w:r w:rsidR="0067229A" w:rsidRPr="0022670C">
        <w:rPr>
          <w:lang w:eastAsia="en-US"/>
        </w:rPr>
        <w:t>2028-29</w:t>
      </w:r>
      <w:r w:rsidR="00454E66" w:rsidRPr="0022670C">
        <w:rPr>
          <w:lang w:eastAsia="en-US"/>
        </w:rPr>
        <w:t xml:space="preserve"> and then down to an increase of 5%</w:t>
      </w:r>
      <w:r w:rsidR="00005888" w:rsidRPr="0022670C">
        <w:rPr>
          <w:lang w:eastAsia="en-US"/>
        </w:rPr>
        <w:t xml:space="preserve"> per annum thereafter.  These increases are to ensure Council continues to cover the full costs of providing waste services </w:t>
      </w:r>
      <w:r w:rsidR="006B1E76" w:rsidRPr="0022670C">
        <w:rPr>
          <w:lang w:eastAsia="en-US"/>
        </w:rPr>
        <w:t>over the period of the Financial Plan.</w:t>
      </w:r>
      <w:r w:rsidR="00454E66" w:rsidRPr="0022670C">
        <w:rPr>
          <w:lang w:eastAsia="en-US"/>
        </w:rPr>
        <w:t xml:space="preserve"> </w:t>
      </w:r>
      <w:r w:rsidR="0022670C">
        <w:rPr>
          <w:lang w:eastAsia="en-US"/>
        </w:rPr>
        <w:br/>
      </w:r>
    </w:p>
    <w:p w14:paraId="43CDAAFA" w14:textId="1FFA4CEF" w:rsidR="00B03785" w:rsidRPr="0022670C" w:rsidRDefault="00B03785" w:rsidP="00B03785">
      <w:pPr>
        <w:pStyle w:val="Heading4"/>
        <w:rPr>
          <w:color w:val="auto"/>
          <w:lang w:eastAsia="en-US"/>
        </w:rPr>
      </w:pPr>
      <w:r w:rsidRPr="0022670C">
        <w:rPr>
          <w:color w:val="auto"/>
          <w:lang w:eastAsia="en-US"/>
        </w:rPr>
        <w:t>Statutory fees and fines</w:t>
      </w:r>
    </w:p>
    <w:p w14:paraId="5D00A843" w14:textId="7BC564E3" w:rsidR="0022670C" w:rsidRPr="0022670C" w:rsidRDefault="00366712" w:rsidP="0022670C">
      <w:pPr>
        <w:rPr>
          <w:lang w:eastAsia="en-US"/>
        </w:rPr>
      </w:pPr>
      <w:r w:rsidRPr="0022670C">
        <w:rPr>
          <w:lang w:eastAsia="en-US"/>
        </w:rPr>
        <w:t>Statutory fees are set by the State Government</w:t>
      </w:r>
      <w:r w:rsidR="006F1D4E" w:rsidRPr="0022670C">
        <w:rPr>
          <w:lang w:eastAsia="en-US"/>
        </w:rPr>
        <w:t xml:space="preserve"> each year, however the Financial Plan indexes statutory fees in line with </w:t>
      </w:r>
      <w:r w:rsidR="008F72B4" w:rsidRPr="0022670C">
        <w:rPr>
          <w:lang w:eastAsia="en-US"/>
        </w:rPr>
        <w:t xml:space="preserve">historical increases.  </w:t>
      </w:r>
      <w:r w:rsidR="005914E0" w:rsidRPr="0022670C">
        <w:rPr>
          <w:lang w:eastAsia="en-US"/>
        </w:rPr>
        <w:t xml:space="preserve">The Financial Plan </w:t>
      </w:r>
      <w:r w:rsidR="009D7902" w:rsidRPr="0022670C">
        <w:rPr>
          <w:lang w:eastAsia="en-US"/>
        </w:rPr>
        <w:t xml:space="preserve">applies a conservative increase of 2.5% </w:t>
      </w:r>
      <w:r w:rsidR="00731A56" w:rsidRPr="0022670C">
        <w:rPr>
          <w:lang w:eastAsia="en-US"/>
        </w:rPr>
        <w:t>for the period of the Financial Plan.</w:t>
      </w:r>
      <w:r w:rsidR="0022670C">
        <w:rPr>
          <w:lang w:eastAsia="en-US"/>
        </w:rPr>
        <w:br/>
      </w:r>
    </w:p>
    <w:p w14:paraId="513282B6" w14:textId="0BF5FA61" w:rsidR="004E4C8C" w:rsidRPr="0022670C" w:rsidRDefault="004E4C8C" w:rsidP="004E4C8C">
      <w:pPr>
        <w:pStyle w:val="Heading4"/>
        <w:rPr>
          <w:color w:val="auto"/>
          <w:lang w:eastAsia="en-US"/>
        </w:rPr>
      </w:pPr>
      <w:r w:rsidRPr="0022670C">
        <w:rPr>
          <w:color w:val="auto"/>
          <w:lang w:eastAsia="en-US"/>
        </w:rPr>
        <w:t>User fees and charges</w:t>
      </w:r>
    </w:p>
    <w:p w14:paraId="36B379BD" w14:textId="79ED51F0" w:rsidR="0022670C" w:rsidRPr="0022670C" w:rsidRDefault="004E4C8C" w:rsidP="0022670C">
      <w:pPr>
        <w:rPr>
          <w:lang w:eastAsia="en-US"/>
        </w:rPr>
      </w:pPr>
      <w:r w:rsidRPr="0022670C">
        <w:rPr>
          <w:lang w:eastAsia="en-US"/>
        </w:rPr>
        <w:t>User fees will increase</w:t>
      </w:r>
      <w:r w:rsidR="00B41BDD" w:rsidRPr="0022670C">
        <w:rPr>
          <w:lang w:eastAsia="en-US"/>
        </w:rPr>
        <w:t xml:space="preserve"> by 3% for the 2025-26 financial year, </w:t>
      </w:r>
      <w:r w:rsidR="00B26466" w:rsidRPr="0022670C">
        <w:rPr>
          <w:lang w:eastAsia="en-US"/>
        </w:rPr>
        <w:t xml:space="preserve">before </w:t>
      </w:r>
      <w:r w:rsidR="00B41BDD" w:rsidRPr="0022670C">
        <w:rPr>
          <w:lang w:eastAsia="en-US"/>
        </w:rPr>
        <w:t xml:space="preserve">returning to increase in line with the </w:t>
      </w:r>
      <w:r w:rsidR="004916B2" w:rsidRPr="0022670C">
        <w:rPr>
          <w:lang w:eastAsia="en-US"/>
        </w:rPr>
        <w:t>State Government rate cap.</w:t>
      </w:r>
      <w:r w:rsidR="0022670C">
        <w:rPr>
          <w:lang w:eastAsia="en-US"/>
        </w:rPr>
        <w:br/>
      </w:r>
    </w:p>
    <w:p w14:paraId="3315CAB0" w14:textId="77777777" w:rsidR="004916B2" w:rsidRPr="0022670C" w:rsidRDefault="004916B2" w:rsidP="004916B2">
      <w:pPr>
        <w:pStyle w:val="Heading4"/>
        <w:rPr>
          <w:color w:val="auto"/>
          <w:lang w:eastAsia="en-US"/>
        </w:rPr>
      </w:pPr>
      <w:r w:rsidRPr="0022670C">
        <w:rPr>
          <w:color w:val="auto"/>
          <w:lang w:eastAsia="en-US"/>
        </w:rPr>
        <w:t xml:space="preserve">Grants </w:t>
      </w:r>
    </w:p>
    <w:p w14:paraId="04DE9AAE" w14:textId="07C8639B" w:rsidR="004E4C8C" w:rsidRPr="0022670C" w:rsidRDefault="00623D23" w:rsidP="004F77E6">
      <w:pPr>
        <w:rPr>
          <w:lang w:eastAsia="en-US"/>
        </w:rPr>
      </w:pPr>
      <w:r w:rsidRPr="0022670C">
        <w:rPr>
          <w:lang w:eastAsia="en-US"/>
        </w:rPr>
        <w:t xml:space="preserve">Operating grant income increases for the Financial Plan period </w:t>
      </w:r>
      <w:r w:rsidR="00AA2A22" w:rsidRPr="0022670C">
        <w:rPr>
          <w:lang w:eastAsia="en-US"/>
        </w:rPr>
        <w:t xml:space="preserve">are based on a conservative annual rate of increase equivalent to the CPI assumptions.  </w:t>
      </w:r>
    </w:p>
    <w:p w14:paraId="4F80014F" w14:textId="1E49D251" w:rsidR="0022670C" w:rsidRPr="0022670C" w:rsidRDefault="00AA2A22" w:rsidP="0022670C">
      <w:pPr>
        <w:rPr>
          <w:lang w:eastAsia="en-US"/>
        </w:rPr>
      </w:pPr>
      <w:r w:rsidRPr="0022670C">
        <w:rPr>
          <w:lang w:eastAsia="en-US"/>
        </w:rPr>
        <w:t xml:space="preserve">Capital grant income </w:t>
      </w:r>
      <w:r w:rsidR="00AE60A7" w:rsidRPr="0022670C">
        <w:rPr>
          <w:lang w:eastAsia="en-US"/>
        </w:rPr>
        <w:t xml:space="preserve">includes all monies received from the State or Commonwealth Governments for the purpose of funding the capital works program.  </w:t>
      </w:r>
      <w:r w:rsidR="0036266D" w:rsidRPr="0022670C">
        <w:rPr>
          <w:lang w:eastAsia="en-US"/>
        </w:rPr>
        <w:t xml:space="preserve">The amount of capital grant funding received each year </w:t>
      </w:r>
      <w:r w:rsidR="00ED7D45" w:rsidRPr="0022670C">
        <w:rPr>
          <w:lang w:eastAsia="en-US"/>
        </w:rPr>
        <w:t>can vary depending on the types of works included in the capital program</w:t>
      </w:r>
      <w:r w:rsidR="00D3105C" w:rsidRPr="0022670C">
        <w:rPr>
          <w:lang w:eastAsia="en-US"/>
        </w:rPr>
        <w:t xml:space="preserve">.  For this Financial Plan, </w:t>
      </w:r>
      <w:r w:rsidR="000C5481" w:rsidRPr="0022670C">
        <w:rPr>
          <w:lang w:eastAsia="en-US"/>
        </w:rPr>
        <w:t xml:space="preserve">the </w:t>
      </w:r>
      <w:r w:rsidR="00D3105C" w:rsidRPr="0022670C">
        <w:rPr>
          <w:lang w:eastAsia="en-US"/>
        </w:rPr>
        <w:t xml:space="preserve">forecast is a combination of known funding and an estimate based on a minimum </w:t>
      </w:r>
      <w:r w:rsidR="00C225D9" w:rsidRPr="0022670C">
        <w:rPr>
          <w:lang w:eastAsia="en-US"/>
        </w:rPr>
        <w:t xml:space="preserve">average </w:t>
      </w:r>
      <w:r w:rsidR="00D3105C" w:rsidRPr="0022670C">
        <w:rPr>
          <w:lang w:eastAsia="en-US"/>
        </w:rPr>
        <w:t>contribution to the overall capital works program.</w:t>
      </w:r>
      <w:r w:rsidR="0022670C">
        <w:rPr>
          <w:lang w:eastAsia="en-US"/>
        </w:rPr>
        <w:br/>
      </w:r>
    </w:p>
    <w:p w14:paraId="57766FA7" w14:textId="6B6D0FD1" w:rsidR="00E97D57" w:rsidRPr="0022670C" w:rsidRDefault="00CF6CC2" w:rsidP="00E97D57">
      <w:pPr>
        <w:pStyle w:val="Heading4"/>
        <w:rPr>
          <w:color w:val="auto"/>
          <w:lang w:eastAsia="en-US"/>
        </w:rPr>
      </w:pPr>
      <w:r w:rsidRPr="0022670C">
        <w:rPr>
          <w:color w:val="auto"/>
          <w:lang w:eastAsia="en-US"/>
        </w:rPr>
        <w:t>C</w:t>
      </w:r>
      <w:r w:rsidR="00E97D57" w:rsidRPr="0022670C">
        <w:rPr>
          <w:color w:val="auto"/>
          <w:lang w:eastAsia="en-US"/>
        </w:rPr>
        <w:t>ontributions</w:t>
      </w:r>
    </w:p>
    <w:p w14:paraId="4D713BDD" w14:textId="580C9FF8" w:rsidR="00E97D57" w:rsidRPr="0022670C" w:rsidRDefault="00A974A4" w:rsidP="00E97D57">
      <w:pPr>
        <w:rPr>
          <w:lang w:eastAsia="en-US"/>
        </w:rPr>
      </w:pPr>
      <w:r w:rsidRPr="0022670C">
        <w:rPr>
          <w:lang w:eastAsia="en-US"/>
        </w:rPr>
        <w:t>Council receives contributions from developers. These contributions can be one of two sources</w:t>
      </w:r>
      <w:r w:rsidR="005632DF" w:rsidRPr="0022670C">
        <w:rPr>
          <w:lang w:eastAsia="en-US"/>
        </w:rPr>
        <w:t>:</w:t>
      </w:r>
      <w:r w:rsidRPr="0022670C">
        <w:rPr>
          <w:lang w:eastAsia="en-US"/>
        </w:rPr>
        <w:t xml:space="preserve"> monetary and non-monetary.  </w:t>
      </w:r>
    </w:p>
    <w:p w14:paraId="1F1E73F8" w14:textId="3494A416" w:rsidR="0037725A" w:rsidRPr="0022670C" w:rsidRDefault="0037725A" w:rsidP="00E97D57">
      <w:pPr>
        <w:rPr>
          <w:lang w:eastAsia="en-US"/>
        </w:rPr>
      </w:pPr>
      <w:r w:rsidRPr="0022670C">
        <w:rPr>
          <w:lang w:eastAsia="en-US"/>
        </w:rPr>
        <w:t xml:space="preserve">Monetary contributions are statutory in nature and represent funds to enable Council </w:t>
      </w:r>
      <w:r w:rsidR="000035AC" w:rsidRPr="0022670C">
        <w:rPr>
          <w:lang w:eastAsia="en-US"/>
        </w:rPr>
        <w:t xml:space="preserve">to provide the necessary infrastructure </w:t>
      </w:r>
      <w:r w:rsidR="00862683" w:rsidRPr="0022670C">
        <w:rPr>
          <w:lang w:eastAsia="en-US"/>
        </w:rPr>
        <w:t xml:space="preserve">to accommodate development growth.  They are for specific purposes and often require Council to outlay funds </w:t>
      </w:r>
      <w:r w:rsidR="00D35714" w:rsidRPr="0022670C">
        <w:rPr>
          <w:lang w:eastAsia="en-US"/>
        </w:rPr>
        <w:t xml:space="preserve">for infrastructure works sometimes before receipt of this income source.  </w:t>
      </w:r>
      <w:r w:rsidR="0063494F" w:rsidRPr="0022670C">
        <w:rPr>
          <w:lang w:eastAsia="en-US"/>
        </w:rPr>
        <w:t xml:space="preserve">These contributions are transferred to a restricted reserve until </w:t>
      </w:r>
      <w:r w:rsidR="00080EE3" w:rsidRPr="0022670C">
        <w:rPr>
          <w:lang w:eastAsia="en-US"/>
        </w:rPr>
        <w:t>used</w:t>
      </w:r>
      <w:r w:rsidR="00380D57" w:rsidRPr="0022670C">
        <w:rPr>
          <w:lang w:eastAsia="en-US"/>
        </w:rPr>
        <w:t xml:space="preserve"> for a specific purpose through the capital works program.</w:t>
      </w:r>
    </w:p>
    <w:p w14:paraId="05EFCB79" w14:textId="67728EC5" w:rsidR="00380D57" w:rsidRPr="0022670C" w:rsidRDefault="00380D57" w:rsidP="00E97D57">
      <w:pPr>
        <w:rPr>
          <w:lang w:eastAsia="en-US"/>
        </w:rPr>
      </w:pPr>
      <w:r w:rsidRPr="0022670C">
        <w:rPr>
          <w:lang w:eastAsia="en-US"/>
        </w:rPr>
        <w:t xml:space="preserve">Non-monetary contributions </w:t>
      </w:r>
      <w:r w:rsidR="00BA24C0" w:rsidRPr="0022670C">
        <w:rPr>
          <w:lang w:eastAsia="en-US"/>
        </w:rPr>
        <w:t xml:space="preserve">comprise in-kind contributions in the form of </w:t>
      </w:r>
      <w:r w:rsidR="000B75FC" w:rsidRPr="0022670C">
        <w:rPr>
          <w:lang w:eastAsia="en-US"/>
        </w:rPr>
        <w:t xml:space="preserve">infrastructure delivered to Council ownership once a development has been completed.  </w:t>
      </w:r>
    </w:p>
    <w:p w14:paraId="1D73FBFE" w14:textId="3AD18709" w:rsidR="0022670C" w:rsidRDefault="000B75FC" w:rsidP="0022670C">
      <w:pPr>
        <w:rPr>
          <w:lang w:eastAsia="en-US"/>
        </w:rPr>
      </w:pPr>
      <w:r w:rsidRPr="0022670C">
        <w:rPr>
          <w:lang w:eastAsia="en-US"/>
        </w:rPr>
        <w:t xml:space="preserve">The escalation factors for both these are </w:t>
      </w:r>
      <w:r w:rsidR="003F2324" w:rsidRPr="0022670C">
        <w:rPr>
          <w:lang w:eastAsia="en-US"/>
        </w:rPr>
        <w:t xml:space="preserve">based on estimates of developments in the pipeline to be delivered by developers.  </w:t>
      </w:r>
      <w:r w:rsidR="0022670C">
        <w:rPr>
          <w:lang w:eastAsia="en-US"/>
        </w:rPr>
        <w:br/>
      </w:r>
    </w:p>
    <w:p w14:paraId="04D6ADAD" w14:textId="2321C809" w:rsidR="0022670C" w:rsidRPr="0022670C" w:rsidRDefault="0022670C" w:rsidP="0022670C">
      <w:pPr>
        <w:rPr>
          <w:lang w:eastAsia="en-US"/>
        </w:rPr>
      </w:pPr>
      <w:r>
        <w:rPr>
          <w:lang w:eastAsia="en-US"/>
        </w:rPr>
        <w:br w:type="page"/>
      </w:r>
    </w:p>
    <w:p w14:paraId="1E9807DE" w14:textId="4D91BA8D" w:rsidR="009B3E13" w:rsidRPr="0022670C" w:rsidRDefault="008E7764" w:rsidP="008E7764">
      <w:pPr>
        <w:pStyle w:val="Heading4"/>
        <w:rPr>
          <w:color w:val="auto"/>
          <w:lang w:eastAsia="en-US"/>
        </w:rPr>
      </w:pPr>
      <w:r w:rsidRPr="0022670C">
        <w:rPr>
          <w:color w:val="auto"/>
          <w:lang w:eastAsia="en-US"/>
        </w:rPr>
        <w:lastRenderedPageBreak/>
        <w:t>Other income</w:t>
      </w:r>
    </w:p>
    <w:p w14:paraId="4AE9DC9C" w14:textId="4A665688" w:rsidR="0022670C" w:rsidRPr="0022670C" w:rsidRDefault="00483924" w:rsidP="0022670C">
      <w:pPr>
        <w:rPr>
          <w:lang w:eastAsia="en-US"/>
        </w:rPr>
      </w:pPr>
      <w:r w:rsidRPr="0022670C">
        <w:rPr>
          <w:lang w:eastAsia="en-US"/>
        </w:rPr>
        <w:t xml:space="preserve">Revenue from other income </w:t>
      </w:r>
      <w:r w:rsidR="00A31E62" w:rsidRPr="0022670C">
        <w:rPr>
          <w:lang w:eastAsia="en-US"/>
        </w:rPr>
        <w:t>comprises</w:t>
      </w:r>
      <w:r w:rsidR="0098278A" w:rsidRPr="0022670C">
        <w:rPr>
          <w:lang w:eastAsia="en-US"/>
        </w:rPr>
        <w:t xml:space="preserve"> investment income as well as a variety of other more minor sources such as rental income</w:t>
      </w:r>
      <w:r w:rsidR="0084313D" w:rsidRPr="0022670C">
        <w:rPr>
          <w:lang w:eastAsia="en-US"/>
        </w:rPr>
        <w:t xml:space="preserve">.  Given the relative inconsistencies associated with interest rates </w:t>
      </w:r>
      <w:r w:rsidR="00EC2AA7" w:rsidRPr="0022670C">
        <w:rPr>
          <w:lang w:eastAsia="en-US"/>
        </w:rPr>
        <w:t xml:space="preserve">and subsequent revenues, </w:t>
      </w:r>
      <w:r w:rsidR="006C100D" w:rsidRPr="0022670C">
        <w:rPr>
          <w:lang w:eastAsia="en-US"/>
        </w:rPr>
        <w:t>annual increases are forecast to be in line with the State Government rate cap.</w:t>
      </w:r>
      <w:r w:rsidR="0022670C">
        <w:rPr>
          <w:lang w:eastAsia="en-US"/>
        </w:rPr>
        <w:br/>
      </w:r>
    </w:p>
    <w:p w14:paraId="4460DC41" w14:textId="4436692C" w:rsidR="008E7764" w:rsidRPr="0022670C" w:rsidRDefault="006C100D" w:rsidP="008D0F3A">
      <w:pPr>
        <w:pStyle w:val="Heading4"/>
        <w:rPr>
          <w:color w:val="auto"/>
          <w:lang w:eastAsia="en-US"/>
        </w:rPr>
      </w:pPr>
      <w:r w:rsidRPr="0022670C">
        <w:rPr>
          <w:color w:val="auto"/>
          <w:lang w:eastAsia="en-US"/>
        </w:rPr>
        <w:t xml:space="preserve">Employee costs </w:t>
      </w:r>
    </w:p>
    <w:p w14:paraId="7A04C26C" w14:textId="51157E74" w:rsidR="00A45147" w:rsidRPr="0022670C" w:rsidRDefault="008D0F3A" w:rsidP="00A45147">
      <w:pPr>
        <w:rPr>
          <w:rFonts w:eastAsia="Arial"/>
          <w:lang w:eastAsia="en-US"/>
        </w:rPr>
      </w:pPr>
      <w:r w:rsidRPr="0022670C">
        <w:rPr>
          <w:rFonts w:eastAsia="Arial"/>
          <w:lang w:eastAsia="en-US"/>
        </w:rPr>
        <w:t xml:space="preserve">Council’s current Enterprise Agreement (EA) is for the three years ending </w:t>
      </w:r>
      <w:r w:rsidR="00803631" w:rsidRPr="0022670C">
        <w:rPr>
          <w:rFonts w:eastAsia="Arial"/>
          <w:lang w:eastAsia="en-US"/>
        </w:rPr>
        <w:t>30 June 2027</w:t>
      </w:r>
      <w:r w:rsidR="003D1D78" w:rsidRPr="0022670C">
        <w:rPr>
          <w:rFonts w:eastAsia="Arial"/>
          <w:lang w:eastAsia="en-US"/>
        </w:rPr>
        <w:t xml:space="preserve"> and provides for </w:t>
      </w:r>
      <w:r w:rsidR="00D97544" w:rsidRPr="0022670C">
        <w:rPr>
          <w:rFonts w:eastAsia="Arial"/>
          <w:lang w:eastAsia="en-US"/>
        </w:rPr>
        <w:t xml:space="preserve">employee remuneration increases for the life of the agreement.  This Plan has been developed based on the </w:t>
      </w:r>
      <w:r w:rsidR="002E0CBE" w:rsidRPr="0022670C">
        <w:rPr>
          <w:rFonts w:eastAsia="Arial"/>
          <w:lang w:eastAsia="en-US"/>
        </w:rPr>
        <w:t>increases provided in the EA, with an additional uplift to allow for banding increments</w:t>
      </w:r>
      <w:r w:rsidR="00E16086" w:rsidRPr="0022670C">
        <w:rPr>
          <w:rFonts w:eastAsia="Arial"/>
          <w:lang w:eastAsia="en-US"/>
        </w:rPr>
        <w:t xml:space="preserve"> and increases in Workcover premiums.</w:t>
      </w:r>
      <w:r w:rsidR="001111C7" w:rsidRPr="0022670C">
        <w:rPr>
          <w:rFonts w:eastAsia="Arial"/>
          <w:lang w:eastAsia="en-US"/>
        </w:rPr>
        <w:t xml:space="preserve">  </w:t>
      </w:r>
      <w:r w:rsidR="00AB2C60" w:rsidRPr="0022670C">
        <w:rPr>
          <w:rFonts w:eastAsia="Arial"/>
          <w:lang w:eastAsia="en-US"/>
        </w:rPr>
        <w:t xml:space="preserve">Efficiencies arising from digital transformation have been allowed for from year four. </w:t>
      </w:r>
    </w:p>
    <w:p w14:paraId="78369B7F" w14:textId="4602B4FC" w:rsidR="0022670C" w:rsidRPr="0022670C" w:rsidRDefault="00F60019" w:rsidP="0022670C">
      <w:pPr>
        <w:rPr>
          <w:rFonts w:eastAsia="Arial"/>
          <w:lang w:eastAsia="en-US"/>
        </w:rPr>
      </w:pPr>
      <w:r w:rsidRPr="0022670C">
        <w:rPr>
          <w:rFonts w:eastAsia="Arial"/>
          <w:lang w:eastAsia="en-US"/>
        </w:rPr>
        <w:t xml:space="preserve">Employee numbers are not projected to increase </w:t>
      </w:r>
      <w:r w:rsidR="00F45A7A" w:rsidRPr="0022670C">
        <w:rPr>
          <w:rFonts w:eastAsia="Arial"/>
          <w:lang w:eastAsia="en-US"/>
        </w:rPr>
        <w:t>over the life of the Plan.</w:t>
      </w:r>
      <w:r w:rsidR="0022670C">
        <w:rPr>
          <w:rFonts w:eastAsia="Arial"/>
          <w:lang w:eastAsia="en-US"/>
        </w:rPr>
        <w:br/>
      </w:r>
    </w:p>
    <w:p w14:paraId="0CA09406" w14:textId="0E97FB40" w:rsidR="00F45A7A" w:rsidRPr="0022670C" w:rsidRDefault="00F85877" w:rsidP="00F85877">
      <w:pPr>
        <w:pStyle w:val="Heading4"/>
        <w:rPr>
          <w:color w:val="auto"/>
          <w:lang w:eastAsia="en-US"/>
        </w:rPr>
      </w:pPr>
      <w:r w:rsidRPr="0022670C">
        <w:rPr>
          <w:color w:val="auto"/>
          <w:lang w:eastAsia="en-US"/>
        </w:rPr>
        <w:t>Contractors, consultants and materials</w:t>
      </w:r>
    </w:p>
    <w:p w14:paraId="2ECF9288" w14:textId="442ACC15" w:rsidR="00F85877" w:rsidRPr="0022670C" w:rsidRDefault="00F85877" w:rsidP="00F85877">
      <w:pPr>
        <w:rPr>
          <w:rFonts w:eastAsia="Arial"/>
          <w:lang w:eastAsia="en-US"/>
        </w:rPr>
      </w:pPr>
      <w:r w:rsidRPr="0022670C">
        <w:rPr>
          <w:rFonts w:eastAsia="Arial"/>
          <w:lang w:eastAsia="en-US"/>
        </w:rPr>
        <w:t>Contractors, consultants and material</w:t>
      </w:r>
      <w:r w:rsidR="009160A0" w:rsidRPr="0022670C">
        <w:rPr>
          <w:rFonts w:eastAsia="Arial"/>
          <w:lang w:eastAsia="en-US"/>
        </w:rPr>
        <w:t xml:space="preserve"> costs include requirements for maintenance and repairs for Council’s buildings, roads, drains and footpaths </w:t>
      </w:r>
      <w:r w:rsidR="00257C7C" w:rsidRPr="0022670C">
        <w:rPr>
          <w:rFonts w:eastAsia="Arial"/>
          <w:lang w:eastAsia="en-US"/>
        </w:rPr>
        <w:t xml:space="preserve">which are more influenced by market forces.  Other associated costs included in this category are external providers for a range of </w:t>
      </w:r>
      <w:r w:rsidR="00BB64C3" w:rsidRPr="0022670C">
        <w:rPr>
          <w:rFonts w:eastAsia="Arial"/>
          <w:lang w:eastAsia="en-US"/>
        </w:rPr>
        <w:t>services, including legal services and labour hire.</w:t>
      </w:r>
    </w:p>
    <w:p w14:paraId="0D0DCF72" w14:textId="44CFAD9E" w:rsidR="0022670C" w:rsidRPr="0022670C" w:rsidRDefault="00BB64C3" w:rsidP="0022670C">
      <w:pPr>
        <w:rPr>
          <w:rFonts w:eastAsia="Arial"/>
          <w:lang w:eastAsia="en-US"/>
        </w:rPr>
      </w:pPr>
      <w:r w:rsidRPr="0022670C">
        <w:rPr>
          <w:rFonts w:eastAsia="Arial"/>
          <w:lang w:eastAsia="en-US"/>
        </w:rPr>
        <w:t>For the life of the Financial Plan it is assumed</w:t>
      </w:r>
      <w:r w:rsidR="00B77550" w:rsidRPr="0022670C">
        <w:rPr>
          <w:rFonts w:eastAsia="Arial"/>
          <w:lang w:eastAsia="en-US"/>
        </w:rPr>
        <w:t xml:space="preserve"> these</w:t>
      </w:r>
      <w:r w:rsidR="00633DF3" w:rsidRPr="0022670C">
        <w:rPr>
          <w:rFonts w:eastAsia="Arial"/>
          <w:lang w:eastAsia="en-US"/>
        </w:rPr>
        <w:t xml:space="preserve"> costs will escalate </w:t>
      </w:r>
      <w:r w:rsidR="007957A0" w:rsidRPr="0022670C">
        <w:rPr>
          <w:rFonts w:eastAsia="Arial"/>
          <w:lang w:eastAsia="en-US"/>
        </w:rPr>
        <w:t>at a rate higher than CPI</w:t>
      </w:r>
      <w:r w:rsidR="00633DF3" w:rsidRPr="0022670C">
        <w:rPr>
          <w:rFonts w:eastAsia="Arial"/>
          <w:lang w:eastAsia="en-US"/>
        </w:rPr>
        <w:t xml:space="preserve">.  </w:t>
      </w:r>
      <w:r w:rsidR="0022670C">
        <w:rPr>
          <w:rFonts w:eastAsia="Arial"/>
          <w:lang w:eastAsia="en-US"/>
        </w:rPr>
        <w:br/>
      </w:r>
    </w:p>
    <w:p w14:paraId="74639E6D" w14:textId="2461E21F" w:rsidR="007957A0" w:rsidRPr="0022670C" w:rsidRDefault="00F53621" w:rsidP="00F53621">
      <w:pPr>
        <w:pStyle w:val="Heading4"/>
        <w:rPr>
          <w:color w:val="auto"/>
          <w:lang w:eastAsia="en-US"/>
        </w:rPr>
      </w:pPr>
      <w:r w:rsidRPr="0022670C">
        <w:rPr>
          <w:color w:val="auto"/>
          <w:lang w:eastAsia="en-US"/>
        </w:rPr>
        <w:t>Utilities</w:t>
      </w:r>
    </w:p>
    <w:p w14:paraId="7811F91F" w14:textId="15D5F201" w:rsidR="00F53621" w:rsidRPr="0022670C" w:rsidRDefault="00DB1EE9" w:rsidP="00F85877">
      <w:pPr>
        <w:rPr>
          <w:rFonts w:eastAsia="Arial"/>
          <w:lang w:eastAsia="en-US"/>
        </w:rPr>
      </w:pPr>
      <w:r w:rsidRPr="0022670C">
        <w:rPr>
          <w:rFonts w:eastAsia="Arial"/>
          <w:lang w:eastAsia="en-US"/>
        </w:rPr>
        <w:t xml:space="preserve">Utilities include electricity, water, gas and telecommunications expenses incurred to run our buildings and services.  </w:t>
      </w:r>
    </w:p>
    <w:p w14:paraId="43698ADA" w14:textId="4F695EA0" w:rsidR="0022670C" w:rsidRPr="0022670C" w:rsidRDefault="00CC013C" w:rsidP="0022670C">
      <w:pPr>
        <w:rPr>
          <w:rFonts w:eastAsia="Arial"/>
          <w:lang w:eastAsia="en-US"/>
        </w:rPr>
      </w:pPr>
      <w:r w:rsidRPr="0022670C">
        <w:rPr>
          <w:rFonts w:eastAsia="Arial"/>
          <w:lang w:eastAsia="en-US"/>
        </w:rPr>
        <w:t xml:space="preserve">It is common for utility costs to increase greater than CPI which is reflected in the annual increases of </w:t>
      </w:r>
      <w:r w:rsidR="0081245A" w:rsidRPr="0022670C">
        <w:rPr>
          <w:rFonts w:eastAsia="Arial"/>
          <w:lang w:eastAsia="en-US"/>
        </w:rPr>
        <w:t xml:space="preserve">5.50%.  This is due to </w:t>
      </w:r>
      <w:r w:rsidR="000D54EF" w:rsidRPr="0022670C">
        <w:rPr>
          <w:rFonts w:eastAsia="Arial"/>
          <w:lang w:eastAsia="en-US"/>
        </w:rPr>
        <w:t>both cost escalation and the increasing number of assets owned and operated by Council.</w:t>
      </w:r>
      <w:r w:rsidR="0022670C">
        <w:rPr>
          <w:rFonts w:eastAsia="Arial"/>
          <w:lang w:eastAsia="en-US"/>
        </w:rPr>
        <w:br/>
      </w:r>
    </w:p>
    <w:p w14:paraId="2C2C363D" w14:textId="3C283A88" w:rsidR="00F53621" w:rsidRPr="0022670C" w:rsidRDefault="00F53621" w:rsidP="00F53621">
      <w:pPr>
        <w:pStyle w:val="Heading4"/>
        <w:rPr>
          <w:color w:val="auto"/>
          <w:lang w:eastAsia="en-US"/>
        </w:rPr>
      </w:pPr>
      <w:r w:rsidRPr="0022670C">
        <w:rPr>
          <w:color w:val="auto"/>
          <w:lang w:eastAsia="en-US"/>
        </w:rPr>
        <w:t>Insurances</w:t>
      </w:r>
    </w:p>
    <w:p w14:paraId="1A469092" w14:textId="673A1ACA" w:rsidR="00F53621" w:rsidRPr="0022670C" w:rsidRDefault="003E7ED3" w:rsidP="00F85877">
      <w:pPr>
        <w:rPr>
          <w:rFonts w:eastAsia="Arial"/>
          <w:lang w:eastAsia="en-US"/>
        </w:rPr>
      </w:pPr>
      <w:r w:rsidRPr="0022670C">
        <w:rPr>
          <w:rFonts w:eastAsia="Arial"/>
          <w:lang w:eastAsia="en-US"/>
        </w:rPr>
        <w:t xml:space="preserve">Insurances do not necessarily increase by CPI.  </w:t>
      </w:r>
      <w:r w:rsidR="00D2667F" w:rsidRPr="0022670C">
        <w:rPr>
          <w:rFonts w:eastAsia="Arial"/>
          <w:lang w:eastAsia="en-US"/>
        </w:rPr>
        <w:t>There are many factors that can influence insurance premiums</w:t>
      </w:r>
      <w:r w:rsidR="00B73139" w:rsidRPr="0022670C">
        <w:rPr>
          <w:rFonts w:eastAsia="Arial"/>
          <w:lang w:eastAsia="en-US"/>
        </w:rPr>
        <w:t xml:space="preserve"> including but not limited to level of coverage, level of risk, </w:t>
      </w:r>
      <w:r w:rsidRPr="0022670C">
        <w:rPr>
          <w:rFonts w:eastAsia="Arial"/>
          <w:lang w:eastAsia="en-US"/>
        </w:rPr>
        <w:t xml:space="preserve">and </w:t>
      </w:r>
      <w:r w:rsidR="00B73139" w:rsidRPr="0022670C">
        <w:rPr>
          <w:rFonts w:eastAsia="Arial"/>
          <w:lang w:eastAsia="en-US"/>
        </w:rPr>
        <w:t>history of claims.</w:t>
      </w:r>
    </w:p>
    <w:p w14:paraId="0DACD812" w14:textId="36BA36BF" w:rsidR="0022670C" w:rsidRPr="0022670C" w:rsidRDefault="00155C0A" w:rsidP="0022670C">
      <w:pPr>
        <w:rPr>
          <w:rFonts w:eastAsia="Arial"/>
          <w:lang w:eastAsia="en-US"/>
        </w:rPr>
      </w:pPr>
      <w:r w:rsidRPr="0022670C">
        <w:rPr>
          <w:rFonts w:eastAsia="Arial"/>
          <w:lang w:eastAsia="en-US"/>
        </w:rPr>
        <w:t xml:space="preserve">There are increases in the escalation rate between the years 2025-26 to </w:t>
      </w:r>
      <w:r w:rsidR="00823C11" w:rsidRPr="0022670C">
        <w:rPr>
          <w:rFonts w:eastAsia="Arial"/>
          <w:lang w:eastAsia="en-US"/>
        </w:rPr>
        <w:t xml:space="preserve">2028-29 which are reflective of historical </w:t>
      </w:r>
      <w:r w:rsidR="00AB2C60" w:rsidRPr="0022670C">
        <w:rPr>
          <w:rFonts w:eastAsia="Arial"/>
          <w:lang w:eastAsia="en-US"/>
        </w:rPr>
        <w:t>increases and</w:t>
      </w:r>
      <w:r w:rsidR="00823C11" w:rsidRPr="0022670C">
        <w:rPr>
          <w:rFonts w:eastAsia="Arial"/>
          <w:lang w:eastAsia="en-US"/>
        </w:rPr>
        <w:t xml:space="preserve"> will then dissipate in the following years.</w:t>
      </w:r>
      <w:r w:rsidR="0022670C">
        <w:rPr>
          <w:rFonts w:eastAsia="Arial"/>
          <w:lang w:eastAsia="en-US"/>
        </w:rPr>
        <w:br/>
      </w:r>
    </w:p>
    <w:p w14:paraId="0BA767E6" w14:textId="406611A8" w:rsidR="00F53621" w:rsidRPr="0022670C" w:rsidRDefault="00F53621" w:rsidP="00F53621">
      <w:pPr>
        <w:pStyle w:val="Heading4"/>
        <w:rPr>
          <w:color w:val="auto"/>
          <w:lang w:eastAsia="en-US"/>
        </w:rPr>
      </w:pPr>
      <w:r w:rsidRPr="0022670C">
        <w:rPr>
          <w:color w:val="auto"/>
          <w:lang w:eastAsia="en-US"/>
        </w:rPr>
        <w:t>Depreciation and amortisation</w:t>
      </w:r>
    </w:p>
    <w:p w14:paraId="37A6B745" w14:textId="0F3E61F9" w:rsidR="00F53621" w:rsidRDefault="00B44D83" w:rsidP="00F85877">
      <w:pPr>
        <w:rPr>
          <w:rFonts w:eastAsia="Arial"/>
          <w:lang w:eastAsia="en-US"/>
        </w:rPr>
      </w:pPr>
      <w:r>
        <w:rPr>
          <w:rFonts w:eastAsia="Arial"/>
          <w:lang w:eastAsia="en-US"/>
        </w:rPr>
        <w:t xml:space="preserve">Escalation estimates </w:t>
      </w:r>
      <w:r w:rsidR="00AD16DB">
        <w:rPr>
          <w:rFonts w:eastAsia="Arial"/>
          <w:lang w:eastAsia="en-US"/>
        </w:rPr>
        <w:t xml:space="preserve">for depreciation and amortisation have been based on the projected impact of capital expenditure, disposals, non-monetary (in kind) contributions by developers and the anticipated asset life of assets for the Financial Plan period. </w:t>
      </w:r>
    </w:p>
    <w:p w14:paraId="5B3AB43E" w14:textId="77777777" w:rsidR="0022670C" w:rsidRDefault="0022670C" w:rsidP="00F85877">
      <w:pPr>
        <w:rPr>
          <w:rFonts w:eastAsia="Arial"/>
          <w:lang w:eastAsia="en-US"/>
        </w:rPr>
      </w:pPr>
    </w:p>
    <w:p w14:paraId="1C96D20E" w14:textId="12A2205A" w:rsidR="004D24B7" w:rsidRDefault="0022670C" w:rsidP="0022670C">
      <w:pPr>
        <w:pStyle w:val="Heading2"/>
        <w:spacing w:after="120"/>
      </w:pPr>
      <w:bookmarkStart w:id="39" w:name="_Toc210205636"/>
      <w:bookmarkStart w:id="40" w:name="_Toc211874590"/>
      <w:r>
        <w:lastRenderedPageBreak/>
        <w:t xml:space="preserve">5.3 </w:t>
      </w:r>
      <w:r w:rsidR="00CF73BB">
        <w:t>Other matters influencing the Financial Plan</w:t>
      </w:r>
      <w:bookmarkEnd w:id="39"/>
      <w:bookmarkEnd w:id="40"/>
    </w:p>
    <w:p w14:paraId="79E69AD4" w14:textId="18E551CF" w:rsidR="00CF73BB" w:rsidRPr="0022670C" w:rsidRDefault="00285A33" w:rsidP="007D2EED">
      <w:pPr>
        <w:pStyle w:val="Heading4"/>
        <w:rPr>
          <w:color w:val="auto"/>
          <w:lang w:eastAsia="en-US"/>
        </w:rPr>
      </w:pPr>
      <w:r w:rsidRPr="0022670C">
        <w:rPr>
          <w:color w:val="auto"/>
          <w:lang w:eastAsia="en-US"/>
        </w:rPr>
        <w:t xml:space="preserve">Impact of new developments </w:t>
      </w:r>
      <w:r w:rsidR="00837E43" w:rsidRPr="0022670C">
        <w:rPr>
          <w:color w:val="auto"/>
          <w:lang w:eastAsia="en-US"/>
        </w:rPr>
        <w:t xml:space="preserve">on </w:t>
      </w:r>
      <w:r w:rsidRPr="0022670C">
        <w:rPr>
          <w:color w:val="auto"/>
          <w:lang w:eastAsia="en-US"/>
        </w:rPr>
        <w:t>Council finances</w:t>
      </w:r>
    </w:p>
    <w:p w14:paraId="467FD5C3" w14:textId="74709FF8" w:rsidR="00285A33" w:rsidRPr="0022670C" w:rsidRDefault="00285A33" w:rsidP="00285A33">
      <w:pPr>
        <w:rPr>
          <w:rFonts w:eastAsia="Arial"/>
          <w:lang w:eastAsia="en-US"/>
        </w:rPr>
      </w:pPr>
      <w:r w:rsidRPr="0022670C">
        <w:rPr>
          <w:rFonts w:eastAsia="Arial"/>
          <w:lang w:eastAsia="en-US"/>
        </w:rPr>
        <w:t xml:space="preserve">Cardinia Shire Council is one </w:t>
      </w:r>
      <w:r w:rsidR="00D65997" w:rsidRPr="0022670C">
        <w:rPr>
          <w:rFonts w:eastAsia="Arial"/>
          <w:lang w:eastAsia="en-US"/>
        </w:rPr>
        <w:t xml:space="preserve">of the fastest growing municipalities in Victoria with average population growth set to increase </w:t>
      </w:r>
      <w:r w:rsidR="00087431" w:rsidRPr="0022670C">
        <w:rPr>
          <w:rFonts w:eastAsia="Arial"/>
          <w:lang w:eastAsia="en-US"/>
        </w:rPr>
        <w:t xml:space="preserve">over </w:t>
      </w:r>
      <w:r w:rsidR="00D65997" w:rsidRPr="0022670C">
        <w:rPr>
          <w:rFonts w:eastAsia="Arial"/>
          <w:lang w:eastAsia="en-US"/>
        </w:rPr>
        <w:t xml:space="preserve">the period </w:t>
      </w:r>
      <w:r w:rsidR="0041341C" w:rsidRPr="0022670C">
        <w:rPr>
          <w:rFonts w:eastAsia="Arial"/>
          <w:lang w:eastAsia="en-US"/>
        </w:rPr>
        <w:t xml:space="preserve">of </w:t>
      </w:r>
      <w:r w:rsidR="00D65997" w:rsidRPr="0022670C">
        <w:rPr>
          <w:rFonts w:eastAsia="Arial"/>
          <w:lang w:eastAsia="en-US"/>
        </w:rPr>
        <w:t>the Plan</w:t>
      </w:r>
      <w:r w:rsidR="000B41DD" w:rsidRPr="0022670C">
        <w:rPr>
          <w:rFonts w:eastAsia="Arial"/>
          <w:lang w:eastAsia="en-US"/>
        </w:rPr>
        <w:t xml:space="preserve">, as outlined above. </w:t>
      </w:r>
    </w:p>
    <w:p w14:paraId="38B3951D" w14:textId="17AD9AAA" w:rsidR="000B41DD" w:rsidRPr="0022670C" w:rsidRDefault="000B41DD" w:rsidP="00285A33">
      <w:pPr>
        <w:rPr>
          <w:rFonts w:eastAsia="Arial"/>
          <w:lang w:eastAsia="en-US"/>
        </w:rPr>
      </w:pPr>
      <w:r w:rsidRPr="0022670C">
        <w:rPr>
          <w:rFonts w:eastAsia="Arial"/>
          <w:lang w:eastAsia="en-US"/>
        </w:rPr>
        <w:t>With much of the growth stemming from new development of land</w:t>
      </w:r>
      <w:r w:rsidR="00DD35E3" w:rsidRPr="0022670C">
        <w:rPr>
          <w:rFonts w:eastAsia="Arial"/>
          <w:lang w:eastAsia="en-US"/>
        </w:rPr>
        <w:t xml:space="preserve">, Council will need to provide </w:t>
      </w:r>
      <w:r w:rsidR="00620E72" w:rsidRPr="0022670C">
        <w:rPr>
          <w:rFonts w:eastAsia="Arial"/>
          <w:lang w:eastAsia="en-US"/>
        </w:rPr>
        <w:t xml:space="preserve">new facilities and increase services to meet the needs of the changing and growing community.  </w:t>
      </w:r>
    </w:p>
    <w:p w14:paraId="2509357C" w14:textId="6039B202" w:rsidR="00816A1C" w:rsidRPr="0022670C" w:rsidRDefault="00816A1C" w:rsidP="00285A33">
      <w:pPr>
        <w:rPr>
          <w:rFonts w:eastAsia="Arial"/>
          <w:lang w:eastAsia="en-US"/>
        </w:rPr>
      </w:pPr>
      <w:r w:rsidRPr="0022670C">
        <w:rPr>
          <w:rFonts w:eastAsia="Arial"/>
          <w:lang w:eastAsia="en-US"/>
        </w:rPr>
        <w:t xml:space="preserve">New development of land requires new infrastructure </w:t>
      </w:r>
      <w:r w:rsidR="00206834" w:rsidRPr="0022670C">
        <w:rPr>
          <w:rFonts w:eastAsia="Arial"/>
          <w:lang w:eastAsia="en-US"/>
        </w:rPr>
        <w:t xml:space="preserve">including </w:t>
      </w:r>
      <w:r w:rsidRPr="0022670C">
        <w:rPr>
          <w:rFonts w:eastAsia="Arial"/>
          <w:lang w:eastAsia="en-US"/>
        </w:rPr>
        <w:t xml:space="preserve">roads, footpaths, drainage and community facilities to meet the future needs of the community.  </w:t>
      </w:r>
      <w:r w:rsidR="007121A3" w:rsidRPr="0022670C">
        <w:rPr>
          <w:rFonts w:eastAsia="Arial"/>
          <w:lang w:eastAsia="en-US"/>
        </w:rPr>
        <w:t>New developments represent a challenge to Council’s Financial Plan because as a growing Council</w:t>
      </w:r>
      <w:r w:rsidR="00315D77" w:rsidRPr="0022670C">
        <w:rPr>
          <w:rFonts w:eastAsia="Arial"/>
          <w:lang w:eastAsia="en-US"/>
        </w:rPr>
        <w:t>, while developer contributions are received in the form of both monetary and non-monetary contributions</w:t>
      </w:r>
      <w:r w:rsidR="00FC2E16" w:rsidRPr="0022670C">
        <w:rPr>
          <w:rFonts w:eastAsia="Arial"/>
          <w:lang w:eastAsia="en-US"/>
        </w:rPr>
        <w:t xml:space="preserve">, Council has </w:t>
      </w:r>
      <w:r w:rsidR="00A31E62" w:rsidRPr="0022670C">
        <w:rPr>
          <w:rFonts w:eastAsia="Arial"/>
          <w:lang w:eastAsia="en-US"/>
        </w:rPr>
        <w:t>had</w:t>
      </w:r>
      <w:r w:rsidR="00FC2E16" w:rsidRPr="0022670C">
        <w:rPr>
          <w:rFonts w:eastAsia="Arial"/>
          <w:lang w:eastAsia="en-US"/>
        </w:rPr>
        <w:t xml:space="preserve"> to fund shortfalls </w:t>
      </w:r>
      <w:r w:rsidR="00577130" w:rsidRPr="0022670C">
        <w:rPr>
          <w:rFonts w:eastAsia="Arial"/>
          <w:lang w:eastAsia="en-US"/>
        </w:rPr>
        <w:t>regarding</w:t>
      </w:r>
      <w:r w:rsidR="00FC2E16" w:rsidRPr="0022670C">
        <w:rPr>
          <w:rFonts w:eastAsia="Arial"/>
          <w:lang w:eastAsia="en-US"/>
        </w:rPr>
        <w:t xml:space="preserve"> community infrastructure in new suburb developments.  </w:t>
      </w:r>
      <w:r w:rsidR="009A6826" w:rsidRPr="0022670C">
        <w:rPr>
          <w:rFonts w:eastAsia="Arial"/>
          <w:lang w:eastAsia="en-US"/>
        </w:rPr>
        <w:t>Furthermore, Council is obligated to service and maintain them.</w:t>
      </w:r>
    </w:p>
    <w:p w14:paraId="1CB4B7F4" w14:textId="4DF038FE" w:rsidR="009A6826" w:rsidRPr="0022670C" w:rsidRDefault="009A6826" w:rsidP="0022670C">
      <w:pPr>
        <w:rPr>
          <w:rFonts w:eastAsia="Arial"/>
          <w:lang w:eastAsia="en-US"/>
        </w:rPr>
      </w:pPr>
      <w:r w:rsidRPr="0022670C">
        <w:rPr>
          <w:rFonts w:eastAsia="Arial"/>
          <w:lang w:eastAsia="en-US"/>
        </w:rPr>
        <w:t xml:space="preserve">Council </w:t>
      </w:r>
      <w:r w:rsidR="003E1358" w:rsidRPr="0022670C">
        <w:rPr>
          <w:rFonts w:eastAsia="Arial"/>
          <w:lang w:eastAsia="en-US"/>
        </w:rPr>
        <w:t>expect</w:t>
      </w:r>
      <w:r w:rsidR="00896283" w:rsidRPr="0022670C">
        <w:rPr>
          <w:rFonts w:eastAsia="Arial"/>
          <w:lang w:eastAsia="en-US"/>
        </w:rPr>
        <w:t>s</w:t>
      </w:r>
      <w:r w:rsidR="003E1358" w:rsidRPr="0022670C">
        <w:rPr>
          <w:rFonts w:eastAsia="Arial"/>
          <w:lang w:eastAsia="en-US"/>
        </w:rPr>
        <w:t xml:space="preserve"> to </w:t>
      </w:r>
      <w:r w:rsidRPr="0022670C">
        <w:rPr>
          <w:rFonts w:eastAsia="Arial"/>
          <w:lang w:eastAsia="en-US"/>
        </w:rPr>
        <w:t xml:space="preserve">build or receive </w:t>
      </w:r>
      <w:r w:rsidR="007B2495" w:rsidRPr="0022670C">
        <w:rPr>
          <w:rFonts w:eastAsia="Arial"/>
          <w:lang w:eastAsia="en-US"/>
        </w:rPr>
        <w:t xml:space="preserve">more than </w:t>
      </w:r>
      <w:r w:rsidR="003901BF" w:rsidRPr="0022670C">
        <w:rPr>
          <w:rFonts w:eastAsia="Arial"/>
          <w:lang w:eastAsia="en-US"/>
        </w:rPr>
        <w:t>$</w:t>
      </w:r>
      <w:r w:rsidR="00246F0E" w:rsidRPr="0022670C">
        <w:rPr>
          <w:rFonts w:eastAsia="Arial"/>
          <w:lang w:eastAsia="en-US"/>
        </w:rPr>
        <w:t>100</w:t>
      </w:r>
      <w:r w:rsidR="003901BF" w:rsidRPr="0022670C">
        <w:rPr>
          <w:rFonts w:eastAsia="Arial"/>
          <w:lang w:eastAsia="en-US"/>
        </w:rPr>
        <w:t xml:space="preserve"> million in assets annually.  As these new assets age, Council will be responsible for maintaining and renewing </w:t>
      </w:r>
      <w:r w:rsidR="00E07456" w:rsidRPr="0022670C">
        <w:rPr>
          <w:rFonts w:eastAsia="Arial"/>
          <w:lang w:eastAsia="en-US"/>
        </w:rPr>
        <w:t xml:space="preserve">them.  </w:t>
      </w:r>
      <w:r w:rsidR="00311E04" w:rsidRPr="0022670C">
        <w:rPr>
          <w:rFonts w:eastAsia="Arial"/>
          <w:lang w:eastAsia="en-US"/>
        </w:rPr>
        <w:t xml:space="preserve">While this is not seen as an issue in the short or medium term </w:t>
      </w:r>
      <w:r w:rsidR="00B64EDA" w:rsidRPr="0022670C">
        <w:rPr>
          <w:rFonts w:eastAsia="Arial"/>
          <w:lang w:eastAsia="en-US"/>
        </w:rPr>
        <w:t xml:space="preserve">when </w:t>
      </w:r>
      <w:r w:rsidR="00311E04" w:rsidRPr="0022670C">
        <w:rPr>
          <w:rFonts w:eastAsia="Arial"/>
          <w:lang w:eastAsia="en-US"/>
        </w:rPr>
        <w:t xml:space="preserve">the infrastructure is </w:t>
      </w:r>
      <w:r w:rsidR="00A31E62" w:rsidRPr="0022670C">
        <w:rPr>
          <w:rFonts w:eastAsia="Arial"/>
          <w:lang w:eastAsia="en-US"/>
        </w:rPr>
        <w:t>new</w:t>
      </w:r>
      <w:r w:rsidR="002F018D" w:rsidRPr="0022670C">
        <w:rPr>
          <w:rFonts w:eastAsia="Arial"/>
          <w:lang w:eastAsia="en-US"/>
        </w:rPr>
        <w:t>, as the infrastructure ages</w:t>
      </w:r>
      <w:r w:rsidR="00896283" w:rsidRPr="0022670C">
        <w:rPr>
          <w:rFonts w:eastAsia="Arial"/>
          <w:lang w:eastAsia="en-US"/>
        </w:rPr>
        <w:t>,</w:t>
      </w:r>
      <w:r w:rsidR="002F018D" w:rsidRPr="0022670C">
        <w:rPr>
          <w:rFonts w:eastAsia="Arial"/>
          <w:lang w:eastAsia="en-US"/>
        </w:rPr>
        <w:t xml:space="preserve"> a larger portion of Council’s budget will be required to fund the </w:t>
      </w:r>
      <w:proofErr w:type="gramStart"/>
      <w:r w:rsidR="00B67EEC" w:rsidRPr="0022670C">
        <w:rPr>
          <w:rFonts w:eastAsia="Arial"/>
          <w:lang w:eastAsia="en-US"/>
        </w:rPr>
        <w:t>maintenance</w:t>
      </w:r>
      <w:proofErr w:type="gramEnd"/>
      <w:r w:rsidR="00B67EEC" w:rsidRPr="0022670C">
        <w:rPr>
          <w:rFonts w:eastAsia="Arial"/>
          <w:lang w:eastAsia="en-US"/>
        </w:rPr>
        <w:t xml:space="preserve"> and </w:t>
      </w:r>
      <w:r w:rsidR="002F018D" w:rsidRPr="0022670C">
        <w:rPr>
          <w:rFonts w:eastAsia="Arial"/>
          <w:lang w:eastAsia="en-US"/>
        </w:rPr>
        <w:t>renewal works</w:t>
      </w:r>
      <w:r w:rsidR="00C93360" w:rsidRPr="0022670C">
        <w:rPr>
          <w:rFonts w:eastAsia="Arial"/>
          <w:lang w:eastAsia="en-US"/>
        </w:rPr>
        <w:t xml:space="preserve"> for these assets</w:t>
      </w:r>
      <w:r w:rsidR="002F018D" w:rsidRPr="0022670C">
        <w:rPr>
          <w:rFonts w:eastAsia="Arial"/>
          <w:lang w:eastAsia="en-US"/>
        </w:rPr>
        <w:t>.</w:t>
      </w:r>
      <w:r w:rsidR="0022670C">
        <w:rPr>
          <w:rFonts w:eastAsia="Arial"/>
          <w:lang w:eastAsia="en-US"/>
        </w:rPr>
        <w:br/>
      </w:r>
    </w:p>
    <w:p w14:paraId="1AA1B24B" w14:textId="77EF2FCB" w:rsidR="002F018D" w:rsidRPr="0022670C" w:rsidRDefault="002F018D" w:rsidP="002F018D">
      <w:pPr>
        <w:pStyle w:val="Heading4"/>
        <w:rPr>
          <w:color w:val="auto"/>
          <w:lang w:eastAsia="en-US"/>
        </w:rPr>
      </w:pPr>
      <w:r w:rsidRPr="0022670C">
        <w:rPr>
          <w:color w:val="auto"/>
          <w:lang w:eastAsia="en-US"/>
        </w:rPr>
        <w:t>Challenges of rate capping on Council finances</w:t>
      </w:r>
    </w:p>
    <w:p w14:paraId="3B60F895" w14:textId="6BE8CD9A" w:rsidR="002F018D" w:rsidRPr="0022670C" w:rsidRDefault="00944337" w:rsidP="002F018D">
      <w:pPr>
        <w:rPr>
          <w:rFonts w:eastAsia="Arial"/>
          <w:lang w:eastAsia="en-US"/>
        </w:rPr>
      </w:pPr>
      <w:r w:rsidRPr="0022670C">
        <w:rPr>
          <w:rFonts w:eastAsia="Arial"/>
          <w:lang w:eastAsia="en-US"/>
        </w:rPr>
        <w:t>The Victorian Government introduced rate capping in 2016</w:t>
      </w:r>
      <w:r w:rsidR="005977A7" w:rsidRPr="0022670C">
        <w:rPr>
          <w:rFonts w:eastAsia="Arial"/>
          <w:lang w:eastAsia="en-US"/>
        </w:rPr>
        <w:t xml:space="preserve">, which restricts the amount that </w:t>
      </w:r>
      <w:r w:rsidR="003C2D1D" w:rsidRPr="0022670C">
        <w:rPr>
          <w:rFonts w:eastAsia="Arial"/>
          <w:lang w:eastAsia="en-US"/>
        </w:rPr>
        <w:t>c</w:t>
      </w:r>
      <w:r w:rsidR="005977A7" w:rsidRPr="0022670C">
        <w:rPr>
          <w:rFonts w:eastAsia="Arial"/>
          <w:lang w:eastAsia="en-US"/>
        </w:rPr>
        <w:t>ouncil</w:t>
      </w:r>
      <w:r w:rsidR="003C2D1D" w:rsidRPr="0022670C">
        <w:rPr>
          <w:rFonts w:eastAsia="Arial"/>
          <w:lang w:eastAsia="en-US"/>
        </w:rPr>
        <w:t>s</w:t>
      </w:r>
      <w:r w:rsidR="005977A7" w:rsidRPr="0022670C">
        <w:rPr>
          <w:rFonts w:eastAsia="Arial"/>
          <w:lang w:eastAsia="en-US"/>
        </w:rPr>
        <w:t xml:space="preserve"> can raise their general rates revenue each year.  The rate cap is set each year and has ranged between 1.50% to 3.50% </w:t>
      </w:r>
      <w:r w:rsidR="00483FA0" w:rsidRPr="0022670C">
        <w:rPr>
          <w:rFonts w:eastAsia="Arial"/>
          <w:lang w:eastAsia="en-US"/>
        </w:rPr>
        <w:t xml:space="preserve">since </w:t>
      </w:r>
      <w:r w:rsidR="003C2D1D" w:rsidRPr="0022670C">
        <w:rPr>
          <w:rFonts w:eastAsia="Arial"/>
          <w:lang w:eastAsia="en-US"/>
        </w:rPr>
        <w:t>it was established</w:t>
      </w:r>
      <w:r w:rsidR="00483FA0" w:rsidRPr="0022670C">
        <w:rPr>
          <w:rFonts w:eastAsia="Arial"/>
          <w:lang w:eastAsia="en-US"/>
        </w:rPr>
        <w:t>.</w:t>
      </w:r>
    </w:p>
    <w:p w14:paraId="4C2CEEC6" w14:textId="5EE5D7F0" w:rsidR="00DC2153" w:rsidRPr="0022670C" w:rsidRDefault="00DC2153" w:rsidP="002F018D">
      <w:pPr>
        <w:rPr>
          <w:rFonts w:eastAsia="Arial"/>
          <w:lang w:eastAsia="en-US"/>
        </w:rPr>
      </w:pPr>
      <w:r w:rsidRPr="0022670C">
        <w:rPr>
          <w:rFonts w:eastAsia="Arial"/>
          <w:lang w:eastAsia="en-US"/>
        </w:rPr>
        <w:t xml:space="preserve">Council </w:t>
      </w:r>
      <w:r w:rsidR="00050E8D" w:rsidRPr="0022670C">
        <w:rPr>
          <w:rFonts w:eastAsia="Arial"/>
          <w:lang w:eastAsia="en-US"/>
        </w:rPr>
        <w:t xml:space="preserve">services </w:t>
      </w:r>
      <w:r w:rsidRPr="0022670C">
        <w:rPr>
          <w:rFonts w:eastAsia="Arial"/>
          <w:lang w:eastAsia="en-US"/>
        </w:rPr>
        <w:t xml:space="preserve">are </w:t>
      </w:r>
      <w:r w:rsidR="00A31E62" w:rsidRPr="0022670C">
        <w:rPr>
          <w:rFonts w:eastAsia="Arial"/>
          <w:lang w:eastAsia="en-US"/>
        </w:rPr>
        <w:t>delivered</w:t>
      </w:r>
      <w:r w:rsidRPr="0022670C">
        <w:rPr>
          <w:rFonts w:eastAsia="Arial"/>
          <w:lang w:eastAsia="en-US"/>
        </w:rPr>
        <w:t xml:space="preserve"> by both Council employees and service contractors.  Employee and labour costs have increased at a rate higher than </w:t>
      </w:r>
      <w:r w:rsidR="00137052" w:rsidRPr="0022670C">
        <w:rPr>
          <w:rFonts w:eastAsia="Arial"/>
          <w:lang w:eastAsia="en-US"/>
        </w:rPr>
        <w:t xml:space="preserve">the published Consumer Price Index (CPI).  Additionally, the growth in population numbers across the </w:t>
      </w:r>
      <w:r w:rsidR="00742F64" w:rsidRPr="0022670C">
        <w:rPr>
          <w:rFonts w:eastAsia="Arial"/>
          <w:lang w:eastAsia="en-US"/>
        </w:rPr>
        <w:t xml:space="preserve">community and increasing demand for services means that additional human resources as well as materials and services will be required </w:t>
      </w:r>
      <w:r w:rsidR="000F6E69" w:rsidRPr="0022670C">
        <w:rPr>
          <w:rFonts w:eastAsia="Arial"/>
          <w:lang w:eastAsia="en-US"/>
        </w:rPr>
        <w:t>to meet these demands.</w:t>
      </w:r>
    </w:p>
    <w:p w14:paraId="536DF8C1" w14:textId="47C66877" w:rsidR="009E2BBE" w:rsidRPr="0022670C" w:rsidRDefault="005A6438" w:rsidP="002F018D">
      <w:pPr>
        <w:rPr>
          <w:rFonts w:eastAsia="Arial"/>
          <w:lang w:eastAsia="en-US"/>
        </w:rPr>
      </w:pPr>
      <w:r w:rsidRPr="0022670C">
        <w:rPr>
          <w:rFonts w:eastAsia="Arial"/>
          <w:lang w:eastAsia="en-US"/>
        </w:rPr>
        <w:t xml:space="preserve">Rate capping </w:t>
      </w:r>
      <w:r w:rsidR="00997207" w:rsidRPr="0022670C">
        <w:rPr>
          <w:rFonts w:eastAsia="Arial"/>
          <w:lang w:eastAsia="en-US"/>
        </w:rPr>
        <w:t xml:space="preserve">reinforces that Council must be financially prudent in anticipating the </w:t>
      </w:r>
      <w:r w:rsidR="007D3813" w:rsidRPr="0022670C">
        <w:rPr>
          <w:rFonts w:eastAsia="Arial"/>
          <w:lang w:eastAsia="en-US"/>
        </w:rPr>
        <w:t>long-term</w:t>
      </w:r>
      <w:r w:rsidR="00997207" w:rsidRPr="0022670C">
        <w:rPr>
          <w:rFonts w:eastAsia="Arial"/>
          <w:lang w:eastAsia="en-US"/>
        </w:rPr>
        <w:t xml:space="preserve"> future service and infrastructure needs of the community.  </w:t>
      </w:r>
      <w:r w:rsidR="007673D5" w:rsidRPr="0022670C">
        <w:rPr>
          <w:rFonts w:eastAsia="Arial"/>
          <w:lang w:eastAsia="en-US"/>
        </w:rPr>
        <w:t>The inability of Council to increase rates in an equal proportion</w:t>
      </w:r>
      <w:r w:rsidR="00B25709" w:rsidRPr="0022670C">
        <w:rPr>
          <w:rFonts w:eastAsia="Arial"/>
          <w:lang w:eastAsia="en-US"/>
        </w:rPr>
        <w:t xml:space="preserve"> to the </w:t>
      </w:r>
      <w:r w:rsidR="00E86F15" w:rsidRPr="0022670C">
        <w:rPr>
          <w:rFonts w:eastAsia="Arial"/>
          <w:lang w:eastAsia="en-US"/>
        </w:rPr>
        <w:t xml:space="preserve">cost </w:t>
      </w:r>
      <w:r w:rsidR="00B25709" w:rsidRPr="0022670C">
        <w:rPr>
          <w:rFonts w:eastAsia="Arial"/>
          <w:lang w:eastAsia="en-US"/>
        </w:rPr>
        <w:t xml:space="preserve">of delivering its programs and services leads to </w:t>
      </w:r>
      <w:r w:rsidR="009F15A5" w:rsidRPr="0022670C">
        <w:rPr>
          <w:rFonts w:eastAsia="Arial"/>
          <w:lang w:eastAsia="en-US"/>
        </w:rPr>
        <w:t xml:space="preserve">a budget shortfall, which can compound </w:t>
      </w:r>
      <w:r w:rsidR="007D3813" w:rsidRPr="0022670C">
        <w:rPr>
          <w:rFonts w:eastAsia="Arial"/>
          <w:lang w:eastAsia="en-US"/>
        </w:rPr>
        <w:t>over several</w:t>
      </w:r>
      <w:r w:rsidR="009F15A5" w:rsidRPr="0022670C">
        <w:rPr>
          <w:rFonts w:eastAsia="Arial"/>
          <w:lang w:eastAsia="en-US"/>
        </w:rPr>
        <w:t xml:space="preserve"> years </w:t>
      </w:r>
      <w:r w:rsidR="008A3827" w:rsidRPr="0022670C">
        <w:rPr>
          <w:rFonts w:eastAsia="Arial"/>
          <w:lang w:eastAsia="en-US"/>
        </w:rPr>
        <w:t xml:space="preserve">and pose a potential risk to Council’s ability to deliver programs and services </w:t>
      </w:r>
      <w:r w:rsidR="009E2BBE" w:rsidRPr="0022670C">
        <w:rPr>
          <w:rFonts w:eastAsia="Arial"/>
          <w:lang w:eastAsia="en-US"/>
        </w:rPr>
        <w:t xml:space="preserve">that the community requires and expects. </w:t>
      </w:r>
    </w:p>
    <w:p w14:paraId="3BAA3265" w14:textId="77777777" w:rsidR="00C06F09" w:rsidRPr="00C06F09" w:rsidRDefault="00C06F09" w:rsidP="00C06F09">
      <w:pPr>
        <w:rPr>
          <w:rFonts w:eastAsia="Arial"/>
          <w:lang w:eastAsia="en-US"/>
        </w:rPr>
      </w:pPr>
    </w:p>
    <w:p w14:paraId="33BFCB20" w14:textId="77777777" w:rsidR="00CF33CC" w:rsidRDefault="00CF33CC">
      <w:pPr>
        <w:rPr>
          <w:rFonts w:ascii="Franklin Gothic Demi" w:eastAsiaTheme="majorEastAsia" w:hAnsi="Franklin Gothic Demi" w:cstheme="majorBidi"/>
          <w:sz w:val="28"/>
          <w:szCs w:val="26"/>
          <w:lang w:eastAsia="en-US"/>
        </w:rPr>
      </w:pPr>
      <w:r>
        <w:br w:type="page"/>
      </w:r>
    </w:p>
    <w:p w14:paraId="1B7510AA" w14:textId="64D3F229" w:rsidR="009E4573" w:rsidRDefault="009E4573" w:rsidP="0022670C">
      <w:pPr>
        <w:pStyle w:val="Heading1"/>
        <w:numPr>
          <w:ilvl w:val="0"/>
          <w:numId w:val="28"/>
        </w:numPr>
      </w:pPr>
      <w:bookmarkStart w:id="41" w:name="_Toc210205637"/>
      <w:bookmarkStart w:id="42" w:name="_Toc211874591"/>
      <w:r w:rsidRPr="009E4573">
        <w:lastRenderedPageBreak/>
        <w:t>Financial Plan Statements</w:t>
      </w:r>
      <w:bookmarkEnd w:id="41"/>
      <w:bookmarkEnd w:id="42"/>
    </w:p>
    <w:p w14:paraId="12B4266C" w14:textId="12CBB516" w:rsidR="009E4573" w:rsidRPr="009E4573" w:rsidRDefault="00565E43" w:rsidP="00C32D98">
      <w:r>
        <w:t xml:space="preserve">This section presents information </w:t>
      </w:r>
      <w:r w:rsidR="00F821A1">
        <w:t>regarding</w:t>
      </w:r>
      <w:r>
        <w:t xml:space="preserve"> the Financial Statements for the 10 years from 2025-26 to 2034-35.  </w:t>
      </w:r>
    </w:p>
    <w:p w14:paraId="50A906A6" w14:textId="17B72059" w:rsidR="00D02C34" w:rsidRDefault="00697336">
      <w:r>
        <w:t>The following statements for the 10 years are</w:t>
      </w:r>
      <w:r w:rsidR="00296D56">
        <w:t>:</w:t>
      </w:r>
    </w:p>
    <w:p w14:paraId="2EAEC462" w14:textId="08856677" w:rsidR="00AA4E72" w:rsidRDefault="0022670C" w:rsidP="00C311FA">
      <w:pPr>
        <w:ind w:left="714"/>
      </w:pPr>
      <w:r>
        <w:t xml:space="preserve">6.1 </w:t>
      </w:r>
      <w:r w:rsidR="00D57276">
        <w:t>Comprehensive Income Statement</w:t>
      </w:r>
    </w:p>
    <w:p w14:paraId="43D1BD5B" w14:textId="42528842" w:rsidR="00D57276" w:rsidRDefault="0022670C" w:rsidP="00C311FA">
      <w:pPr>
        <w:ind w:left="714"/>
      </w:pPr>
      <w:r>
        <w:t xml:space="preserve">6.2 </w:t>
      </w:r>
      <w:r w:rsidR="002D5B80">
        <w:t>Balance Sheet</w:t>
      </w:r>
    </w:p>
    <w:p w14:paraId="37B68181" w14:textId="497879AB" w:rsidR="002D5B80" w:rsidRDefault="002D5B80" w:rsidP="00C311FA">
      <w:pPr>
        <w:ind w:left="714"/>
      </w:pPr>
      <w:r>
        <w:fldChar w:fldCharType="begin"/>
      </w:r>
      <w:r>
        <w:instrText xml:space="preserve"> REF _Ref205284744 \r \h </w:instrText>
      </w:r>
      <w:r>
        <w:fldChar w:fldCharType="separate"/>
      </w:r>
      <w:r w:rsidR="0022670C">
        <w:t>6</w:t>
      </w:r>
      <w:r w:rsidR="00C37F61">
        <w:t>.3</w:t>
      </w:r>
      <w:r>
        <w:fldChar w:fldCharType="end"/>
      </w:r>
      <w:r w:rsidR="005B1626">
        <w:t xml:space="preserve"> </w:t>
      </w:r>
      <w:r>
        <w:t>Statement of Changes in Equity</w:t>
      </w:r>
    </w:p>
    <w:p w14:paraId="0946944E" w14:textId="165861AE" w:rsidR="002D5B80" w:rsidRDefault="005B1626" w:rsidP="00C311FA">
      <w:pPr>
        <w:ind w:left="714"/>
      </w:pPr>
      <w:r>
        <w:fldChar w:fldCharType="begin"/>
      </w:r>
      <w:r>
        <w:instrText xml:space="preserve"> REF _Ref205284760 \r \h </w:instrText>
      </w:r>
      <w:r>
        <w:fldChar w:fldCharType="separate"/>
      </w:r>
      <w:r w:rsidR="0022670C">
        <w:t>6</w:t>
      </w:r>
      <w:r w:rsidR="00C37F61">
        <w:t>.4</w:t>
      </w:r>
      <w:r>
        <w:fldChar w:fldCharType="end"/>
      </w:r>
      <w:r>
        <w:t xml:space="preserve"> </w:t>
      </w:r>
      <w:r w:rsidR="002D5B80">
        <w:t>Statement of Cash Flows</w:t>
      </w:r>
    </w:p>
    <w:p w14:paraId="69680929" w14:textId="64C1BBAD" w:rsidR="002D5B80" w:rsidRDefault="005B1626" w:rsidP="00C311FA">
      <w:pPr>
        <w:ind w:left="714"/>
      </w:pPr>
      <w:r>
        <w:fldChar w:fldCharType="begin"/>
      </w:r>
      <w:r>
        <w:instrText xml:space="preserve"> REF _Ref205284770 \r \h </w:instrText>
      </w:r>
      <w:r>
        <w:fldChar w:fldCharType="separate"/>
      </w:r>
      <w:r w:rsidR="0022670C">
        <w:t>6</w:t>
      </w:r>
      <w:r w:rsidR="00C37F61">
        <w:t>.5</w:t>
      </w:r>
      <w:r>
        <w:fldChar w:fldCharType="end"/>
      </w:r>
      <w:r>
        <w:t xml:space="preserve"> </w:t>
      </w:r>
      <w:r w:rsidR="002D5B80">
        <w:t>Statement of Capital Works</w:t>
      </w:r>
    </w:p>
    <w:p w14:paraId="235B384E" w14:textId="63362250" w:rsidR="002D5B80" w:rsidRDefault="00296D56" w:rsidP="00C311FA">
      <w:pPr>
        <w:ind w:left="714"/>
      </w:pPr>
      <w:r>
        <w:fldChar w:fldCharType="begin"/>
      </w:r>
      <w:r>
        <w:instrText xml:space="preserve"> REF _Ref205284782 \r \h </w:instrText>
      </w:r>
      <w:r>
        <w:fldChar w:fldCharType="separate"/>
      </w:r>
      <w:r w:rsidR="0022670C">
        <w:t>6</w:t>
      </w:r>
      <w:r w:rsidR="00C37F61">
        <w:t>.6</w:t>
      </w:r>
      <w:r>
        <w:fldChar w:fldCharType="end"/>
      </w:r>
      <w:r>
        <w:t xml:space="preserve"> </w:t>
      </w:r>
      <w:r w:rsidR="002D5B80">
        <w:t>Statement of Human Resources</w:t>
      </w:r>
    </w:p>
    <w:p w14:paraId="5C6B5FAD" w14:textId="23DFFC36" w:rsidR="00D02C34" w:rsidRDefault="00D02C34" w:rsidP="00AA4E72">
      <w:r>
        <w:br w:type="page"/>
      </w:r>
    </w:p>
    <w:p w14:paraId="1E425B5F" w14:textId="77777777" w:rsidR="00D02C34" w:rsidRDefault="00D02C34">
      <w:pPr>
        <w:sectPr w:rsidR="00D02C34" w:rsidSect="00563DE5">
          <w:pgSz w:w="11906" w:h="16838" w:code="9"/>
          <w:pgMar w:top="2268" w:right="992" w:bottom="1440" w:left="1559" w:header="709" w:footer="782" w:gutter="0"/>
          <w:cols w:space="708"/>
          <w:docGrid w:linePitch="360"/>
        </w:sectPr>
      </w:pPr>
    </w:p>
    <w:p w14:paraId="62343245" w14:textId="77777777" w:rsidR="00C93244" w:rsidRDefault="00C93244"/>
    <w:p w14:paraId="6A405D84" w14:textId="602EC196" w:rsidR="0027020E" w:rsidRDefault="0022670C" w:rsidP="0022670C">
      <w:pPr>
        <w:pStyle w:val="Heading2"/>
      </w:pPr>
      <w:bookmarkStart w:id="43" w:name="_Ref205284666"/>
      <w:bookmarkStart w:id="44" w:name="_Toc210205638"/>
      <w:bookmarkStart w:id="45" w:name="_Toc211874592"/>
      <w:r>
        <w:t xml:space="preserve">6.1 </w:t>
      </w:r>
      <w:r w:rsidR="0027020E">
        <w:t>Comprehensive Income Statement</w:t>
      </w:r>
      <w:bookmarkEnd w:id="43"/>
      <w:bookmarkEnd w:id="44"/>
      <w:bookmarkEnd w:id="45"/>
    </w:p>
    <w:p w14:paraId="4520A993" w14:textId="77777777" w:rsidR="0022670C" w:rsidRPr="0022670C" w:rsidRDefault="0022670C" w:rsidP="0022670C">
      <w:pPr>
        <w:spacing w:before="0" w:after="0"/>
        <w:rPr>
          <w:lang w:eastAsia="en-US"/>
        </w:rPr>
      </w:pPr>
    </w:p>
    <w:tbl>
      <w:tblPr>
        <w:tblW w:w="0" w:type="auto"/>
        <w:tblLook w:val="04A0" w:firstRow="1" w:lastRow="0" w:firstColumn="1" w:lastColumn="0" w:noHBand="0" w:noVBand="1"/>
      </w:tblPr>
      <w:tblGrid>
        <w:gridCol w:w="4334"/>
        <w:gridCol w:w="795"/>
        <w:gridCol w:w="795"/>
        <w:gridCol w:w="795"/>
        <w:gridCol w:w="795"/>
        <w:gridCol w:w="795"/>
        <w:gridCol w:w="795"/>
        <w:gridCol w:w="795"/>
        <w:gridCol w:w="795"/>
        <w:gridCol w:w="812"/>
        <w:gridCol w:w="812"/>
        <w:gridCol w:w="812"/>
      </w:tblGrid>
      <w:tr w:rsidR="00F552AD" w:rsidRPr="00F552AD" w14:paraId="15B45AAE" w14:textId="77777777" w:rsidTr="00F552AD">
        <w:trPr>
          <w:trHeight w:val="225"/>
          <w:tblHeader/>
        </w:trPr>
        <w:tc>
          <w:tcPr>
            <w:tcW w:w="0" w:type="auto"/>
            <w:tcBorders>
              <w:top w:val="nil"/>
              <w:left w:val="nil"/>
              <w:bottom w:val="nil"/>
              <w:right w:val="nil"/>
            </w:tcBorders>
            <w:shd w:val="clear" w:color="000000" w:fill="002060"/>
            <w:vAlign w:val="center"/>
            <w:hideMark/>
          </w:tcPr>
          <w:p w14:paraId="7BD6E0E3"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7D7E4F9C"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 </w:t>
            </w:r>
          </w:p>
        </w:tc>
        <w:tc>
          <w:tcPr>
            <w:tcW w:w="0" w:type="auto"/>
            <w:gridSpan w:val="10"/>
            <w:vMerge w:val="restart"/>
            <w:tcBorders>
              <w:top w:val="nil"/>
              <w:left w:val="nil"/>
              <w:bottom w:val="nil"/>
              <w:right w:val="nil"/>
            </w:tcBorders>
            <w:shd w:val="clear" w:color="000000" w:fill="002060"/>
            <w:vAlign w:val="center"/>
            <w:hideMark/>
          </w:tcPr>
          <w:p w14:paraId="71C10A48"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Projections</w:t>
            </w:r>
          </w:p>
        </w:tc>
      </w:tr>
      <w:tr w:rsidR="00F552AD" w:rsidRPr="00F552AD" w14:paraId="30BF8EEE" w14:textId="77777777" w:rsidTr="00F552AD">
        <w:trPr>
          <w:trHeight w:val="260"/>
          <w:tblHeader/>
        </w:trPr>
        <w:tc>
          <w:tcPr>
            <w:tcW w:w="0" w:type="auto"/>
            <w:tcBorders>
              <w:top w:val="nil"/>
              <w:left w:val="nil"/>
              <w:bottom w:val="nil"/>
              <w:right w:val="nil"/>
            </w:tcBorders>
            <w:shd w:val="clear" w:color="000000" w:fill="002060"/>
            <w:vAlign w:val="center"/>
            <w:hideMark/>
          </w:tcPr>
          <w:p w14:paraId="430775B1"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103ACEC9"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Actual</w:t>
            </w:r>
          </w:p>
        </w:tc>
        <w:tc>
          <w:tcPr>
            <w:tcW w:w="0" w:type="auto"/>
            <w:gridSpan w:val="10"/>
            <w:vMerge/>
            <w:tcBorders>
              <w:top w:val="nil"/>
              <w:left w:val="nil"/>
              <w:bottom w:val="nil"/>
              <w:right w:val="nil"/>
            </w:tcBorders>
            <w:vAlign w:val="center"/>
            <w:hideMark/>
          </w:tcPr>
          <w:p w14:paraId="3B1BB36F" w14:textId="77777777" w:rsidR="00F552AD" w:rsidRPr="00F552AD" w:rsidRDefault="00F552AD" w:rsidP="00F552AD">
            <w:pPr>
              <w:spacing w:before="0" w:after="0"/>
              <w:rPr>
                <w:rFonts w:ascii="Arial" w:hAnsi="Arial" w:cs="Arial"/>
                <w:b/>
                <w:bCs/>
                <w:color w:val="FFFFFF"/>
                <w:sz w:val="16"/>
                <w:szCs w:val="16"/>
              </w:rPr>
            </w:pPr>
          </w:p>
        </w:tc>
      </w:tr>
      <w:tr w:rsidR="00F552AD" w:rsidRPr="00F552AD" w14:paraId="298A97AA" w14:textId="77777777" w:rsidTr="00F552AD">
        <w:trPr>
          <w:trHeight w:val="260"/>
          <w:tblHeader/>
        </w:trPr>
        <w:tc>
          <w:tcPr>
            <w:tcW w:w="0" w:type="auto"/>
            <w:tcBorders>
              <w:top w:val="nil"/>
              <w:left w:val="nil"/>
              <w:bottom w:val="nil"/>
              <w:right w:val="nil"/>
            </w:tcBorders>
            <w:shd w:val="clear" w:color="000000" w:fill="002060"/>
            <w:vAlign w:val="center"/>
            <w:hideMark/>
          </w:tcPr>
          <w:p w14:paraId="3FDAFFA0"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4F8D7BAF"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2024/25</w:t>
            </w:r>
          </w:p>
        </w:tc>
        <w:tc>
          <w:tcPr>
            <w:tcW w:w="0" w:type="auto"/>
            <w:tcBorders>
              <w:top w:val="nil"/>
              <w:left w:val="nil"/>
              <w:bottom w:val="nil"/>
              <w:right w:val="nil"/>
            </w:tcBorders>
            <w:shd w:val="clear" w:color="000000" w:fill="002060"/>
            <w:vAlign w:val="center"/>
            <w:hideMark/>
          </w:tcPr>
          <w:p w14:paraId="01CECB42"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2025/26</w:t>
            </w:r>
          </w:p>
        </w:tc>
        <w:tc>
          <w:tcPr>
            <w:tcW w:w="0" w:type="auto"/>
            <w:tcBorders>
              <w:top w:val="nil"/>
              <w:left w:val="nil"/>
              <w:bottom w:val="nil"/>
              <w:right w:val="nil"/>
            </w:tcBorders>
            <w:shd w:val="clear" w:color="000000" w:fill="002060"/>
            <w:vAlign w:val="center"/>
            <w:hideMark/>
          </w:tcPr>
          <w:p w14:paraId="75585EEB"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2026/27</w:t>
            </w:r>
          </w:p>
        </w:tc>
        <w:tc>
          <w:tcPr>
            <w:tcW w:w="0" w:type="auto"/>
            <w:tcBorders>
              <w:top w:val="nil"/>
              <w:left w:val="nil"/>
              <w:bottom w:val="nil"/>
              <w:right w:val="nil"/>
            </w:tcBorders>
            <w:shd w:val="clear" w:color="000000" w:fill="002060"/>
            <w:vAlign w:val="center"/>
            <w:hideMark/>
          </w:tcPr>
          <w:p w14:paraId="5A3E4333"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2027/28</w:t>
            </w:r>
          </w:p>
        </w:tc>
        <w:tc>
          <w:tcPr>
            <w:tcW w:w="0" w:type="auto"/>
            <w:tcBorders>
              <w:top w:val="nil"/>
              <w:left w:val="nil"/>
              <w:bottom w:val="nil"/>
              <w:right w:val="nil"/>
            </w:tcBorders>
            <w:shd w:val="clear" w:color="000000" w:fill="002060"/>
            <w:vAlign w:val="center"/>
            <w:hideMark/>
          </w:tcPr>
          <w:p w14:paraId="21A4E69A"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2028/29</w:t>
            </w:r>
          </w:p>
        </w:tc>
        <w:tc>
          <w:tcPr>
            <w:tcW w:w="0" w:type="auto"/>
            <w:tcBorders>
              <w:top w:val="nil"/>
              <w:left w:val="nil"/>
              <w:bottom w:val="nil"/>
              <w:right w:val="nil"/>
            </w:tcBorders>
            <w:shd w:val="clear" w:color="000000" w:fill="002060"/>
            <w:vAlign w:val="center"/>
            <w:hideMark/>
          </w:tcPr>
          <w:p w14:paraId="4E2F6B13"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2029/30</w:t>
            </w:r>
          </w:p>
        </w:tc>
        <w:tc>
          <w:tcPr>
            <w:tcW w:w="0" w:type="auto"/>
            <w:tcBorders>
              <w:top w:val="nil"/>
              <w:left w:val="nil"/>
              <w:bottom w:val="nil"/>
              <w:right w:val="nil"/>
            </w:tcBorders>
            <w:shd w:val="clear" w:color="000000" w:fill="002060"/>
            <w:vAlign w:val="center"/>
            <w:hideMark/>
          </w:tcPr>
          <w:p w14:paraId="0C2B9C89"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2030/31</w:t>
            </w:r>
          </w:p>
        </w:tc>
        <w:tc>
          <w:tcPr>
            <w:tcW w:w="0" w:type="auto"/>
            <w:tcBorders>
              <w:top w:val="nil"/>
              <w:left w:val="nil"/>
              <w:bottom w:val="nil"/>
              <w:right w:val="nil"/>
            </w:tcBorders>
            <w:shd w:val="clear" w:color="000000" w:fill="002060"/>
            <w:vAlign w:val="center"/>
            <w:hideMark/>
          </w:tcPr>
          <w:p w14:paraId="0020E514"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2031/32</w:t>
            </w:r>
          </w:p>
        </w:tc>
        <w:tc>
          <w:tcPr>
            <w:tcW w:w="0" w:type="auto"/>
            <w:tcBorders>
              <w:top w:val="nil"/>
              <w:left w:val="nil"/>
              <w:bottom w:val="nil"/>
              <w:right w:val="nil"/>
            </w:tcBorders>
            <w:shd w:val="clear" w:color="000000" w:fill="002060"/>
            <w:vAlign w:val="center"/>
            <w:hideMark/>
          </w:tcPr>
          <w:p w14:paraId="0900D150"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2032/33</w:t>
            </w:r>
          </w:p>
        </w:tc>
        <w:tc>
          <w:tcPr>
            <w:tcW w:w="0" w:type="auto"/>
            <w:tcBorders>
              <w:top w:val="nil"/>
              <w:left w:val="nil"/>
              <w:bottom w:val="nil"/>
              <w:right w:val="nil"/>
            </w:tcBorders>
            <w:shd w:val="clear" w:color="000000" w:fill="002060"/>
            <w:vAlign w:val="center"/>
            <w:hideMark/>
          </w:tcPr>
          <w:p w14:paraId="7F6AA182"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2033/34</w:t>
            </w:r>
          </w:p>
        </w:tc>
        <w:tc>
          <w:tcPr>
            <w:tcW w:w="0" w:type="auto"/>
            <w:tcBorders>
              <w:top w:val="nil"/>
              <w:left w:val="nil"/>
              <w:bottom w:val="nil"/>
              <w:right w:val="nil"/>
            </w:tcBorders>
            <w:shd w:val="clear" w:color="000000" w:fill="002060"/>
            <w:vAlign w:val="center"/>
            <w:hideMark/>
          </w:tcPr>
          <w:p w14:paraId="38C2F054"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2034/35</w:t>
            </w:r>
          </w:p>
        </w:tc>
      </w:tr>
      <w:tr w:rsidR="00F552AD" w:rsidRPr="00F552AD" w14:paraId="65E51EF6" w14:textId="77777777" w:rsidTr="00F552AD">
        <w:trPr>
          <w:trHeight w:val="260"/>
          <w:tblHeader/>
        </w:trPr>
        <w:tc>
          <w:tcPr>
            <w:tcW w:w="0" w:type="auto"/>
            <w:tcBorders>
              <w:top w:val="nil"/>
              <w:left w:val="nil"/>
              <w:bottom w:val="nil"/>
              <w:right w:val="nil"/>
            </w:tcBorders>
            <w:shd w:val="clear" w:color="000000" w:fill="002060"/>
            <w:vAlign w:val="center"/>
            <w:hideMark/>
          </w:tcPr>
          <w:p w14:paraId="44E923BB"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3F0CA802"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63961DDB"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11043F31"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6AF8EC1A"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6A868F37"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47310EDE"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401424FA"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5FDB6BDA"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7FC56CA6"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53E61011"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3C034E71" w14:textId="77777777" w:rsidR="00F552AD" w:rsidRPr="00F552AD" w:rsidRDefault="00F552AD" w:rsidP="00F552AD">
            <w:pPr>
              <w:spacing w:before="0" w:after="0"/>
              <w:jc w:val="center"/>
              <w:rPr>
                <w:rFonts w:ascii="Arial" w:hAnsi="Arial" w:cs="Arial"/>
                <w:b/>
                <w:bCs/>
                <w:color w:val="FFFFFF"/>
                <w:sz w:val="16"/>
                <w:szCs w:val="16"/>
              </w:rPr>
            </w:pPr>
            <w:r w:rsidRPr="00F552AD">
              <w:rPr>
                <w:rFonts w:ascii="Arial" w:hAnsi="Arial" w:cs="Arial"/>
                <w:b/>
                <w:bCs/>
                <w:color w:val="FFFFFF"/>
                <w:sz w:val="16"/>
                <w:szCs w:val="16"/>
              </w:rPr>
              <w:t>$’000</w:t>
            </w:r>
          </w:p>
        </w:tc>
      </w:tr>
      <w:tr w:rsidR="00F552AD" w:rsidRPr="00F552AD" w14:paraId="1B7A1330" w14:textId="77777777" w:rsidTr="00347DFC">
        <w:trPr>
          <w:trHeight w:val="260"/>
        </w:trPr>
        <w:tc>
          <w:tcPr>
            <w:tcW w:w="0" w:type="auto"/>
            <w:tcBorders>
              <w:top w:val="nil"/>
              <w:left w:val="nil"/>
              <w:bottom w:val="nil"/>
              <w:right w:val="nil"/>
            </w:tcBorders>
            <w:hideMark/>
          </w:tcPr>
          <w:p w14:paraId="21E1C25F"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Income / Revenue</w:t>
            </w:r>
          </w:p>
        </w:tc>
        <w:tc>
          <w:tcPr>
            <w:tcW w:w="0" w:type="auto"/>
            <w:tcBorders>
              <w:top w:val="nil"/>
              <w:left w:val="nil"/>
              <w:bottom w:val="nil"/>
              <w:right w:val="nil"/>
            </w:tcBorders>
            <w:vAlign w:val="center"/>
            <w:hideMark/>
          </w:tcPr>
          <w:p w14:paraId="6CEA8BC7"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7D01464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34F11A49"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208A20F0"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6E1E566D"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1CE67921"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50C19F42"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2F0790A0"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5044284F"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61CB44E6"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4E1F2277"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r>
      <w:tr w:rsidR="00F552AD" w:rsidRPr="00F552AD" w14:paraId="5B57DD68" w14:textId="77777777" w:rsidTr="00347DFC">
        <w:trPr>
          <w:trHeight w:val="260"/>
        </w:trPr>
        <w:tc>
          <w:tcPr>
            <w:tcW w:w="0" w:type="auto"/>
            <w:tcBorders>
              <w:top w:val="nil"/>
              <w:left w:val="nil"/>
              <w:bottom w:val="nil"/>
              <w:right w:val="nil"/>
            </w:tcBorders>
            <w:hideMark/>
          </w:tcPr>
          <w:p w14:paraId="353ED7C1"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Rates and charges</w:t>
            </w:r>
          </w:p>
        </w:tc>
        <w:tc>
          <w:tcPr>
            <w:tcW w:w="0" w:type="auto"/>
            <w:tcBorders>
              <w:top w:val="nil"/>
              <w:left w:val="nil"/>
              <w:bottom w:val="nil"/>
              <w:right w:val="nil"/>
            </w:tcBorders>
            <w:vAlign w:val="center"/>
            <w:hideMark/>
          </w:tcPr>
          <w:p w14:paraId="46E7CD3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124,195</w:t>
            </w:r>
          </w:p>
        </w:tc>
        <w:tc>
          <w:tcPr>
            <w:tcW w:w="0" w:type="auto"/>
            <w:tcBorders>
              <w:top w:val="nil"/>
              <w:left w:val="nil"/>
              <w:bottom w:val="nil"/>
              <w:right w:val="nil"/>
            </w:tcBorders>
            <w:vAlign w:val="center"/>
            <w:hideMark/>
          </w:tcPr>
          <w:p w14:paraId="45B9C45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132,826</w:t>
            </w:r>
          </w:p>
        </w:tc>
        <w:tc>
          <w:tcPr>
            <w:tcW w:w="0" w:type="auto"/>
            <w:tcBorders>
              <w:top w:val="nil"/>
              <w:left w:val="nil"/>
              <w:bottom w:val="nil"/>
              <w:right w:val="nil"/>
            </w:tcBorders>
            <w:vAlign w:val="center"/>
            <w:hideMark/>
          </w:tcPr>
          <w:p w14:paraId="02AD873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139,548</w:t>
            </w:r>
          </w:p>
        </w:tc>
        <w:tc>
          <w:tcPr>
            <w:tcW w:w="0" w:type="auto"/>
            <w:tcBorders>
              <w:top w:val="nil"/>
              <w:left w:val="nil"/>
              <w:bottom w:val="nil"/>
              <w:right w:val="nil"/>
            </w:tcBorders>
            <w:vAlign w:val="center"/>
            <w:hideMark/>
          </w:tcPr>
          <w:p w14:paraId="5628DB0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146,668</w:t>
            </w:r>
          </w:p>
        </w:tc>
        <w:tc>
          <w:tcPr>
            <w:tcW w:w="0" w:type="auto"/>
            <w:tcBorders>
              <w:top w:val="nil"/>
              <w:left w:val="nil"/>
              <w:bottom w:val="nil"/>
              <w:right w:val="nil"/>
            </w:tcBorders>
            <w:vAlign w:val="center"/>
            <w:hideMark/>
          </w:tcPr>
          <w:p w14:paraId="7867DFD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154,218</w:t>
            </w:r>
          </w:p>
        </w:tc>
        <w:tc>
          <w:tcPr>
            <w:tcW w:w="0" w:type="auto"/>
            <w:tcBorders>
              <w:top w:val="nil"/>
              <w:left w:val="nil"/>
              <w:bottom w:val="nil"/>
              <w:right w:val="nil"/>
            </w:tcBorders>
            <w:vAlign w:val="center"/>
            <w:hideMark/>
          </w:tcPr>
          <w:p w14:paraId="4403C18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160,537</w:t>
            </w:r>
          </w:p>
        </w:tc>
        <w:tc>
          <w:tcPr>
            <w:tcW w:w="0" w:type="auto"/>
            <w:tcBorders>
              <w:top w:val="nil"/>
              <w:left w:val="nil"/>
              <w:bottom w:val="nil"/>
              <w:right w:val="nil"/>
            </w:tcBorders>
            <w:vAlign w:val="center"/>
            <w:hideMark/>
          </w:tcPr>
          <w:p w14:paraId="5F234FE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167,088</w:t>
            </w:r>
          </w:p>
        </w:tc>
        <w:tc>
          <w:tcPr>
            <w:tcW w:w="0" w:type="auto"/>
            <w:tcBorders>
              <w:top w:val="nil"/>
              <w:left w:val="nil"/>
              <w:bottom w:val="nil"/>
              <w:right w:val="nil"/>
            </w:tcBorders>
            <w:vAlign w:val="center"/>
            <w:hideMark/>
          </w:tcPr>
          <w:p w14:paraId="68BD02D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173,874</w:t>
            </w:r>
          </w:p>
        </w:tc>
        <w:tc>
          <w:tcPr>
            <w:tcW w:w="0" w:type="auto"/>
            <w:tcBorders>
              <w:top w:val="nil"/>
              <w:left w:val="nil"/>
              <w:bottom w:val="nil"/>
              <w:right w:val="nil"/>
            </w:tcBorders>
            <w:vAlign w:val="center"/>
            <w:hideMark/>
          </w:tcPr>
          <w:p w14:paraId="36220B1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180,898</w:t>
            </w:r>
          </w:p>
        </w:tc>
        <w:tc>
          <w:tcPr>
            <w:tcW w:w="0" w:type="auto"/>
            <w:tcBorders>
              <w:top w:val="nil"/>
              <w:left w:val="nil"/>
              <w:bottom w:val="nil"/>
              <w:right w:val="nil"/>
            </w:tcBorders>
            <w:vAlign w:val="center"/>
            <w:hideMark/>
          </w:tcPr>
          <w:p w14:paraId="530FE17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188,160</w:t>
            </w:r>
          </w:p>
        </w:tc>
        <w:tc>
          <w:tcPr>
            <w:tcW w:w="0" w:type="auto"/>
            <w:tcBorders>
              <w:top w:val="nil"/>
              <w:left w:val="nil"/>
              <w:bottom w:val="nil"/>
              <w:right w:val="nil"/>
            </w:tcBorders>
            <w:vAlign w:val="center"/>
            <w:hideMark/>
          </w:tcPr>
          <w:p w14:paraId="2349A55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195,664</w:t>
            </w:r>
          </w:p>
        </w:tc>
      </w:tr>
      <w:tr w:rsidR="00F552AD" w:rsidRPr="00F552AD" w14:paraId="6F7726FF" w14:textId="77777777" w:rsidTr="00347DFC">
        <w:trPr>
          <w:trHeight w:val="260"/>
        </w:trPr>
        <w:tc>
          <w:tcPr>
            <w:tcW w:w="0" w:type="auto"/>
            <w:tcBorders>
              <w:top w:val="nil"/>
              <w:left w:val="nil"/>
              <w:bottom w:val="nil"/>
              <w:right w:val="nil"/>
            </w:tcBorders>
            <w:hideMark/>
          </w:tcPr>
          <w:p w14:paraId="54D5B579"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Statutory fees and fines</w:t>
            </w:r>
          </w:p>
        </w:tc>
        <w:tc>
          <w:tcPr>
            <w:tcW w:w="0" w:type="auto"/>
            <w:tcBorders>
              <w:top w:val="nil"/>
              <w:left w:val="nil"/>
              <w:bottom w:val="nil"/>
              <w:right w:val="nil"/>
            </w:tcBorders>
            <w:vAlign w:val="center"/>
            <w:hideMark/>
          </w:tcPr>
          <w:p w14:paraId="259FC2D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7,953</w:t>
            </w:r>
          </w:p>
        </w:tc>
        <w:tc>
          <w:tcPr>
            <w:tcW w:w="0" w:type="auto"/>
            <w:tcBorders>
              <w:top w:val="nil"/>
              <w:left w:val="nil"/>
              <w:bottom w:val="nil"/>
              <w:right w:val="nil"/>
            </w:tcBorders>
            <w:vAlign w:val="center"/>
            <w:hideMark/>
          </w:tcPr>
          <w:p w14:paraId="7D03854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7,587</w:t>
            </w:r>
          </w:p>
        </w:tc>
        <w:tc>
          <w:tcPr>
            <w:tcW w:w="0" w:type="auto"/>
            <w:tcBorders>
              <w:top w:val="nil"/>
              <w:left w:val="nil"/>
              <w:bottom w:val="nil"/>
              <w:right w:val="nil"/>
            </w:tcBorders>
            <w:vAlign w:val="center"/>
            <w:hideMark/>
          </w:tcPr>
          <w:p w14:paraId="0B1DE63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7,777</w:t>
            </w:r>
          </w:p>
        </w:tc>
        <w:tc>
          <w:tcPr>
            <w:tcW w:w="0" w:type="auto"/>
            <w:tcBorders>
              <w:top w:val="nil"/>
              <w:left w:val="nil"/>
              <w:bottom w:val="nil"/>
              <w:right w:val="nil"/>
            </w:tcBorders>
            <w:vAlign w:val="center"/>
            <w:hideMark/>
          </w:tcPr>
          <w:p w14:paraId="1514AC2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7,971</w:t>
            </w:r>
          </w:p>
        </w:tc>
        <w:tc>
          <w:tcPr>
            <w:tcW w:w="0" w:type="auto"/>
            <w:tcBorders>
              <w:top w:val="nil"/>
              <w:left w:val="nil"/>
              <w:bottom w:val="nil"/>
              <w:right w:val="nil"/>
            </w:tcBorders>
            <w:vAlign w:val="center"/>
            <w:hideMark/>
          </w:tcPr>
          <w:p w14:paraId="551D69E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8,170</w:t>
            </w:r>
          </w:p>
        </w:tc>
        <w:tc>
          <w:tcPr>
            <w:tcW w:w="0" w:type="auto"/>
            <w:tcBorders>
              <w:top w:val="nil"/>
              <w:left w:val="nil"/>
              <w:bottom w:val="nil"/>
              <w:right w:val="nil"/>
            </w:tcBorders>
            <w:vAlign w:val="center"/>
            <w:hideMark/>
          </w:tcPr>
          <w:p w14:paraId="64738D1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8,375</w:t>
            </w:r>
          </w:p>
        </w:tc>
        <w:tc>
          <w:tcPr>
            <w:tcW w:w="0" w:type="auto"/>
            <w:tcBorders>
              <w:top w:val="nil"/>
              <w:left w:val="nil"/>
              <w:bottom w:val="nil"/>
              <w:right w:val="nil"/>
            </w:tcBorders>
            <w:vAlign w:val="center"/>
            <w:hideMark/>
          </w:tcPr>
          <w:p w14:paraId="3FF7A51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8,584</w:t>
            </w:r>
          </w:p>
        </w:tc>
        <w:tc>
          <w:tcPr>
            <w:tcW w:w="0" w:type="auto"/>
            <w:tcBorders>
              <w:top w:val="nil"/>
              <w:left w:val="nil"/>
              <w:bottom w:val="nil"/>
              <w:right w:val="nil"/>
            </w:tcBorders>
            <w:vAlign w:val="center"/>
            <w:hideMark/>
          </w:tcPr>
          <w:p w14:paraId="1A8503A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8,799</w:t>
            </w:r>
          </w:p>
        </w:tc>
        <w:tc>
          <w:tcPr>
            <w:tcW w:w="0" w:type="auto"/>
            <w:tcBorders>
              <w:top w:val="nil"/>
              <w:left w:val="nil"/>
              <w:bottom w:val="nil"/>
              <w:right w:val="nil"/>
            </w:tcBorders>
            <w:vAlign w:val="center"/>
            <w:hideMark/>
          </w:tcPr>
          <w:p w14:paraId="7BE9DC2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9,019</w:t>
            </w:r>
          </w:p>
        </w:tc>
        <w:tc>
          <w:tcPr>
            <w:tcW w:w="0" w:type="auto"/>
            <w:tcBorders>
              <w:top w:val="nil"/>
              <w:left w:val="nil"/>
              <w:bottom w:val="nil"/>
              <w:right w:val="nil"/>
            </w:tcBorders>
            <w:vAlign w:val="center"/>
            <w:hideMark/>
          </w:tcPr>
          <w:p w14:paraId="55AFD71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9,244</w:t>
            </w:r>
          </w:p>
        </w:tc>
        <w:tc>
          <w:tcPr>
            <w:tcW w:w="0" w:type="auto"/>
            <w:tcBorders>
              <w:top w:val="nil"/>
              <w:left w:val="nil"/>
              <w:bottom w:val="nil"/>
              <w:right w:val="nil"/>
            </w:tcBorders>
            <w:vAlign w:val="center"/>
            <w:hideMark/>
          </w:tcPr>
          <w:p w14:paraId="55DBE1E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9,475</w:t>
            </w:r>
          </w:p>
        </w:tc>
      </w:tr>
      <w:tr w:rsidR="00F552AD" w:rsidRPr="00F552AD" w14:paraId="1D82F7E3" w14:textId="77777777" w:rsidTr="00347DFC">
        <w:trPr>
          <w:trHeight w:val="260"/>
        </w:trPr>
        <w:tc>
          <w:tcPr>
            <w:tcW w:w="0" w:type="auto"/>
            <w:tcBorders>
              <w:top w:val="nil"/>
              <w:left w:val="nil"/>
              <w:bottom w:val="nil"/>
              <w:right w:val="nil"/>
            </w:tcBorders>
            <w:hideMark/>
          </w:tcPr>
          <w:p w14:paraId="4920060A"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User fees</w:t>
            </w:r>
          </w:p>
        </w:tc>
        <w:tc>
          <w:tcPr>
            <w:tcW w:w="0" w:type="auto"/>
            <w:tcBorders>
              <w:top w:val="nil"/>
              <w:left w:val="nil"/>
              <w:bottom w:val="nil"/>
              <w:right w:val="nil"/>
            </w:tcBorders>
            <w:vAlign w:val="center"/>
            <w:hideMark/>
          </w:tcPr>
          <w:p w14:paraId="6C947BC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3,396</w:t>
            </w:r>
          </w:p>
        </w:tc>
        <w:tc>
          <w:tcPr>
            <w:tcW w:w="0" w:type="auto"/>
            <w:tcBorders>
              <w:top w:val="nil"/>
              <w:left w:val="nil"/>
              <w:bottom w:val="nil"/>
              <w:right w:val="nil"/>
            </w:tcBorders>
            <w:vAlign w:val="center"/>
            <w:hideMark/>
          </w:tcPr>
          <w:p w14:paraId="175D92C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3,076</w:t>
            </w:r>
          </w:p>
        </w:tc>
        <w:tc>
          <w:tcPr>
            <w:tcW w:w="0" w:type="auto"/>
            <w:tcBorders>
              <w:top w:val="nil"/>
              <w:left w:val="nil"/>
              <w:bottom w:val="nil"/>
              <w:right w:val="nil"/>
            </w:tcBorders>
            <w:vAlign w:val="center"/>
            <w:hideMark/>
          </w:tcPr>
          <w:p w14:paraId="7BD5B91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3,153</w:t>
            </w:r>
          </w:p>
        </w:tc>
        <w:tc>
          <w:tcPr>
            <w:tcW w:w="0" w:type="auto"/>
            <w:tcBorders>
              <w:top w:val="nil"/>
              <w:left w:val="nil"/>
              <w:bottom w:val="nil"/>
              <w:right w:val="nil"/>
            </w:tcBorders>
            <w:vAlign w:val="center"/>
            <w:hideMark/>
          </w:tcPr>
          <w:p w14:paraId="512A491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3,232</w:t>
            </w:r>
          </w:p>
        </w:tc>
        <w:tc>
          <w:tcPr>
            <w:tcW w:w="0" w:type="auto"/>
            <w:tcBorders>
              <w:top w:val="nil"/>
              <w:left w:val="nil"/>
              <w:bottom w:val="nil"/>
              <w:right w:val="nil"/>
            </w:tcBorders>
            <w:vAlign w:val="center"/>
            <w:hideMark/>
          </w:tcPr>
          <w:p w14:paraId="5E422DD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3,313</w:t>
            </w:r>
          </w:p>
        </w:tc>
        <w:tc>
          <w:tcPr>
            <w:tcW w:w="0" w:type="auto"/>
            <w:tcBorders>
              <w:top w:val="nil"/>
              <w:left w:val="nil"/>
              <w:bottom w:val="nil"/>
              <w:right w:val="nil"/>
            </w:tcBorders>
            <w:vAlign w:val="center"/>
            <w:hideMark/>
          </w:tcPr>
          <w:p w14:paraId="2BE5D6C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3,395</w:t>
            </w:r>
          </w:p>
        </w:tc>
        <w:tc>
          <w:tcPr>
            <w:tcW w:w="0" w:type="auto"/>
            <w:tcBorders>
              <w:top w:val="nil"/>
              <w:left w:val="nil"/>
              <w:bottom w:val="nil"/>
              <w:right w:val="nil"/>
            </w:tcBorders>
            <w:vAlign w:val="center"/>
            <w:hideMark/>
          </w:tcPr>
          <w:p w14:paraId="2B6CFD7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3,480</w:t>
            </w:r>
          </w:p>
        </w:tc>
        <w:tc>
          <w:tcPr>
            <w:tcW w:w="0" w:type="auto"/>
            <w:tcBorders>
              <w:top w:val="nil"/>
              <w:left w:val="nil"/>
              <w:bottom w:val="nil"/>
              <w:right w:val="nil"/>
            </w:tcBorders>
            <w:vAlign w:val="center"/>
            <w:hideMark/>
          </w:tcPr>
          <w:p w14:paraId="0F45678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3,567</w:t>
            </w:r>
          </w:p>
        </w:tc>
        <w:tc>
          <w:tcPr>
            <w:tcW w:w="0" w:type="auto"/>
            <w:tcBorders>
              <w:top w:val="nil"/>
              <w:left w:val="nil"/>
              <w:bottom w:val="nil"/>
              <w:right w:val="nil"/>
            </w:tcBorders>
            <w:vAlign w:val="center"/>
            <w:hideMark/>
          </w:tcPr>
          <w:p w14:paraId="74A2361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3,656</w:t>
            </w:r>
          </w:p>
        </w:tc>
        <w:tc>
          <w:tcPr>
            <w:tcW w:w="0" w:type="auto"/>
            <w:tcBorders>
              <w:top w:val="nil"/>
              <w:left w:val="nil"/>
              <w:bottom w:val="nil"/>
              <w:right w:val="nil"/>
            </w:tcBorders>
            <w:vAlign w:val="center"/>
            <w:hideMark/>
          </w:tcPr>
          <w:p w14:paraId="0E02984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3,748</w:t>
            </w:r>
          </w:p>
        </w:tc>
        <w:tc>
          <w:tcPr>
            <w:tcW w:w="0" w:type="auto"/>
            <w:tcBorders>
              <w:top w:val="nil"/>
              <w:left w:val="nil"/>
              <w:bottom w:val="nil"/>
              <w:right w:val="nil"/>
            </w:tcBorders>
            <w:vAlign w:val="center"/>
            <w:hideMark/>
          </w:tcPr>
          <w:p w14:paraId="1497C59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3,842</w:t>
            </w:r>
          </w:p>
        </w:tc>
      </w:tr>
      <w:tr w:rsidR="00F552AD" w:rsidRPr="00F552AD" w14:paraId="576152E6" w14:textId="77777777" w:rsidTr="00347DFC">
        <w:trPr>
          <w:trHeight w:val="260"/>
        </w:trPr>
        <w:tc>
          <w:tcPr>
            <w:tcW w:w="0" w:type="auto"/>
            <w:tcBorders>
              <w:top w:val="nil"/>
              <w:left w:val="nil"/>
              <w:bottom w:val="nil"/>
              <w:right w:val="nil"/>
            </w:tcBorders>
            <w:hideMark/>
          </w:tcPr>
          <w:p w14:paraId="446C7962"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Grants - operating</w:t>
            </w:r>
          </w:p>
        </w:tc>
        <w:tc>
          <w:tcPr>
            <w:tcW w:w="0" w:type="auto"/>
            <w:tcBorders>
              <w:top w:val="nil"/>
              <w:left w:val="nil"/>
              <w:bottom w:val="nil"/>
              <w:right w:val="nil"/>
            </w:tcBorders>
            <w:vAlign w:val="center"/>
            <w:hideMark/>
          </w:tcPr>
          <w:p w14:paraId="10798E1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30,439</w:t>
            </w:r>
          </w:p>
        </w:tc>
        <w:tc>
          <w:tcPr>
            <w:tcW w:w="0" w:type="auto"/>
            <w:tcBorders>
              <w:top w:val="nil"/>
              <w:left w:val="nil"/>
              <w:bottom w:val="nil"/>
              <w:right w:val="nil"/>
            </w:tcBorders>
            <w:vAlign w:val="center"/>
            <w:hideMark/>
          </w:tcPr>
          <w:p w14:paraId="224D4BB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21,513</w:t>
            </w:r>
          </w:p>
        </w:tc>
        <w:tc>
          <w:tcPr>
            <w:tcW w:w="0" w:type="auto"/>
            <w:tcBorders>
              <w:top w:val="nil"/>
              <w:left w:val="nil"/>
              <w:bottom w:val="nil"/>
              <w:right w:val="nil"/>
            </w:tcBorders>
            <w:vAlign w:val="center"/>
            <w:hideMark/>
          </w:tcPr>
          <w:p w14:paraId="0A5DB3C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22,041</w:t>
            </w:r>
          </w:p>
        </w:tc>
        <w:tc>
          <w:tcPr>
            <w:tcW w:w="0" w:type="auto"/>
            <w:tcBorders>
              <w:top w:val="nil"/>
              <w:left w:val="nil"/>
              <w:bottom w:val="nil"/>
              <w:right w:val="nil"/>
            </w:tcBorders>
            <w:vAlign w:val="center"/>
            <w:hideMark/>
          </w:tcPr>
          <w:p w14:paraId="47C5762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22,583</w:t>
            </w:r>
          </w:p>
        </w:tc>
        <w:tc>
          <w:tcPr>
            <w:tcW w:w="0" w:type="auto"/>
            <w:tcBorders>
              <w:top w:val="nil"/>
              <w:left w:val="nil"/>
              <w:bottom w:val="nil"/>
              <w:right w:val="nil"/>
            </w:tcBorders>
            <w:vAlign w:val="center"/>
            <w:hideMark/>
          </w:tcPr>
          <w:p w14:paraId="7D53D41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23,138</w:t>
            </w:r>
          </w:p>
        </w:tc>
        <w:tc>
          <w:tcPr>
            <w:tcW w:w="0" w:type="auto"/>
            <w:tcBorders>
              <w:top w:val="nil"/>
              <w:left w:val="nil"/>
              <w:bottom w:val="nil"/>
              <w:right w:val="nil"/>
            </w:tcBorders>
            <w:vAlign w:val="center"/>
            <w:hideMark/>
          </w:tcPr>
          <w:p w14:paraId="13FB9F1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23,707</w:t>
            </w:r>
          </w:p>
        </w:tc>
        <w:tc>
          <w:tcPr>
            <w:tcW w:w="0" w:type="auto"/>
            <w:tcBorders>
              <w:top w:val="nil"/>
              <w:left w:val="nil"/>
              <w:bottom w:val="nil"/>
              <w:right w:val="nil"/>
            </w:tcBorders>
            <w:vAlign w:val="center"/>
            <w:hideMark/>
          </w:tcPr>
          <w:p w14:paraId="371211A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24,290</w:t>
            </w:r>
          </w:p>
        </w:tc>
        <w:tc>
          <w:tcPr>
            <w:tcW w:w="0" w:type="auto"/>
            <w:tcBorders>
              <w:top w:val="nil"/>
              <w:left w:val="nil"/>
              <w:bottom w:val="nil"/>
              <w:right w:val="nil"/>
            </w:tcBorders>
            <w:vAlign w:val="center"/>
            <w:hideMark/>
          </w:tcPr>
          <w:p w14:paraId="4B3B787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24,888</w:t>
            </w:r>
          </w:p>
        </w:tc>
        <w:tc>
          <w:tcPr>
            <w:tcW w:w="0" w:type="auto"/>
            <w:tcBorders>
              <w:top w:val="nil"/>
              <w:left w:val="nil"/>
              <w:bottom w:val="nil"/>
              <w:right w:val="nil"/>
            </w:tcBorders>
            <w:vAlign w:val="center"/>
            <w:hideMark/>
          </w:tcPr>
          <w:p w14:paraId="4389A72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25,500</w:t>
            </w:r>
          </w:p>
        </w:tc>
        <w:tc>
          <w:tcPr>
            <w:tcW w:w="0" w:type="auto"/>
            <w:tcBorders>
              <w:top w:val="nil"/>
              <w:left w:val="nil"/>
              <w:bottom w:val="nil"/>
              <w:right w:val="nil"/>
            </w:tcBorders>
            <w:vAlign w:val="center"/>
            <w:hideMark/>
          </w:tcPr>
          <w:p w14:paraId="12DD696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26,129</w:t>
            </w:r>
          </w:p>
        </w:tc>
        <w:tc>
          <w:tcPr>
            <w:tcW w:w="0" w:type="auto"/>
            <w:tcBorders>
              <w:top w:val="nil"/>
              <w:left w:val="nil"/>
              <w:bottom w:val="nil"/>
              <w:right w:val="nil"/>
            </w:tcBorders>
            <w:vAlign w:val="center"/>
            <w:hideMark/>
          </w:tcPr>
          <w:p w14:paraId="5321EBD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26,772</w:t>
            </w:r>
          </w:p>
        </w:tc>
      </w:tr>
      <w:tr w:rsidR="00F552AD" w:rsidRPr="00F552AD" w14:paraId="284ABAD0" w14:textId="77777777" w:rsidTr="00347DFC">
        <w:trPr>
          <w:trHeight w:val="260"/>
        </w:trPr>
        <w:tc>
          <w:tcPr>
            <w:tcW w:w="0" w:type="auto"/>
            <w:tcBorders>
              <w:top w:val="nil"/>
              <w:left w:val="nil"/>
              <w:bottom w:val="nil"/>
              <w:right w:val="nil"/>
            </w:tcBorders>
            <w:hideMark/>
          </w:tcPr>
          <w:p w14:paraId="4BB61972"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Grants - capital</w:t>
            </w:r>
          </w:p>
        </w:tc>
        <w:tc>
          <w:tcPr>
            <w:tcW w:w="0" w:type="auto"/>
            <w:tcBorders>
              <w:top w:val="nil"/>
              <w:left w:val="nil"/>
              <w:bottom w:val="nil"/>
              <w:right w:val="nil"/>
            </w:tcBorders>
            <w:vAlign w:val="center"/>
            <w:hideMark/>
          </w:tcPr>
          <w:p w14:paraId="23FB06B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22,138</w:t>
            </w:r>
          </w:p>
        </w:tc>
        <w:tc>
          <w:tcPr>
            <w:tcW w:w="0" w:type="auto"/>
            <w:tcBorders>
              <w:top w:val="nil"/>
              <w:left w:val="nil"/>
              <w:bottom w:val="nil"/>
              <w:right w:val="nil"/>
            </w:tcBorders>
            <w:vAlign w:val="center"/>
            <w:hideMark/>
          </w:tcPr>
          <w:p w14:paraId="703DDF0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34,141</w:t>
            </w:r>
          </w:p>
        </w:tc>
        <w:tc>
          <w:tcPr>
            <w:tcW w:w="0" w:type="auto"/>
            <w:tcBorders>
              <w:top w:val="nil"/>
              <w:left w:val="nil"/>
              <w:bottom w:val="nil"/>
              <w:right w:val="nil"/>
            </w:tcBorders>
            <w:vAlign w:val="center"/>
            <w:hideMark/>
          </w:tcPr>
          <w:p w14:paraId="10A1874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17,065</w:t>
            </w:r>
          </w:p>
        </w:tc>
        <w:tc>
          <w:tcPr>
            <w:tcW w:w="0" w:type="auto"/>
            <w:tcBorders>
              <w:top w:val="nil"/>
              <w:left w:val="nil"/>
              <w:bottom w:val="nil"/>
              <w:right w:val="nil"/>
            </w:tcBorders>
            <w:vAlign w:val="center"/>
            <w:hideMark/>
          </w:tcPr>
          <w:p w14:paraId="1FD06FB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13,990</w:t>
            </w:r>
          </w:p>
        </w:tc>
        <w:tc>
          <w:tcPr>
            <w:tcW w:w="0" w:type="auto"/>
            <w:tcBorders>
              <w:top w:val="nil"/>
              <w:left w:val="nil"/>
              <w:bottom w:val="nil"/>
              <w:right w:val="nil"/>
            </w:tcBorders>
            <w:vAlign w:val="center"/>
            <w:hideMark/>
          </w:tcPr>
          <w:p w14:paraId="1A5A71A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12,000</w:t>
            </w:r>
          </w:p>
        </w:tc>
        <w:tc>
          <w:tcPr>
            <w:tcW w:w="0" w:type="auto"/>
            <w:tcBorders>
              <w:top w:val="nil"/>
              <w:left w:val="nil"/>
              <w:bottom w:val="nil"/>
              <w:right w:val="nil"/>
            </w:tcBorders>
            <w:vAlign w:val="center"/>
            <w:hideMark/>
          </w:tcPr>
          <w:p w14:paraId="1AC814E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12,000</w:t>
            </w:r>
          </w:p>
        </w:tc>
        <w:tc>
          <w:tcPr>
            <w:tcW w:w="0" w:type="auto"/>
            <w:tcBorders>
              <w:top w:val="nil"/>
              <w:left w:val="nil"/>
              <w:bottom w:val="nil"/>
              <w:right w:val="nil"/>
            </w:tcBorders>
            <w:vAlign w:val="center"/>
            <w:hideMark/>
          </w:tcPr>
          <w:p w14:paraId="08D5A81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12,000</w:t>
            </w:r>
          </w:p>
        </w:tc>
        <w:tc>
          <w:tcPr>
            <w:tcW w:w="0" w:type="auto"/>
            <w:tcBorders>
              <w:top w:val="nil"/>
              <w:left w:val="nil"/>
              <w:bottom w:val="nil"/>
              <w:right w:val="nil"/>
            </w:tcBorders>
            <w:vAlign w:val="center"/>
            <w:hideMark/>
          </w:tcPr>
          <w:p w14:paraId="079E8EF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12,000</w:t>
            </w:r>
          </w:p>
        </w:tc>
        <w:tc>
          <w:tcPr>
            <w:tcW w:w="0" w:type="auto"/>
            <w:tcBorders>
              <w:top w:val="nil"/>
              <w:left w:val="nil"/>
              <w:bottom w:val="nil"/>
              <w:right w:val="nil"/>
            </w:tcBorders>
            <w:vAlign w:val="center"/>
            <w:hideMark/>
          </w:tcPr>
          <w:p w14:paraId="68DE6E7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12,000</w:t>
            </w:r>
          </w:p>
        </w:tc>
        <w:tc>
          <w:tcPr>
            <w:tcW w:w="0" w:type="auto"/>
            <w:tcBorders>
              <w:top w:val="nil"/>
              <w:left w:val="nil"/>
              <w:bottom w:val="nil"/>
              <w:right w:val="nil"/>
            </w:tcBorders>
            <w:vAlign w:val="center"/>
            <w:hideMark/>
          </w:tcPr>
          <w:p w14:paraId="383FDC6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12,000</w:t>
            </w:r>
          </w:p>
        </w:tc>
        <w:tc>
          <w:tcPr>
            <w:tcW w:w="0" w:type="auto"/>
            <w:tcBorders>
              <w:top w:val="nil"/>
              <w:left w:val="nil"/>
              <w:bottom w:val="nil"/>
              <w:right w:val="nil"/>
            </w:tcBorders>
            <w:vAlign w:val="center"/>
            <w:hideMark/>
          </w:tcPr>
          <w:p w14:paraId="04F78F8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12,000</w:t>
            </w:r>
          </w:p>
        </w:tc>
      </w:tr>
      <w:tr w:rsidR="00F552AD" w:rsidRPr="00F552AD" w14:paraId="17FB8F64" w14:textId="77777777" w:rsidTr="00347DFC">
        <w:trPr>
          <w:trHeight w:val="260"/>
        </w:trPr>
        <w:tc>
          <w:tcPr>
            <w:tcW w:w="0" w:type="auto"/>
            <w:tcBorders>
              <w:top w:val="nil"/>
              <w:left w:val="nil"/>
              <w:bottom w:val="nil"/>
              <w:right w:val="nil"/>
            </w:tcBorders>
            <w:hideMark/>
          </w:tcPr>
          <w:p w14:paraId="55ED85F1"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Contributions - monetary</w:t>
            </w:r>
          </w:p>
        </w:tc>
        <w:tc>
          <w:tcPr>
            <w:tcW w:w="0" w:type="auto"/>
            <w:tcBorders>
              <w:top w:val="nil"/>
              <w:left w:val="nil"/>
              <w:bottom w:val="nil"/>
              <w:right w:val="nil"/>
            </w:tcBorders>
            <w:vAlign w:val="center"/>
            <w:hideMark/>
          </w:tcPr>
          <w:p w14:paraId="14385A3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19,727</w:t>
            </w:r>
          </w:p>
        </w:tc>
        <w:tc>
          <w:tcPr>
            <w:tcW w:w="0" w:type="auto"/>
            <w:tcBorders>
              <w:top w:val="nil"/>
              <w:left w:val="nil"/>
              <w:bottom w:val="nil"/>
              <w:right w:val="nil"/>
            </w:tcBorders>
            <w:vAlign w:val="center"/>
            <w:hideMark/>
          </w:tcPr>
          <w:p w14:paraId="50EA173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41,745</w:t>
            </w:r>
          </w:p>
        </w:tc>
        <w:tc>
          <w:tcPr>
            <w:tcW w:w="0" w:type="auto"/>
            <w:tcBorders>
              <w:top w:val="nil"/>
              <w:left w:val="nil"/>
              <w:bottom w:val="nil"/>
              <w:right w:val="nil"/>
            </w:tcBorders>
            <w:vAlign w:val="center"/>
            <w:hideMark/>
          </w:tcPr>
          <w:p w14:paraId="3F89A95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14,284</w:t>
            </w:r>
          </w:p>
        </w:tc>
        <w:tc>
          <w:tcPr>
            <w:tcW w:w="0" w:type="auto"/>
            <w:tcBorders>
              <w:top w:val="nil"/>
              <w:left w:val="nil"/>
              <w:bottom w:val="nil"/>
              <w:right w:val="nil"/>
            </w:tcBorders>
            <w:vAlign w:val="center"/>
            <w:hideMark/>
          </w:tcPr>
          <w:p w14:paraId="1F3355D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23,023</w:t>
            </w:r>
          </w:p>
        </w:tc>
        <w:tc>
          <w:tcPr>
            <w:tcW w:w="0" w:type="auto"/>
            <w:tcBorders>
              <w:top w:val="nil"/>
              <w:left w:val="nil"/>
              <w:bottom w:val="nil"/>
              <w:right w:val="nil"/>
            </w:tcBorders>
            <w:vAlign w:val="center"/>
            <w:hideMark/>
          </w:tcPr>
          <w:p w14:paraId="0F6FDE2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15,958</w:t>
            </w:r>
          </w:p>
        </w:tc>
        <w:tc>
          <w:tcPr>
            <w:tcW w:w="0" w:type="auto"/>
            <w:tcBorders>
              <w:top w:val="nil"/>
              <w:left w:val="nil"/>
              <w:bottom w:val="nil"/>
              <w:right w:val="nil"/>
            </w:tcBorders>
            <w:vAlign w:val="center"/>
            <w:hideMark/>
          </w:tcPr>
          <w:p w14:paraId="51AA9D5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23,085</w:t>
            </w:r>
          </w:p>
        </w:tc>
        <w:tc>
          <w:tcPr>
            <w:tcW w:w="0" w:type="auto"/>
            <w:tcBorders>
              <w:top w:val="nil"/>
              <w:left w:val="nil"/>
              <w:bottom w:val="nil"/>
              <w:right w:val="nil"/>
            </w:tcBorders>
            <w:vAlign w:val="center"/>
            <w:hideMark/>
          </w:tcPr>
          <w:p w14:paraId="1961FEC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8,175</w:t>
            </w:r>
          </w:p>
        </w:tc>
        <w:tc>
          <w:tcPr>
            <w:tcW w:w="0" w:type="auto"/>
            <w:tcBorders>
              <w:top w:val="nil"/>
              <w:left w:val="nil"/>
              <w:bottom w:val="nil"/>
              <w:right w:val="nil"/>
            </w:tcBorders>
            <w:vAlign w:val="center"/>
            <w:hideMark/>
          </w:tcPr>
          <w:p w14:paraId="5F77BD4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12,127</w:t>
            </w:r>
          </w:p>
        </w:tc>
        <w:tc>
          <w:tcPr>
            <w:tcW w:w="0" w:type="auto"/>
            <w:tcBorders>
              <w:top w:val="nil"/>
              <w:left w:val="nil"/>
              <w:bottom w:val="nil"/>
              <w:right w:val="nil"/>
            </w:tcBorders>
            <w:vAlign w:val="center"/>
            <w:hideMark/>
          </w:tcPr>
          <w:p w14:paraId="0FA64F3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16,147</w:t>
            </w:r>
          </w:p>
        </w:tc>
        <w:tc>
          <w:tcPr>
            <w:tcW w:w="0" w:type="auto"/>
            <w:tcBorders>
              <w:top w:val="nil"/>
              <w:left w:val="nil"/>
              <w:bottom w:val="nil"/>
              <w:right w:val="nil"/>
            </w:tcBorders>
            <w:vAlign w:val="center"/>
            <w:hideMark/>
          </w:tcPr>
          <w:p w14:paraId="7A3926A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22,647</w:t>
            </w:r>
          </w:p>
        </w:tc>
        <w:tc>
          <w:tcPr>
            <w:tcW w:w="0" w:type="auto"/>
            <w:tcBorders>
              <w:top w:val="nil"/>
              <w:left w:val="nil"/>
              <w:bottom w:val="nil"/>
              <w:right w:val="nil"/>
            </w:tcBorders>
            <w:vAlign w:val="center"/>
            <w:hideMark/>
          </w:tcPr>
          <w:p w14:paraId="7D8CA74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23,208</w:t>
            </w:r>
          </w:p>
        </w:tc>
      </w:tr>
      <w:tr w:rsidR="00F552AD" w:rsidRPr="00F552AD" w14:paraId="7BD41EEF" w14:textId="77777777" w:rsidTr="00347DFC">
        <w:trPr>
          <w:trHeight w:val="260"/>
        </w:trPr>
        <w:tc>
          <w:tcPr>
            <w:tcW w:w="0" w:type="auto"/>
            <w:tcBorders>
              <w:top w:val="nil"/>
              <w:left w:val="nil"/>
              <w:bottom w:val="nil"/>
              <w:right w:val="nil"/>
            </w:tcBorders>
            <w:hideMark/>
          </w:tcPr>
          <w:p w14:paraId="28B8B563"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Contributions - non-monetary</w:t>
            </w:r>
          </w:p>
        </w:tc>
        <w:tc>
          <w:tcPr>
            <w:tcW w:w="0" w:type="auto"/>
            <w:tcBorders>
              <w:top w:val="nil"/>
              <w:left w:val="nil"/>
              <w:bottom w:val="nil"/>
              <w:right w:val="nil"/>
            </w:tcBorders>
            <w:vAlign w:val="center"/>
            <w:hideMark/>
          </w:tcPr>
          <w:p w14:paraId="51136A6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83,170</w:t>
            </w:r>
          </w:p>
        </w:tc>
        <w:tc>
          <w:tcPr>
            <w:tcW w:w="0" w:type="auto"/>
            <w:tcBorders>
              <w:top w:val="nil"/>
              <w:left w:val="nil"/>
              <w:bottom w:val="nil"/>
              <w:right w:val="nil"/>
            </w:tcBorders>
            <w:vAlign w:val="center"/>
            <w:hideMark/>
          </w:tcPr>
          <w:p w14:paraId="70E70B7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36,329</w:t>
            </w:r>
          </w:p>
        </w:tc>
        <w:tc>
          <w:tcPr>
            <w:tcW w:w="0" w:type="auto"/>
            <w:tcBorders>
              <w:top w:val="nil"/>
              <w:left w:val="nil"/>
              <w:bottom w:val="nil"/>
              <w:right w:val="nil"/>
            </w:tcBorders>
            <w:vAlign w:val="center"/>
            <w:hideMark/>
          </w:tcPr>
          <w:p w14:paraId="6AB10BE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42,030</w:t>
            </w:r>
          </w:p>
        </w:tc>
        <w:tc>
          <w:tcPr>
            <w:tcW w:w="0" w:type="auto"/>
            <w:tcBorders>
              <w:top w:val="nil"/>
              <w:left w:val="nil"/>
              <w:bottom w:val="nil"/>
              <w:right w:val="nil"/>
            </w:tcBorders>
            <w:vAlign w:val="center"/>
            <w:hideMark/>
          </w:tcPr>
          <w:p w14:paraId="2522BE6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41,038</w:t>
            </w:r>
          </w:p>
        </w:tc>
        <w:tc>
          <w:tcPr>
            <w:tcW w:w="0" w:type="auto"/>
            <w:tcBorders>
              <w:top w:val="nil"/>
              <w:left w:val="nil"/>
              <w:bottom w:val="nil"/>
              <w:right w:val="nil"/>
            </w:tcBorders>
            <w:vAlign w:val="center"/>
            <w:hideMark/>
          </w:tcPr>
          <w:p w14:paraId="40EEC68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39,724</w:t>
            </w:r>
          </w:p>
        </w:tc>
        <w:tc>
          <w:tcPr>
            <w:tcW w:w="0" w:type="auto"/>
            <w:tcBorders>
              <w:top w:val="nil"/>
              <w:left w:val="nil"/>
              <w:bottom w:val="nil"/>
              <w:right w:val="nil"/>
            </w:tcBorders>
            <w:vAlign w:val="center"/>
            <w:hideMark/>
          </w:tcPr>
          <w:p w14:paraId="234274A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37,411</w:t>
            </w:r>
          </w:p>
        </w:tc>
        <w:tc>
          <w:tcPr>
            <w:tcW w:w="0" w:type="auto"/>
            <w:tcBorders>
              <w:top w:val="nil"/>
              <w:left w:val="nil"/>
              <w:bottom w:val="nil"/>
              <w:right w:val="nil"/>
            </w:tcBorders>
            <w:vAlign w:val="center"/>
            <w:hideMark/>
          </w:tcPr>
          <w:p w14:paraId="47829F3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37,136</w:t>
            </w:r>
          </w:p>
        </w:tc>
        <w:tc>
          <w:tcPr>
            <w:tcW w:w="0" w:type="auto"/>
            <w:tcBorders>
              <w:top w:val="nil"/>
              <w:left w:val="nil"/>
              <w:bottom w:val="nil"/>
              <w:right w:val="nil"/>
            </w:tcBorders>
            <w:vAlign w:val="center"/>
            <w:hideMark/>
          </w:tcPr>
          <w:p w14:paraId="792395D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35,358</w:t>
            </w:r>
          </w:p>
        </w:tc>
        <w:tc>
          <w:tcPr>
            <w:tcW w:w="0" w:type="auto"/>
            <w:tcBorders>
              <w:top w:val="nil"/>
              <w:left w:val="nil"/>
              <w:bottom w:val="nil"/>
              <w:right w:val="nil"/>
            </w:tcBorders>
            <w:vAlign w:val="center"/>
            <w:hideMark/>
          </w:tcPr>
          <w:p w14:paraId="6538392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33,450</w:t>
            </w:r>
          </w:p>
        </w:tc>
        <w:tc>
          <w:tcPr>
            <w:tcW w:w="0" w:type="auto"/>
            <w:tcBorders>
              <w:top w:val="nil"/>
              <w:left w:val="nil"/>
              <w:bottom w:val="nil"/>
              <w:right w:val="nil"/>
            </w:tcBorders>
            <w:vAlign w:val="center"/>
            <w:hideMark/>
          </w:tcPr>
          <w:p w14:paraId="38F5D50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32,015</w:t>
            </w:r>
          </w:p>
        </w:tc>
        <w:tc>
          <w:tcPr>
            <w:tcW w:w="0" w:type="auto"/>
            <w:tcBorders>
              <w:top w:val="nil"/>
              <w:left w:val="nil"/>
              <w:bottom w:val="nil"/>
              <w:right w:val="nil"/>
            </w:tcBorders>
            <w:vAlign w:val="center"/>
            <w:hideMark/>
          </w:tcPr>
          <w:p w14:paraId="49F94B8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32,335</w:t>
            </w:r>
          </w:p>
        </w:tc>
      </w:tr>
      <w:tr w:rsidR="00F552AD" w:rsidRPr="00F552AD" w14:paraId="51E34F22" w14:textId="77777777" w:rsidTr="00347DFC">
        <w:trPr>
          <w:trHeight w:val="400"/>
        </w:trPr>
        <w:tc>
          <w:tcPr>
            <w:tcW w:w="0" w:type="auto"/>
            <w:tcBorders>
              <w:top w:val="nil"/>
              <w:left w:val="nil"/>
              <w:bottom w:val="nil"/>
              <w:right w:val="nil"/>
            </w:tcBorders>
            <w:hideMark/>
          </w:tcPr>
          <w:p w14:paraId="13B3B84E"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Net gain (or loss) on disposal of property, infrastructure, plant and equipment</w:t>
            </w:r>
          </w:p>
        </w:tc>
        <w:tc>
          <w:tcPr>
            <w:tcW w:w="0" w:type="auto"/>
            <w:tcBorders>
              <w:top w:val="nil"/>
              <w:left w:val="nil"/>
              <w:bottom w:val="nil"/>
              <w:right w:val="nil"/>
            </w:tcBorders>
            <w:vAlign w:val="center"/>
            <w:hideMark/>
          </w:tcPr>
          <w:p w14:paraId="70B2370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(5,089)</w:t>
            </w:r>
          </w:p>
        </w:tc>
        <w:tc>
          <w:tcPr>
            <w:tcW w:w="0" w:type="auto"/>
            <w:tcBorders>
              <w:top w:val="nil"/>
              <w:left w:val="nil"/>
              <w:bottom w:val="nil"/>
              <w:right w:val="nil"/>
            </w:tcBorders>
            <w:vAlign w:val="center"/>
            <w:hideMark/>
          </w:tcPr>
          <w:p w14:paraId="7FF5748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c>
          <w:tcPr>
            <w:tcW w:w="0" w:type="auto"/>
            <w:tcBorders>
              <w:top w:val="nil"/>
              <w:left w:val="nil"/>
              <w:bottom w:val="nil"/>
              <w:right w:val="nil"/>
            </w:tcBorders>
            <w:vAlign w:val="center"/>
            <w:hideMark/>
          </w:tcPr>
          <w:p w14:paraId="06839A5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c>
          <w:tcPr>
            <w:tcW w:w="0" w:type="auto"/>
            <w:tcBorders>
              <w:top w:val="nil"/>
              <w:left w:val="nil"/>
              <w:bottom w:val="nil"/>
              <w:right w:val="nil"/>
            </w:tcBorders>
            <w:vAlign w:val="center"/>
            <w:hideMark/>
          </w:tcPr>
          <w:p w14:paraId="01C4998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c>
          <w:tcPr>
            <w:tcW w:w="0" w:type="auto"/>
            <w:tcBorders>
              <w:top w:val="nil"/>
              <w:left w:val="nil"/>
              <w:bottom w:val="nil"/>
              <w:right w:val="nil"/>
            </w:tcBorders>
            <w:vAlign w:val="center"/>
            <w:hideMark/>
          </w:tcPr>
          <w:p w14:paraId="6E41AF8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c>
          <w:tcPr>
            <w:tcW w:w="0" w:type="auto"/>
            <w:tcBorders>
              <w:top w:val="nil"/>
              <w:left w:val="nil"/>
              <w:bottom w:val="nil"/>
              <w:right w:val="nil"/>
            </w:tcBorders>
            <w:vAlign w:val="center"/>
            <w:hideMark/>
          </w:tcPr>
          <w:p w14:paraId="68F864D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c>
          <w:tcPr>
            <w:tcW w:w="0" w:type="auto"/>
            <w:tcBorders>
              <w:top w:val="nil"/>
              <w:left w:val="nil"/>
              <w:bottom w:val="nil"/>
              <w:right w:val="nil"/>
            </w:tcBorders>
            <w:vAlign w:val="center"/>
            <w:hideMark/>
          </w:tcPr>
          <w:p w14:paraId="1C41EB9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c>
          <w:tcPr>
            <w:tcW w:w="0" w:type="auto"/>
            <w:tcBorders>
              <w:top w:val="nil"/>
              <w:left w:val="nil"/>
              <w:bottom w:val="nil"/>
              <w:right w:val="nil"/>
            </w:tcBorders>
            <w:vAlign w:val="center"/>
            <w:hideMark/>
          </w:tcPr>
          <w:p w14:paraId="27F8DFD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c>
          <w:tcPr>
            <w:tcW w:w="0" w:type="auto"/>
            <w:tcBorders>
              <w:top w:val="nil"/>
              <w:left w:val="nil"/>
              <w:bottom w:val="nil"/>
              <w:right w:val="nil"/>
            </w:tcBorders>
            <w:vAlign w:val="center"/>
            <w:hideMark/>
          </w:tcPr>
          <w:p w14:paraId="11B12ED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c>
          <w:tcPr>
            <w:tcW w:w="0" w:type="auto"/>
            <w:tcBorders>
              <w:top w:val="nil"/>
              <w:left w:val="nil"/>
              <w:bottom w:val="nil"/>
              <w:right w:val="nil"/>
            </w:tcBorders>
            <w:vAlign w:val="center"/>
            <w:hideMark/>
          </w:tcPr>
          <w:p w14:paraId="555E331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c>
          <w:tcPr>
            <w:tcW w:w="0" w:type="auto"/>
            <w:tcBorders>
              <w:top w:val="nil"/>
              <w:left w:val="nil"/>
              <w:bottom w:val="nil"/>
              <w:right w:val="nil"/>
            </w:tcBorders>
            <w:vAlign w:val="center"/>
            <w:hideMark/>
          </w:tcPr>
          <w:p w14:paraId="19D9C18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500</w:t>
            </w:r>
          </w:p>
        </w:tc>
      </w:tr>
      <w:tr w:rsidR="00F552AD" w:rsidRPr="00F552AD" w14:paraId="3EA6A44D" w14:textId="77777777" w:rsidTr="00347DFC">
        <w:trPr>
          <w:trHeight w:val="260"/>
        </w:trPr>
        <w:tc>
          <w:tcPr>
            <w:tcW w:w="0" w:type="auto"/>
            <w:tcBorders>
              <w:top w:val="nil"/>
              <w:left w:val="nil"/>
              <w:bottom w:val="nil"/>
              <w:right w:val="nil"/>
            </w:tcBorders>
            <w:hideMark/>
          </w:tcPr>
          <w:p w14:paraId="185FB06F"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Other income</w:t>
            </w:r>
          </w:p>
        </w:tc>
        <w:tc>
          <w:tcPr>
            <w:tcW w:w="0" w:type="auto"/>
            <w:tcBorders>
              <w:top w:val="nil"/>
              <w:left w:val="nil"/>
              <w:bottom w:val="nil"/>
              <w:right w:val="nil"/>
            </w:tcBorders>
            <w:vAlign w:val="center"/>
            <w:hideMark/>
          </w:tcPr>
          <w:p w14:paraId="2A00471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12,566</w:t>
            </w:r>
          </w:p>
        </w:tc>
        <w:tc>
          <w:tcPr>
            <w:tcW w:w="0" w:type="auto"/>
            <w:tcBorders>
              <w:top w:val="nil"/>
              <w:left w:val="nil"/>
              <w:bottom w:val="nil"/>
              <w:right w:val="nil"/>
            </w:tcBorders>
            <w:vAlign w:val="center"/>
            <w:hideMark/>
          </w:tcPr>
          <w:p w14:paraId="67B378F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7,856</w:t>
            </w:r>
          </w:p>
        </w:tc>
        <w:tc>
          <w:tcPr>
            <w:tcW w:w="0" w:type="auto"/>
            <w:tcBorders>
              <w:top w:val="nil"/>
              <w:left w:val="nil"/>
              <w:bottom w:val="nil"/>
              <w:right w:val="nil"/>
            </w:tcBorders>
            <w:vAlign w:val="center"/>
            <w:hideMark/>
          </w:tcPr>
          <w:p w14:paraId="6B33BBF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7,920</w:t>
            </w:r>
          </w:p>
        </w:tc>
        <w:tc>
          <w:tcPr>
            <w:tcW w:w="0" w:type="auto"/>
            <w:tcBorders>
              <w:top w:val="nil"/>
              <w:left w:val="nil"/>
              <w:bottom w:val="nil"/>
              <w:right w:val="nil"/>
            </w:tcBorders>
            <w:vAlign w:val="center"/>
            <w:hideMark/>
          </w:tcPr>
          <w:p w14:paraId="3ABF140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7,986</w:t>
            </w:r>
          </w:p>
        </w:tc>
        <w:tc>
          <w:tcPr>
            <w:tcW w:w="0" w:type="auto"/>
            <w:tcBorders>
              <w:top w:val="nil"/>
              <w:left w:val="nil"/>
              <w:bottom w:val="nil"/>
              <w:right w:val="nil"/>
            </w:tcBorders>
            <w:vAlign w:val="center"/>
            <w:hideMark/>
          </w:tcPr>
          <w:p w14:paraId="4F71136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8,053</w:t>
            </w:r>
          </w:p>
        </w:tc>
        <w:tc>
          <w:tcPr>
            <w:tcW w:w="0" w:type="auto"/>
            <w:tcBorders>
              <w:top w:val="nil"/>
              <w:left w:val="nil"/>
              <w:bottom w:val="nil"/>
              <w:right w:val="nil"/>
            </w:tcBorders>
            <w:vAlign w:val="center"/>
            <w:hideMark/>
          </w:tcPr>
          <w:p w14:paraId="4002711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8,122</w:t>
            </w:r>
          </w:p>
        </w:tc>
        <w:tc>
          <w:tcPr>
            <w:tcW w:w="0" w:type="auto"/>
            <w:tcBorders>
              <w:top w:val="nil"/>
              <w:left w:val="nil"/>
              <w:bottom w:val="nil"/>
              <w:right w:val="nil"/>
            </w:tcBorders>
            <w:vAlign w:val="center"/>
            <w:hideMark/>
          </w:tcPr>
          <w:p w14:paraId="38B895C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8,193</w:t>
            </w:r>
          </w:p>
        </w:tc>
        <w:tc>
          <w:tcPr>
            <w:tcW w:w="0" w:type="auto"/>
            <w:tcBorders>
              <w:top w:val="nil"/>
              <w:left w:val="nil"/>
              <w:bottom w:val="nil"/>
              <w:right w:val="nil"/>
            </w:tcBorders>
            <w:vAlign w:val="center"/>
            <w:hideMark/>
          </w:tcPr>
          <w:p w14:paraId="1C56F61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8,265</w:t>
            </w:r>
          </w:p>
        </w:tc>
        <w:tc>
          <w:tcPr>
            <w:tcW w:w="0" w:type="auto"/>
            <w:tcBorders>
              <w:top w:val="nil"/>
              <w:left w:val="nil"/>
              <w:bottom w:val="nil"/>
              <w:right w:val="nil"/>
            </w:tcBorders>
            <w:vAlign w:val="center"/>
            <w:hideMark/>
          </w:tcPr>
          <w:p w14:paraId="4F2CBC4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8,339</w:t>
            </w:r>
          </w:p>
        </w:tc>
        <w:tc>
          <w:tcPr>
            <w:tcW w:w="0" w:type="auto"/>
            <w:tcBorders>
              <w:top w:val="nil"/>
              <w:left w:val="nil"/>
              <w:bottom w:val="nil"/>
              <w:right w:val="nil"/>
            </w:tcBorders>
            <w:vAlign w:val="center"/>
            <w:hideMark/>
          </w:tcPr>
          <w:p w14:paraId="023FF8C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8,416</w:t>
            </w:r>
          </w:p>
        </w:tc>
        <w:tc>
          <w:tcPr>
            <w:tcW w:w="0" w:type="auto"/>
            <w:tcBorders>
              <w:top w:val="nil"/>
              <w:left w:val="nil"/>
              <w:bottom w:val="nil"/>
              <w:right w:val="nil"/>
            </w:tcBorders>
            <w:vAlign w:val="center"/>
            <w:hideMark/>
          </w:tcPr>
          <w:p w14:paraId="6B372C2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8,494</w:t>
            </w:r>
          </w:p>
        </w:tc>
      </w:tr>
      <w:tr w:rsidR="00F552AD" w:rsidRPr="00F552AD" w14:paraId="1F2E5546" w14:textId="77777777" w:rsidTr="00F552AD">
        <w:trPr>
          <w:trHeight w:val="260"/>
        </w:trPr>
        <w:tc>
          <w:tcPr>
            <w:tcW w:w="0" w:type="auto"/>
            <w:tcBorders>
              <w:top w:val="nil"/>
              <w:left w:val="nil"/>
              <w:bottom w:val="nil"/>
              <w:right w:val="nil"/>
            </w:tcBorders>
            <w:hideMark/>
          </w:tcPr>
          <w:p w14:paraId="19F9E263"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Total income / revenue</w:t>
            </w:r>
          </w:p>
        </w:tc>
        <w:tc>
          <w:tcPr>
            <w:tcW w:w="0" w:type="auto"/>
            <w:tcBorders>
              <w:top w:val="single" w:sz="4" w:space="0" w:color="auto"/>
              <w:left w:val="nil"/>
              <w:bottom w:val="single" w:sz="4" w:space="0" w:color="auto"/>
              <w:right w:val="nil"/>
            </w:tcBorders>
            <w:vAlign w:val="center"/>
            <w:hideMark/>
          </w:tcPr>
          <w:p w14:paraId="226E9D3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298,495</w:t>
            </w:r>
          </w:p>
        </w:tc>
        <w:tc>
          <w:tcPr>
            <w:tcW w:w="0" w:type="auto"/>
            <w:tcBorders>
              <w:top w:val="single" w:sz="4" w:space="0" w:color="auto"/>
              <w:left w:val="nil"/>
              <w:bottom w:val="single" w:sz="4" w:space="0" w:color="auto"/>
              <w:right w:val="nil"/>
            </w:tcBorders>
            <w:vAlign w:val="center"/>
            <w:hideMark/>
          </w:tcPr>
          <w:p w14:paraId="0892627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285,573</w:t>
            </w:r>
          </w:p>
        </w:tc>
        <w:tc>
          <w:tcPr>
            <w:tcW w:w="0" w:type="auto"/>
            <w:tcBorders>
              <w:top w:val="single" w:sz="4" w:space="0" w:color="auto"/>
              <w:left w:val="nil"/>
              <w:bottom w:val="single" w:sz="4" w:space="0" w:color="auto"/>
              <w:right w:val="nil"/>
            </w:tcBorders>
            <w:vAlign w:val="center"/>
            <w:hideMark/>
          </w:tcPr>
          <w:p w14:paraId="72D7F8A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254,318</w:t>
            </w:r>
          </w:p>
        </w:tc>
        <w:tc>
          <w:tcPr>
            <w:tcW w:w="0" w:type="auto"/>
            <w:tcBorders>
              <w:top w:val="single" w:sz="4" w:space="0" w:color="auto"/>
              <w:left w:val="nil"/>
              <w:bottom w:val="single" w:sz="4" w:space="0" w:color="auto"/>
              <w:right w:val="nil"/>
            </w:tcBorders>
            <w:vAlign w:val="center"/>
            <w:hideMark/>
          </w:tcPr>
          <w:p w14:paraId="626BB3F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266,991</w:t>
            </w:r>
          </w:p>
        </w:tc>
        <w:tc>
          <w:tcPr>
            <w:tcW w:w="0" w:type="auto"/>
            <w:tcBorders>
              <w:top w:val="single" w:sz="4" w:space="0" w:color="auto"/>
              <w:left w:val="nil"/>
              <w:bottom w:val="single" w:sz="4" w:space="0" w:color="auto"/>
              <w:right w:val="nil"/>
            </w:tcBorders>
            <w:vAlign w:val="center"/>
            <w:hideMark/>
          </w:tcPr>
          <w:p w14:paraId="58E4616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265,074</w:t>
            </w:r>
          </w:p>
        </w:tc>
        <w:tc>
          <w:tcPr>
            <w:tcW w:w="0" w:type="auto"/>
            <w:tcBorders>
              <w:top w:val="single" w:sz="4" w:space="0" w:color="auto"/>
              <w:left w:val="nil"/>
              <w:bottom w:val="single" w:sz="4" w:space="0" w:color="auto"/>
              <w:right w:val="nil"/>
            </w:tcBorders>
            <w:vAlign w:val="center"/>
            <w:hideMark/>
          </w:tcPr>
          <w:p w14:paraId="4C796F4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277,131</w:t>
            </w:r>
          </w:p>
        </w:tc>
        <w:tc>
          <w:tcPr>
            <w:tcW w:w="0" w:type="auto"/>
            <w:tcBorders>
              <w:top w:val="single" w:sz="4" w:space="0" w:color="auto"/>
              <w:left w:val="nil"/>
              <w:bottom w:val="single" w:sz="4" w:space="0" w:color="auto"/>
              <w:right w:val="nil"/>
            </w:tcBorders>
            <w:vAlign w:val="center"/>
            <w:hideMark/>
          </w:tcPr>
          <w:p w14:paraId="69ADEB5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269,446</w:t>
            </w:r>
          </w:p>
        </w:tc>
        <w:tc>
          <w:tcPr>
            <w:tcW w:w="0" w:type="auto"/>
            <w:tcBorders>
              <w:top w:val="single" w:sz="4" w:space="0" w:color="auto"/>
              <w:left w:val="nil"/>
              <w:bottom w:val="single" w:sz="4" w:space="0" w:color="auto"/>
              <w:right w:val="nil"/>
            </w:tcBorders>
            <w:vAlign w:val="center"/>
            <w:hideMark/>
          </w:tcPr>
          <w:p w14:paraId="502AB44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279,378</w:t>
            </w:r>
          </w:p>
        </w:tc>
        <w:tc>
          <w:tcPr>
            <w:tcW w:w="0" w:type="auto"/>
            <w:tcBorders>
              <w:top w:val="single" w:sz="4" w:space="0" w:color="auto"/>
              <w:left w:val="nil"/>
              <w:bottom w:val="single" w:sz="4" w:space="0" w:color="auto"/>
              <w:right w:val="nil"/>
            </w:tcBorders>
            <w:vAlign w:val="center"/>
            <w:hideMark/>
          </w:tcPr>
          <w:p w14:paraId="11523CA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289,510</w:t>
            </w:r>
          </w:p>
        </w:tc>
        <w:tc>
          <w:tcPr>
            <w:tcW w:w="0" w:type="auto"/>
            <w:tcBorders>
              <w:top w:val="single" w:sz="4" w:space="0" w:color="auto"/>
              <w:left w:val="nil"/>
              <w:bottom w:val="single" w:sz="4" w:space="0" w:color="auto"/>
              <w:right w:val="nil"/>
            </w:tcBorders>
            <w:vAlign w:val="center"/>
            <w:hideMark/>
          </w:tcPr>
          <w:p w14:paraId="1AED324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302,858</w:t>
            </w:r>
          </w:p>
        </w:tc>
        <w:tc>
          <w:tcPr>
            <w:tcW w:w="0" w:type="auto"/>
            <w:tcBorders>
              <w:top w:val="single" w:sz="4" w:space="0" w:color="auto"/>
              <w:left w:val="nil"/>
              <w:bottom w:val="single" w:sz="4" w:space="0" w:color="auto"/>
              <w:right w:val="nil"/>
            </w:tcBorders>
            <w:vAlign w:val="center"/>
            <w:hideMark/>
          </w:tcPr>
          <w:p w14:paraId="18AF7BD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312,290</w:t>
            </w:r>
          </w:p>
        </w:tc>
      </w:tr>
      <w:tr w:rsidR="00F552AD" w:rsidRPr="00F552AD" w14:paraId="108DE745" w14:textId="77777777" w:rsidTr="00347DFC">
        <w:trPr>
          <w:trHeight w:val="260"/>
        </w:trPr>
        <w:tc>
          <w:tcPr>
            <w:tcW w:w="0" w:type="auto"/>
            <w:tcBorders>
              <w:top w:val="nil"/>
              <w:left w:val="nil"/>
              <w:bottom w:val="nil"/>
              <w:right w:val="nil"/>
            </w:tcBorders>
            <w:hideMark/>
          </w:tcPr>
          <w:p w14:paraId="4F8A2F6D"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034A500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54EBDCF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7788450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41CCD37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69DA5A3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78C4013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126E8F6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367FBA0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5D10A26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6233B0B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740F787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r>
      <w:tr w:rsidR="00F552AD" w:rsidRPr="00F552AD" w14:paraId="2704FE05" w14:textId="77777777" w:rsidTr="00347DFC">
        <w:trPr>
          <w:trHeight w:val="260"/>
        </w:trPr>
        <w:tc>
          <w:tcPr>
            <w:tcW w:w="0" w:type="auto"/>
            <w:tcBorders>
              <w:top w:val="nil"/>
              <w:left w:val="nil"/>
              <w:bottom w:val="nil"/>
              <w:right w:val="nil"/>
            </w:tcBorders>
            <w:hideMark/>
          </w:tcPr>
          <w:p w14:paraId="2EEDFACA"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Expenses</w:t>
            </w:r>
          </w:p>
        </w:tc>
        <w:tc>
          <w:tcPr>
            <w:tcW w:w="0" w:type="auto"/>
            <w:tcBorders>
              <w:top w:val="nil"/>
              <w:left w:val="nil"/>
              <w:bottom w:val="nil"/>
              <w:right w:val="nil"/>
            </w:tcBorders>
            <w:vAlign w:val="center"/>
            <w:hideMark/>
          </w:tcPr>
          <w:p w14:paraId="7ABADE1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6DE7EA5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75168D9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7D4275F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79B3EFF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070A17A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293AF0D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553602E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141B3F5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745A1FD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40841AC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r>
      <w:tr w:rsidR="00F552AD" w:rsidRPr="00F552AD" w14:paraId="2EFCA63C" w14:textId="77777777" w:rsidTr="00347DFC">
        <w:trPr>
          <w:trHeight w:val="260"/>
        </w:trPr>
        <w:tc>
          <w:tcPr>
            <w:tcW w:w="0" w:type="auto"/>
            <w:tcBorders>
              <w:top w:val="nil"/>
              <w:left w:val="nil"/>
              <w:bottom w:val="nil"/>
              <w:right w:val="nil"/>
            </w:tcBorders>
            <w:hideMark/>
          </w:tcPr>
          <w:p w14:paraId="0591CD9A"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Employee costs</w:t>
            </w:r>
          </w:p>
        </w:tc>
        <w:tc>
          <w:tcPr>
            <w:tcW w:w="0" w:type="auto"/>
            <w:tcBorders>
              <w:top w:val="nil"/>
              <w:left w:val="nil"/>
              <w:bottom w:val="nil"/>
              <w:right w:val="nil"/>
            </w:tcBorders>
            <w:vAlign w:val="center"/>
            <w:hideMark/>
          </w:tcPr>
          <w:p w14:paraId="458940D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59,963</w:t>
            </w:r>
          </w:p>
        </w:tc>
        <w:tc>
          <w:tcPr>
            <w:tcW w:w="0" w:type="auto"/>
            <w:tcBorders>
              <w:top w:val="nil"/>
              <w:left w:val="nil"/>
              <w:bottom w:val="nil"/>
              <w:right w:val="nil"/>
            </w:tcBorders>
            <w:vAlign w:val="center"/>
            <w:hideMark/>
          </w:tcPr>
          <w:p w14:paraId="3D8A802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61,296</w:t>
            </w:r>
          </w:p>
        </w:tc>
        <w:tc>
          <w:tcPr>
            <w:tcW w:w="0" w:type="auto"/>
            <w:tcBorders>
              <w:top w:val="nil"/>
              <w:left w:val="nil"/>
              <w:bottom w:val="nil"/>
              <w:right w:val="nil"/>
            </w:tcBorders>
            <w:vAlign w:val="center"/>
            <w:hideMark/>
          </w:tcPr>
          <w:p w14:paraId="0562590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65,802</w:t>
            </w:r>
          </w:p>
        </w:tc>
        <w:tc>
          <w:tcPr>
            <w:tcW w:w="0" w:type="auto"/>
            <w:tcBorders>
              <w:top w:val="nil"/>
              <w:left w:val="nil"/>
              <w:bottom w:val="nil"/>
              <w:right w:val="nil"/>
            </w:tcBorders>
            <w:vAlign w:val="center"/>
            <w:hideMark/>
          </w:tcPr>
          <w:p w14:paraId="28FDBEE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70,645</w:t>
            </w:r>
          </w:p>
        </w:tc>
        <w:tc>
          <w:tcPr>
            <w:tcW w:w="0" w:type="auto"/>
            <w:tcBorders>
              <w:top w:val="nil"/>
              <w:left w:val="nil"/>
              <w:bottom w:val="nil"/>
              <w:right w:val="nil"/>
            </w:tcBorders>
            <w:vAlign w:val="center"/>
            <w:hideMark/>
          </w:tcPr>
          <w:p w14:paraId="2992671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73,422</w:t>
            </w:r>
          </w:p>
        </w:tc>
        <w:tc>
          <w:tcPr>
            <w:tcW w:w="0" w:type="auto"/>
            <w:tcBorders>
              <w:top w:val="nil"/>
              <w:left w:val="nil"/>
              <w:bottom w:val="nil"/>
              <w:right w:val="nil"/>
            </w:tcBorders>
            <w:vAlign w:val="center"/>
            <w:hideMark/>
          </w:tcPr>
          <w:p w14:paraId="70897A6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76,310</w:t>
            </w:r>
          </w:p>
        </w:tc>
        <w:tc>
          <w:tcPr>
            <w:tcW w:w="0" w:type="auto"/>
            <w:tcBorders>
              <w:top w:val="nil"/>
              <w:left w:val="nil"/>
              <w:bottom w:val="nil"/>
              <w:right w:val="nil"/>
            </w:tcBorders>
            <w:vAlign w:val="center"/>
            <w:hideMark/>
          </w:tcPr>
          <w:p w14:paraId="652A93B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79,313</w:t>
            </w:r>
          </w:p>
        </w:tc>
        <w:tc>
          <w:tcPr>
            <w:tcW w:w="0" w:type="auto"/>
            <w:tcBorders>
              <w:top w:val="nil"/>
              <w:left w:val="nil"/>
              <w:bottom w:val="nil"/>
              <w:right w:val="nil"/>
            </w:tcBorders>
            <w:vAlign w:val="center"/>
            <w:hideMark/>
          </w:tcPr>
          <w:p w14:paraId="2D71D7E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82,437</w:t>
            </w:r>
          </w:p>
        </w:tc>
        <w:tc>
          <w:tcPr>
            <w:tcW w:w="0" w:type="auto"/>
            <w:tcBorders>
              <w:top w:val="nil"/>
              <w:left w:val="nil"/>
              <w:bottom w:val="nil"/>
              <w:right w:val="nil"/>
            </w:tcBorders>
            <w:vAlign w:val="center"/>
            <w:hideMark/>
          </w:tcPr>
          <w:p w14:paraId="0373AB0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85,686</w:t>
            </w:r>
          </w:p>
        </w:tc>
        <w:tc>
          <w:tcPr>
            <w:tcW w:w="0" w:type="auto"/>
            <w:tcBorders>
              <w:top w:val="nil"/>
              <w:left w:val="nil"/>
              <w:bottom w:val="nil"/>
              <w:right w:val="nil"/>
            </w:tcBorders>
            <w:vAlign w:val="center"/>
            <w:hideMark/>
          </w:tcPr>
          <w:p w14:paraId="07741E2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89,064</w:t>
            </w:r>
          </w:p>
        </w:tc>
        <w:tc>
          <w:tcPr>
            <w:tcW w:w="0" w:type="auto"/>
            <w:tcBorders>
              <w:top w:val="nil"/>
              <w:left w:val="nil"/>
              <w:bottom w:val="nil"/>
              <w:right w:val="nil"/>
            </w:tcBorders>
            <w:vAlign w:val="center"/>
            <w:hideMark/>
          </w:tcPr>
          <w:p w14:paraId="0CB5A16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92,578</w:t>
            </w:r>
          </w:p>
        </w:tc>
      </w:tr>
      <w:tr w:rsidR="00F552AD" w:rsidRPr="00F552AD" w14:paraId="1363FCBE" w14:textId="77777777" w:rsidTr="00347DFC">
        <w:trPr>
          <w:trHeight w:val="260"/>
        </w:trPr>
        <w:tc>
          <w:tcPr>
            <w:tcW w:w="0" w:type="auto"/>
            <w:tcBorders>
              <w:top w:val="nil"/>
              <w:left w:val="nil"/>
              <w:bottom w:val="nil"/>
              <w:right w:val="nil"/>
            </w:tcBorders>
            <w:hideMark/>
          </w:tcPr>
          <w:p w14:paraId="2D8214C7"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Materials and services</w:t>
            </w:r>
          </w:p>
        </w:tc>
        <w:tc>
          <w:tcPr>
            <w:tcW w:w="0" w:type="auto"/>
            <w:tcBorders>
              <w:top w:val="nil"/>
              <w:left w:val="nil"/>
              <w:bottom w:val="nil"/>
              <w:right w:val="nil"/>
            </w:tcBorders>
            <w:vAlign w:val="center"/>
            <w:hideMark/>
          </w:tcPr>
          <w:p w14:paraId="7263ECF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81,624</w:t>
            </w:r>
          </w:p>
        </w:tc>
        <w:tc>
          <w:tcPr>
            <w:tcW w:w="0" w:type="auto"/>
            <w:tcBorders>
              <w:top w:val="nil"/>
              <w:left w:val="nil"/>
              <w:bottom w:val="nil"/>
              <w:right w:val="nil"/>
            </w:tcBorders>
            <w:vAlign w:val="center"/>
            <w:hideMark/>
          </w:tcPr>
          <w:p w14:paraId="7E875F7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78,518</w:t>
            </w:r>
          </w:p>
        </w:tc>
        <w:tc>
          <w:tcPr>
            <w:tcW w:w="0" w:type="auto"/>
            <w:tcBorders>
              <w:top w:val="nil"/>
              <w:left w:val="nil"/>
              <w:bottom w:val="nil"/>
              <w:right w:val="nil"/>
            </w:tcBorders>
            <w:vAlign w:val="center"/>
            <w:hideMark/>
          </w:tcPr>
          <w:p w14:paraId="2A65D22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82,084</w:t>
            </w:r>
          </w:p>
        </w:tc>
        <w:tc>
          <w:tcPr>
            <w:tcW w:w="0" w:type="auto"/>
            <w:tcBorders>
              <w:top w:val="nil"/>
              <w:left w:val="nil"/>
              <w:bottom w:val="nil"/>
              <w:right w:val="nil"/>
            </w:tcBorders>
            <w:vAlign w:val="center"/>
            <w:hideMark/>
          </w:tcPr>
          <w:p w14:paraId="1F3C53D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85,813</w:t>
            </w:r>
          </w:p>
        </w:tc>
        <w:tc>
          <w:tcPr>
            <w:tcW w:w="0" w:type="auto"/>
            <w:tcBorders>
              <w:top w:val="nil"/>
              <w:left w:val="nil"/>
              <w:bottom w:val="nil"/>
              <w:right w:val="nil"/>
            </w:tcBorders>
            <w:vAlign w:val="center"/>
            <w:hideMark/>
          </w:tcPr>
          <w:p w14:paraId="686892D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89,711</w:t>
            </w:r>
          </w:p>
        </w:tc>
        <w:tc>
          <w:tcPr>
            <w:tcW w:w="0" w:type="auto"/>
            <w:tcBorders>
              <w:top w:val="nil"/>
              <w:left w:val="nil"/>
              <w:bottom w:val="nil"/>
              <w:right w:val="nil"/>
            </w:tcBorders>
            <w:vAlign w:val="center"/>
            <w:hideMark/>
          </w:tcPr>
          <w:p w14:paraId="0ED5AC4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93,787</w:t>
            </w:r>
          </w:p>
        </w:tc>
        <w:tc>
          <w:tcPr>
            <w:tcW w:w="0" w:type="auto"/>
            <w:tcBorders>
              <w:top w:val="nil"/>
              <w:left w:val="nil"/>
              <w:bottom w:val="nil"/>
              <w:right w:val="nil"/>
            </w:tcBorders>
            <w:vAlign w:val="center"/>
            <w:hideMark/>
          </w:tcPr>
          <w:p w14:paraId="363FE54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98,048</w:t>
            </w:r>
          </w:p>
        </w:tc>
        <w:tc>
          <w:tcPr>
            <w:tcW w:w="0" w:type="auto"/>
            <w:tcBorders>
              <w:top w:val="nil"/>
              <w:left w:val="nil"/>
              <w:bottom w:val="nil"/>
              <w:right w:val="nil"/>
            </w:tcBorders>
            <w:vAlign w:val="center"/>
            <w:hideMark/>
          </w:tcPr>
          <w:p w14:paraId="4C4BD6C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102,503</w:t>
            </w:r>
          </w:p>
        </w:tc>
        <w:tc>
          <w:tcPr>
            <w:tcW w:w="0" w:type="auto"/>
            <w:tcBorders>
              <w:top w:val="nil"/>
              <w:left w:val="nil"/>
              <w:bottom w:val="nil"/>
              <w:right w:val="nil"/>
            </w:tcBorders>
            <w:vAlign w:val="center"/>
            <w:hideMark/>
          </w:tcPr>
          <w:p w14:paraId="147C093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107,161</w:t>
            </w:r>
          </w:p>
        </w:tc>
        <w:tc>
          <w:tcPr>
            <w:tcW w:w="0" w:type="auto"/>
            <w:tcBorders>
              <w:top w:val="nil"/>
              <w:left w:val="nil"/>
              <w:bottom w:val="nil"/>
              <w:right w:val="nil"/>
            </w:tcBorders>
            <w:vAlign w:val="center"/>
            <w:hideMark/>
          </w:tcPr>
          <w:p w14:paraId="7579F97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112,032</w:t>
            </w:r>
          </w:p>
        </w:tc>
        <w:tc>
          <w:tcPr>
            <w:tcW w:w="0" w:type="auto"/>
            <w:tcBorders>
              <w:top w:val="nil"/>
              <w:left w:val="nil"/>
              <w:bottom w:val="nil"/>
              <w:right w:val="nil"/>
            </w:tcBorders>
            <w:vAlign w:val="center"/>
            <w:hideMark/>
          </w:tcPr>
          <w:p w14:paraId="6364217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117,124</w:t>
            </w:r>
          </w:p>
        </w:tc>
      </w:tr>
      <w:tr w:rsidR="00F552AD" w:rsidRPr="00F552AD" w14:paraId="48B0F381" w14:textId="77777777" w:rsidTr="00347DFC">
        <w:trPr>
          <w:trHeight w:val="260"/>
        </w:trPr>
        <w:tc>
          <w:tcPr>
            <w:tcW w:w="0" w:type="auto"/>
            <w:tcBorders>
              <w:top w:val="nil"/>
              <w:left w:val="nil"/>
              <w:bottom w:val="nil"/>
              <w:right w:val="nil"/>
            </w:tcBorders>
            <w:hideMark/>
          </w:tcPr>
          <w:p w14:paraId="7DE3AED4"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Depreciation</w:t>
            </w:r>
          </w:p>
        </w:tc>
        <w:tc>
          <w:tcPr>
            <w:tcW w:w="0" w:type="auto"/>
            <w:tcBorders>
              <w:top w:val="nil"/>
              <w:left w:val="nil"/>
              <w:bottom w:val="nil"/>
              <w:right w:val="nil"/>
            </w:tcBorders>
            <w:vAlign w:val="center"/>
            <w:hideMark/>
          </w:tcPr>
          <w:p w14:paraId="22B708D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29,718</w:t>
            </w:r>
          </w:p>
        </w:tc>
        <w:tc>
          <w:tcPr>
            <w:tcW w:w="0" w:type="auto"/>
            <w:tcBorders>
              <w:top w:val="nil"/>
              <w:left w:val="nil"/>
              <w:bottom w:val="nil"/>
              <w:right w:val="nil"/>
            </w:tcBorders>
            <w:vAlign w:val="center"/>
            <w:hideMark/>
          </w:tcPr>
          <w:p w14:paraId="62DB8D8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32,568</w:t>
            </w:r>
          </w:p>
        </w:tc>
        <w:tc>
          <w:tcPr>
            <w:tcW w:w="0" w:type="auto"/>
            <w:tcBorders>
              <w:top w:val="nil"/>
              <w:left w:val="nil"/>
              <w:bottom w:val="nil"/>
              <w:right w:val="nil"/>
            </w:tcBorders>
            <w:vAlign w:val="center"/>
            <w:hideMark/>
          </w:tcPr>
          <w:p w14:paraId="1BD24BD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32,874</w:t>
            </w:r>
          </w:p>
        </w:tc>
        <w:tc>
          <w:tcPr>
            <w:tcW w:w="0" w:type="auto"/>
            <w:tcBorders>
              <w:top w:val="nil"/>
              <w:left w:val="nil"/>
              <w:bottom w:val="nil"/>
              <w:right w:val="nil"/>
            </w:tcBorders>
            <w:vAlign w:val="center"/>
            <w:hideMark/>
          </w:tcPr>
          <w:p w14:paraId="6DB3527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34,449</w:t>
            </w:r>
          </w:p>
        </w:tc>
        <w:tc>
          <w:tcPr>
            <w:tcW w:w="0" w:type="auto"/>
            <w:tcBorders>
              <w:top w:val="nil"/>
              <w:left w:val="nil"/>
              <w:bottom w:val="nil"/>
              <w:right w:val="nil"/>
            </w:tcBorders>
            <w:vAlign w:val="center"/>
            <w:hideMark/>
          </w:tcPr>
          <w:p w14:paraId="13705CC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35,861</w:t>
            </w:r>
          </w:p>
        </w:tc>
        <w:tc>
          <w:tcPr>
            <w:tcW w:w="0" w:type="auto"/>
            <w:tcBorders>
              <w:top w:val="nil"/>
              <w:left w:val="nil"/>
              <w:bottom w:val="nil"/>
              <w:right w:val="nil"/>
            </w:tcBorders>
            <w:vAlign w:val="center"/>
            <w:hideMark/>
          </w:tcPr>
          <w:p w14:paraId="58A4105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37,956</w:t>
            </w:r>
          </w:p>
        </w:tc>
        <w:tc>
          <w:tcPr>
            <w:tcW w:w="0" w:type="auto"/>
            <w:tcBorders>
              <w:top w:val="nil"/>
              <w:left w:val="nil"/>
              <w:bottom w:val="nil"/>
              <w:right w:val="nil"/>
            </w:tcBorders>
            <w:vAlign w:val="center"/>
            <w:hideMark/>
          </w:tcPr>
          <w:p w14:paraId="2913AF7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39,626</w:t>
            </w:r>
          </w:p>
        </w:tc>
        <w:tc>
          <w:tcPr>
            <w:tcW w:w="0" w:type="auto"/>
            <w:tcBorders>
              <w:top w:val="nil"/>
              <w:left w:val="nil"/>
              <w:bottom w:val="nil"/>
              <w:right w:val="nil"/>
            </w:tcBorders>
            <w:vAlign w:val="center"/>
            <w:hideMark/>
          </w:tcPr>
          <w:p w14:paraId="733F94F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40,523</w:t>
            </w:r>
          </w:p>
        </w:tc>
        <w:tc>
          <w:tcPr>
            <w:tcW w:w="0" w:type="auto"/>
            <w:tcBorders>
              <w:top w:val="nil"/>
              <w:left w:val="nil"/>
              <w:bottom w:val="nil"/>
              <w:right w:val="nil"/>
            </w:tcBorders>
            <w:vAlign w:val="center"/>
            <w:hideMark/>
          </w:tcPr>
          <w:p w14:paraId="6941AF2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43,985</w:t>
            </w:r>
          </w:p>
        </w:tc>
        <w:tc>
          <w:tcPr>
            <w:tcW w:w="0" w:type="auto"/>
            <w:tcBorders>
              <w:top w:val="nil"/>
              <w:left w:val="nil"/>
              <w:bottom w:val="nil"/>
              <w:right w:val="nil"/>
            </w:tcBorders>
            <w:vAlign w:val="center"/>
            <w:hideMark/>
          </w:tcPr>
          <w:p w14:paraId="17EA321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45,036</w:t>
            </w:r>
          </w:p>
        </w:tc>
        <w:tc>
          <w:tcPr>
            <w:tcW w:w="0" w:type="auto"/>
            <w:tcBorders>
              <w:top w:val="nil"/>
              <w:left w:val="nil"/>
              <w:bottom w:val="nil"/>
              <w:right w:val="nil"/>
            </w:tcBorders>
            <w:vAlign w:val="center"/>
            <w:hideMark/>
          </w:tcPr>
          <w:p w14:paraId="0E90163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46,162</w:t>
            </w:r>
          </w:p>
        </w:tc>
      </w:tr>
      <w:tr w:rsidR="00F552AD" w:rsidRPr="00F552AD" w14:paraId="62AC7083" w14:textId="77777777" w:rsidTr="00347DFC">
        <w:trPr>
          <w:trHeight w:val="260"/>
        </w:trPr>
        <w:tc>
          <w:tcPr>
            <w:tcW w:w="0" w:type="auto"/>
            <w:tcBorders>
              <w:top w:val="nil"/>
              <w:left w:val="nil"/>
              <w:bottom w:val="nil"/>
              <w:right w:val="nil"/>
            </w:tcBorders>
            <w:hideMark/>
          </w:tcPr>
          <w:p w14:paraId="477A6631"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Amortisation - intangible assets</w:t>
            </w:r>
          </w:p>
        </w:tc>
        <w:tc>
          <w:tcPr>
            <w:tcW w:w="0" w:type="auto"/>
            <w:tcBorders>
              <w:top w:val="nil"/>
              <w:left w:val="nil"/>
              <w:bottom w:val="nil"/>
              <w:right w:val="nil"/>
            </w:tcBorders>
            <w:vAlign w:val="center"/>
            <w:hideMark/>
          </w:tcPr>
          <w:p w14:paraId="3DAF46D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163</w:t>
            </w:r>
          </w:p>
        </w:tc>
        <w:tc>
          <w:tcPr>
            <w:tcW w:w="0" w:type="auto"/>
            <w:tcBorders>
              <w:top w:val="nil"/>
              <w:left w:val="nil"/>
              <w:bottom w:val="nil"/>
              <w:right w:val="nil"/>
            </w:tcBorders>
            <w:vAlign w:val="center"/>
            <w:hideMark/>
          </w:tcPr>
          <w:p w14:paraId="083D3BD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155</w:t>
            </w:r>
          </w:p>
        </w:tc>
        <w:tc>
          <w:tcPr>
            <w:tcW w:w="0" w:type="auto"/>
            <w:tcBorders>
              <w:top w:val="nil"/>
              <w:left w:val="nil"/>
              <w:bottom w:val="nil"/>
              <w:right w:val="nil"/>
            </w:tcBorders>
            <w:vAlign w:val="center"/>
            <w:hideMark/>
          </w:tcPr>
          <w:p w14:paraId="302D4E2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145</w:t>
            </w:r>
          </w:p>
        </w:tc>
        <w:tc>
          <w:tcPr>
            <w:tcW w:w="0" w:type="auto"/>
            <w:tcBorders>
              <w:top w:val="nil"/>
              <w:left w:val="nil"/>
              <w:bottom w:val="nil"/>
              <w:right w:val="nil"/>
            </w:tcBorders>
            <w:vAlign w:val="center"/>
            <w:hideMark/>
          </w:tcPr>
          <w:p w14:paraId="551BAD4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107</w:t>
            </w:r>
          </w:p>
        </w:tc>
        <w:tc>
          <w:tcPr>
            <w:tcW w:w="0" w:type="auto"/>
            <w:tcBorders>
              <w:top w:val="nil"/>
              <w:left w:val="nil"/>
              <w:bottom w:val="nil"/>
              <w:right w:val="nil"/>
            </w:tcBorders>
            <w:vAlign w:val="center"/>
            <w:hideMark/>
          </w:tcPr>
          <w:p w14:paraId="21D3030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107</w:t>
            </w:r>
          </w:p>
        </w:tc>
        <w:tc>
          <w:tcPr>
            <w:tcW w:w="0" w:type="auto"/>
            <w:tcBorders>
              <w:top w:val="nil"/>
              <w:left w:val="nil"/>
              <w:bottom w:val="nil"/>
              <w:right w:val="nil"/>
            </w:tcBorders>
            <w:vAlign w:val="center"/>
            <w:hideMark/>
          </w:tcPr>
          <w:p w14:paraId="372766D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107</w:t>
            </w:r>
          </w:p>
        </w:tc>
        <w:tc>
          <w:tcPr>
            <w:tcW w:w="0" w:type="auto"/>
            <w:tcBorders>
              <w:top w:val="nil"/>
              <w:left w:val="nil"/>
              <w:bottom w:val="nil"/>
              <w:right w:val="nil"/>
            </w:tcBorders>
            <w:vAlign w:val="center"/>
            <w:hideMark/>
          </w:tcPr>
          <w:p w14:paraId="7DA18E1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107</w:t>
            </w:r>
          </w:p>
        </w:tc>
        <w:tc>
          <w:tcPr>
            <w:tcW w:w="0" w:type="auto"/>
            <w:tcBorders>
              <w:top w:val="nil"/>
              <w:left w:val="nil"/>
              <w:bottom w:val="nil"/>
              <w:right w:val="nil"/>
            </w:tcBorders>
            <w:vAlign w:val="center"/>
            <w:hideMark/>
          </w:tcPr>
          <w:p w14:paraId="39D4DA7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107</w:t>
            </w:r>
          </w:p>
        </w:tc>
        <w:tc>
          <w:tcPr>
            <w:tcW w:w="0" w:type="auto"/>
            <w:tcBorders>
              <w:top w:val="nil"/>
              <w:left w:val="nil"/>
              <w:bottom w:val="nil"/>
              <w:right w:val="nil"/>
            </w:tcBorders>
            <w:vAlign w:val="center"/>
            <w:hideMark/>
          </w:tcPr>
          <w:p w14:paraId="35CE572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107</w:t>
            </w:r>
          </w:p>
        </w:tc>
        <w:tc>
          <w:tcPr>
            <w:tcW w:w="0" w:type="auto"/>
            <w:tcBorders>
              <w:top w:val="nil"/>
              <w:left w:val="nil"/>
              <w:bottom w:val="nil"/>
              <w:right w:val="nil"/>
            </w:tcBorders>
            <w:vAlign w:val="center"/>
            <w:hideMark/>
          </w:tcPr>
          <w:p w14:paraId="47F2756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107</w:t>
            </w:r>
          </w:p>
        </w:tc>
        <w:tc>
          <w:tcPr>
            <w:tcW w:w="0" w:type="auto"/>
            <w:tcBorders>
              <w:top w:val="nil"/>
              <w:left w:val="nil"/>
              <w:bottom w:val="nil"/>
              <w:right w:val="nil"/>
            </w:tcBorders>
            <w:vAlign w:val="center"/>
            <w:hideMark/>
          </w:tcPr>
          <w:p w14:paraId="3B8E71B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107</w:t>
            </w:r>
          </w:p>
        </w:tc>
      </w:tr>
      <w:tr w:rsidR="00F552AD" w:rsidRPr="00F552AD" w14:paraId="09F40D74" w14:textId="77777777" w:rsidTr="00347DFC">
        <w:trPr>
          <w:trHeight w:val="260"/>
        </w:trPr>
        <w:tc>
          <w:tcPr>
            <w:tcW w:w="0" w:type="auto"/>
            <w:tcBorders>
              <w:top w:val="nil"/>
              <w:left w:val="nil"/>
              <w:bottom w:val="nil"/>
              <w:right w:val="nil"/>
            </w:tcBorders>
            <w:hideMark/>
          </w:tcPr>
          <w:p w14:paraId="0C6529EF"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Depreciation - right of use assets</w:t>
            </w:r>
          </w:p>
        </w:tc>
        <w:tc>
          <w:tcPr>
            <w:tcW w:w="0" w:type="auto"/>
            <w:tcBorders>
              <w:top w:val="nil"/>
              <w:left w:val="nil"/>
              <w:bottom w:val="nil"/>
              <w:right w:val="nil"/>
            </w:tcBorders>
            <w:vAlign w:val="center"/>
            <w:hideMark/>
          </w:tcPr>
          <w:p w14:paraId="20066F3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435</w:t>
            </w:r>
          </w:p>
        </w:tc>
        <w:tc>
          <w:tcPr>
            <w:tcW w:w="0" w:type="auto"/>
            <w:tcBorders>
              <w:top w:val="nil"/>
              <w:left w:val="nil"/>
              <w:bottom w:val="nil"/>
              <w:right w:val="nil"/>
            </w:tcBorders>
            <w:vAlign w:val="center"/>
            <w:hideMark/>
          </w:tcPr>
          <w:p w14:paraId="31E5966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520</w:t>
            </w:r>
          </w:p>
        </w:tc>
        <w:tc>
          <w:tcPr>
            <w:tcW w:w="0" w:type="auto"/>
            <w:tcBorders>
              <w:top w:val="nil"/>
              <w:left w:val="nil"/>
              <w:bottom w:val="nil"/>
              <w:right w:val="nil"/>
            </w:tcBorders>
            <w:vAlign w:val="center"/>
            <w:hideMark/>
          </w:tcPr>
          <w:p w14:paraId="4FC8C0B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520</w:t>
            </w:r>
          </w:p>
        </w:tc>
        <w:tc>
          <w:tcPr>
            <w:tcW w:w="0" w:type="auto"/>
            <w:tcBorders>
              <w:top w:val="nil"/>
              <w:left w:val="nil"/>
              <w:bottom w:val="nil"/>
              <w:right w:val="nil"/>
            </w:tcBorders>
            <w:vAlign w:val="center"/>
            <w:hideMark/>
          </w:tcPr>
          <w:p w14:paraId="6395321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520</w:t>
            </w:r>
          </w:p>
        </w:tc>
        <w:tc>
          <w:tcPr>
            <w:tcW w:w="0" w:type="auto"/>
            <w:tcBorders>
              <w:top w:val="nil"/>
              <w:left w:val="nil"/>
              <w:bottom w:val="nil"/>
              <w:right w:val="nil"/>
            </w:tcBorders>
            <w:vAlign w:val="center"/>
            <w:hideMark/>
          </w:tcPr>
          <w:p w14:paraId="6DB0B7B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520</w:t>
            </w:r>
          </w:p>
        </w:tc>
        <w:tc>
          <w:tcPr>
            <w:tcW w:w="0" w:type="auto"/>
            <w:tcBorders>
              <w:top w:val="nil"/>
              <w:left w:val="nil"/>
              <w:bottom w:val="nil"/>
              <w:right w:val="nil"/>
            </w:tcBorders>
            <w:vAlign w:val="center"/>
            <w:hideMark/>
          </w:tcPr>
          <w:p w14:paraId="2F84A2E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0E6A2D0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1A4ED08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5CA249C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58F4E10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4569E14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r>
      <w:tr w:rsidR="00F552AD" w:rsidRPr="00F552AD" w14:paraId="182EC83B" w14:textId="77777777" w:rsidTr="00347DFC">
        <w:trPr>
          <w:trHeight w:val="260"/>
        </w:trPr>
        <w:tc>
          <w:tcPr>
            <w:tcW w:w="0" w:type="auto"/>
            <w:tcBorders>
              <w:top w:val="nil"/>
              <w:left w:val="nil"/>
              <w:bottom w:val="nil"/>
              <w:right w:val="nil"/>
            </w:tcBorders>
            <w:hideMark/>
          </w:tcPr>
          <w:p w14:paraId="72B4D881"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Allowance for impairment losses</w:t>
            </w:r>
          </w:p>
        </w:tc>
        <w:tc>
          <w:tcPr>
            <w:tcW w:w="0" w:type="auto"/>
            <w:tcBorders>
              <w:top w:val="nil"/>
              <w:left w:val="nil"/>
              <w:bottom w:val="nil"/>
              <w:right w:val="nil"/>
            </w:tcBorders>
            <w:vAlign w:val="center"/>
            <w:hideMark/>
          </w:tcPr>
          <w:p w14:paraId="1EE2C40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347</w:t>
            </w:r>
          </w:p>
        </w:tc>
        <w:tc>
          <w:tcPr>
            <w:tcW w:w="0" w:type="auto"/>
            <w:tcBorders>
              <w:top w:val="nil"/>
              <w:left w:val="nil"/>
              <w:bottom w:val="nil"/>
              <w:right w:val="nil"/>
            </w:tcBorders>
            <w:vAlign w:val="center"/>
            <w:hideMark/>
          </w:tcPr>
          <w:p w14:paraId="7C8606A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223</w:t>
            </w:r>
          </w:p>
        </w:tc>
        <w:tc>
          <w:tcPr>
            <w:tcW w:w="0" w:type="auto"/>
            <w:tcBorders>
              <w:top w:val="nil"/>
              <w:left w:val="nil"/>
              <w:bottom w:val="nil"/>
              <w:right w:val="nil"/>
            </w:tcBorders>
            <w:vAlign w:val="center"/>
            <w:hideMark/>
          </w:tcPr>
          <w:p w14:paraId="3CB9CF3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w:t>
            </w:r>
          </w:p>
        </w:tc>
        <w:tc>
          <w:tcPr>
            <w:tcW w:w="0" w:type="auto"/>
            <w:tcBorders>
              <w:top w:val="nil"/>
              <w:left w:val="nil"/>
              <w:bottom w:val="nil"/>
              <w:right w:val="nil"/>
            </w:tcBorders>
            <w:vAlign w:val="center"/>
            <w:hideMark/>
          </w:tcPr>
          <w:p w14:paraId="3F4E705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w:t>
            </w:r>
          </w:p>
        </w:tc>
        <w:tc>
          <w:tcPr>
            <w:tcW w:w="0" w:type="auto"/>
            <w:tcBorders>
              <w:top w:val="nil"/>
              <w:left w:val="nil"/>
              <w:bottom w:val="nil"/>
              <w:right w:val="nil"/>
            </w:tcBorders>
            <w:vAlign w:val="center"/>
            <w:hideMark/>
          </w:tcPr>
          <w:p w14:paraId="3F38251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w:t>
            </w:r>
          </w:p>
        </w:tc>
        <w:tc>
          <w:tcPr>
            <w:tcW w:w="0" w:type="auto"/>
            <w:tcBorders>
              <w:top w:val="nil"/>
              <w:left w:val="nil"/>
              <w:bottom w:val="nil"/>
              <w:right w:val="nil"/>
            </w:tcBorders>
            <w:vAlign w:val="center"/>
            <w:hideMark/>
          </w:tcPr>
          <w:p w14:paraId="67F32C9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w:t>
            </w:r>
          </w:p>
        </w:tc>
        <w:tc>
          <w:tcPr>
            <w:tcW w:w="0" w:type="auto"/>
            <w:tcBorders>
              <w:top w:val="nil"/>
              <w:left w:val="nil"/>
              <w:bottom w:val="nil"/>
              <w:right w:val="nil"/>
            </w:tcBorders>
            <w:vAlign w:val="center"/>
            <w:hideMark/>
          </w:tcPr>
          <w:p w14:paraId="7702326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w:t>
            </w:r>
          </w:p>
        </w:tc>
        <w:tc>
          <w:tcPr>
            <w:tcW w:w="0" w:type="auto"/>
            <w:tcBorders>
              <w:top w:val="nil"/>
              <w:left w:val="nil"/>
              <w:bottom w:val="nil"/>
              <w:right w:val="nil"/>
            </w:tcBorders>
            <w:vAlign w:val="center"/>
            <w:hideMark/>
          </w:tcPr>
          <w:p w14:paraId="2A55B22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w:t>
            </w:r>
          </w:p>
        </w:tc>
        <w:tc>
          <w:tcPr>
            <w:tcW w:w="0" w:type="auto"/>
            <w:tcBorders>
              <w:top w:val="nil"/>
              <w:left w:val="nil"/>
              <w:bottom w:val="nil"/>
              <w:right w:val="nil"/>
            </w:tcBorders>
            <w:vAlign w:val="center"/>
            <w:hideMark/>
          </w:tcPr>
          <w:p w14:paraId="34A0565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w:t>
            </w:r>
          </w:p>
        </w:tc>
        <w:tc>
          <w:tcPr>
            <w:tcW w:w="0" w:type="auto"/>
            <w:tcBorders>
              <w:top w:val="nil"/>
              <w:left w:val="nil"/>
              <w:bottom w:val="nil"/>
              <w:right w:val="nil"/>
            </w:tcBorders>
            <w:vAlign w:val="center"/>
            <w:hideMark/>
          </w:tcPr>
          <w:p w14:paraId="061C143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w:t>
            </w:r>
          </w:p>
        </w:tc>
        <w:tc>
          <w:tcPr>
            <w:tcW w:w="0" w:type="auto"/>
            <w:tcBorders>
              <w:top w:val="nil"/>
              <w:left w:val="nil"/>
              <w:bottom w:val="nil"/>
              <w:right w:val="nil"/>
            </w:tcBorders>
            <w:vAlign w:val="center"/>
            <w:hideMark/>
          </w:tcPr>
          <w:p w14:paraId="7E40D4C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w:t>
            </w:r>
          </w:p>
        </w:tc>
      </w:tr>
      <w:tr w:rsidR="00F552AD" w:rsidRPr="00F552AD" w14:paraId="331F41AC" w14:textId="77777777" w:rsidTr="00347DFC">
        <w:trPr>
          <w:trHeight w:val="260"/>
        </w:trPr>
        <w:tc>
          <w:tcPr>
            <w:tcW w:w="0" w:type="auto"/>
            <w:tcBorders>
              <w:top w:val="nil"/>
              <w:left w:val="nil"/>
              <w:bottom w:val="nil"/>
              <w:right w:val="nil"/>
            </w:tcBorders>
            <w:hideMark/>
          </w:tcPr>
          <w:p w14:paraId="55C44A49"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Borrowing costs</w:t>
            </w:r>
          </w:p>
        </w:tc>
        <w:tc>
          <w:tcPr>
            <w:tcW w:w="0" w:type="auto"/>
            <w:tcBorders>
              <w:top w:val="nil"/>
              <w:left w:val="nil"/>
              <w:bottom w:val="nil"/>
              <w:right w:val="nil"/>
            </w:tcBorders>
            <w:vAlign w:val="center"/>
            <w:hideMark/>
          </w:tcPr>
          <w:p w14:paraId="6662BDF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274</w:t>
            </w:r>
          </w:p>
        </w:tc>
        <w:tc>
          <w:tcPr>
            <w:tcW w:w="0" w:type="auto"/>
            <w:tcBorders>
              <w:top w:val="nil"/>
              <w:left w:val="nil"/>
              <w:bottom w:val="nil"/>
              <w:right w:val="nil"/>
            </w:tcBorders>
            <w:vAlign w:val="center"/>
            <w:hideMark/>
          </w:tcPr>
          <w:p w14:paraId="751E98B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915</w:t>
            </w:r>
          </w:p>
        </w:tc>
        <w:tc>
          <w:tcPr>
            <w:tcW w:w="0" w:type="auto"/>
            <w:tcBorders>
              <w:top w:val="nil"/>
              <w:left w:val="nil"/>
              <w:bottom w:val="nil"/>
              <w:right w:val="nil"/>
            </w:tcBorders>
            <w:vAlign w:val="center"/>
            <w:hideMark/>
          </w:tcPr>
          <w:p w14:paraId="31D5016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1,676</w:t>
            </w:r>
          </w:p>
        </w:tc>
        <w:tc>
          <w:tcPr>
            <w:tcW w:w="0" w:type="auto"/>
            <w:tcBorders>
              <w:top w:val="nil"/>
              <w:left w:val="nil"/>
              <w:bottom w:val="nil"/>
              <w:right w:val="nil"/>
            </w:tcBorders>
            <w:vAlign w:val="center"/>
            <w:hideMark/>
          </w:tcPr>
          <w:p w14:paraId="53A4190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2,554</w:t>
            </w:r>
          </w:p>
        </w:tc>
        <w:tc>
          <w:tcPr>
            <w:tcW w:w="0" w:type="auto"/>
            <w:tcBorders>
              <w:top w:val="nil"/>
              <w:left w:val="nil"/>
              <w:bottom w:val="nil"/>
              <w:right w:val="nil"/>
            </w:tcBorders>
            <w:vAlign w:val="center"/>
            <w:hideMark/>
          </w:tcPr>
          <w:p w14:paraId="5961BD8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3,301</w:t>
            </w:r>
          </w:p>
        </w:tc>
        <w:tc>
          <w:tcPr>
            <w:tcW w:w="0" w:type="auto"/>
            <w:tcBorders>
              <w:top w:val="nil"/>
              <w:left w:val="nil"/>
              <w:bottom w:val="nil"/>
              <w:right w:val="nil"/>
            </w:tcBorders>
            <w:vAlign w:val="center"/>
            <w:hideMark/>
          </w:tcPr>
          <w:p w14:paraId="15B0813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3,964</w:t>
            </w:r>
          </w:p>
        </w:tc>
        <w:tc>
          <w:tcPr>
            <w:tcW w:w="0" w:type="auto"/>
            <w:tcBorders>
              <w:top w:val="nil"/>
              <w:left w:val="nil"/>
              <w:bottom w:val="nil"/>
              <w:right w:val="nil"/>
            </w:tcBorders>
            <w:vAlign w:val="center"/>
            <w:hideMark/>
          </w:tcPr>
          <w:p w14:paraId="2F59018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3,714</w:t>
            </w:r>
          </w:p>
        </w:tc>
        <w:tc>
          <w:tcPr>
            <w:tcW w:w="0" w:type="auto"/>
            <w:tcBorders>
              <w:top w:val="nil"/>
              <w:left w:val="nil"/>
              <w:bottom w:val="nil"/>
              <w:right w:val="nil"/>
            </w:tcBorders>
            <w:vAlign w:val="center"/>
            <w:hideMark/>
          </w:tcPr>
          <w:p w14:paraId="049C71E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3,473</w:t>
            </w:r>
          </w:p>
        </w:tc>
        <w:tc>
          <w:tcPr>
            <w:tcW w:w="0" w:type="auto"/>
            <w:tcBorders>
              <w:top w:val="nil"/>
              <w:left w:val="nil"/>
              <w:bottom w:val="nil"/>
              <w:right w:val="nil"/>
            </w:tcBorders>
            <w:vAlign w:val="center"/>
            <w:hideMark/>
          </w:tcPr>
          <w:p w14:paraId="00C9BCC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3,138</w:t>
            </w:r>
          </w:p>
        </w:tc>
        <w:tc>
          <w:tcPr>
            <w:tcW w:w="0" w:type="auto"/>
            <w:tcBorders>
              <w:top w:val="nil"/>
              <w:left w:val="nil"/>
              <w:bottom w:val="nil"/>
              <w:right w:val="nil"/>
            </w:tcBorders>
            <w:vAlign w:val="center"/>
            <w:hideMark/>
          </w:tcPr>
          <w:p w14:paraId="565BD15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2,760</w:t>
            </w:r>
          </w:p>
        </w:tc>
        <w:tc>
          <w:tcPr>
            <w:tcW w:w="0" w:type="auto"/>
            <w:tcBorders>
              <w:top w:val="nil"/>
              <w:left w:val="nil"/>
              <w:bottom w:val="nil"/>
              <w:right w:val="nil"/>
            </w:tcBorders>
            <w:vAlign w:val="center"/>
            <w:hideMark/>
          </w:tcPr>
          <w:p w14:paraId="1B7A050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2,335</w:t>
            </w:r>
          </w:p>
        </w:tc>
      </w:tr>
      <w:tr w:rsidR="00F552AD" w:rsidRPr="00F552AD" w14:paraId="49846ACC" w14:textId="77777777" w:rsidTr="00347DFC">
        <w:trPr>
          <w:trHeight w:val="260"/>
        </w:trPr>
        <w:tc>
          <w:tcPr>
            <w:tcW w:w="0" w:type="auto"/>
            <w:tcBorders>
              <w:top w:val="nil"/>
              <w:left w:val="nil"/>
              <w:bottom w:val="nil"/>
              <w:right w:val="nil"/>
            </w:tcBorders>
            <w:hideMark/>
          </w:tcPr>
          <w:p w14:paraId="51272772"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Finance costs - leases</w:t>
            </w:r>
          </w:p>
        </w:tc>
        <w:tc>
          <w:tcPr>
            <w:tcW w:w="0" w:type="auto"/>
            <w:tcBorders>
              <w:top w:val="nil"/>
              <w:left w:val="nil"/>
              <w:bottom w:val="nil"/>
              <w:right w:val="nil"/>
            </w:tcBorders>
            <w:vAlign w:val="center"/>
            <w:hideMark/>
          </w:tcPr>
          <w:p w14:paraId="6621109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72</w:t>
            </w:r>
          </w:p>
        </w:tc>
        <w:tc>
          <w:tcPr>
            <w:tcW w:w="0" w:type="auto"/>
            <w:tcBorders>
              <w:top w:val="nil"/>
              <w:left w:val="nil"/>
              <w:bottom w:val="nil"/>
              <w:right w:val="nil"/>
            </w:tcBorders>
            <w:vAlign w:val="center"/>
            <w:hideMark/>
          </w:tcPr>
          <w:p w14:paraId="1D8631F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100</w:t>
            </w:r>
          </w:p>
        </w:tc>
        <w:tc>
          <w:tcPr>
            <w:tcW w:w="0" w:type="auto"/>
            <w:tcBorders>
              <w:top w:val="nil"/>
              <w:left w:val="nil"/>
              <w:bottom w:val="nil"/>
              <w:right w:val="nil"/>
            </w:tcBorders>
            <w:vAlign w:val="center"/>
            <w:hideMark/>
          </w:tcPr>
          <w:p w14:paraId="4037CB0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73</w:t>
            </w:r>
          </w:p>
        </w:tc>
        <w:tc>
          <w:tcPr>
            <w:tcW w:w="0" w:type="auto"/>
            <w:tcBorders>
              <w:top w:val="nil"/>
              <w:left w:val="nil"/>
              <w:bottom w:val="nil"/>
              <w:right w:val="nil"/>
            </w:tcBorders>
            <w:vAlign w:val="center"/>
            <w:hideMark/>
          </w:tcPr>
          <w:p w14:paraId="37741CB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46</w:t>
            </w:r>
          </w:p>
        </w:tc>
        <w:tc>
          <w:tcPr>
            <w:tcW w:w="0" w:type="auto"/>
            <w:tcBorders>
              <w:top w:val="nil"/>
              <w:left w:val="nil"/>
              <w:bottom w:val="nil"/>
              <w:right w:val="nil"/>
            </w:tcBorders>
            <w:vAlign w:val="center"/>
            <w:hideMark/>
          </w:tcPr>
          <w:p w14:paraId="7C7E5E2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16</w:t>
            </w:r>
          </w:p>
        </w:tc>
        <w:tc>
          <w:tcPr>
            <w:tcW w:w="0" w:type="auto"/>
            <w:tcBorders>
              <w:top w:val="nil"/>
              <w:left w:val="nil"/>
              <w:bottom w:val="nil"/>
              <w:right w:val="nil"/>
            </w:tcBorders>
            <w:vAlign w:val="center"/>
            <w:hideMark/>
          </w:tcPr>
          <w:p w14:paraId="16EF484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74B394B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285E208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3E12BD4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6FF4054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7F7BC01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r>
      <w:tr w:rsidR="00F552AD" w:rsidRPr="00F552AD" w14:paraId="0CAD9116" w14:textId="77777777" w:rsidTr="00347DFC">
        <w:trPr>
          <w:trHeight w:val="260"/>
        </w:trPr>
        <w:tc>
          <w:tcPr>
            <w:tcW w:w="0" w:type="auto"/>
            <w:tcBorders>
              <w:top w:val="nil"/>
              <w:left w:val="nil"/>
              <w:bottom w:val="nil"/>
              <w:right w:val="nil"/>
            </w:tcBorders>
            <w:hideMark/>
          </w:tcPr>
          <w:p w14:paraId="7802027A"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Other expenses</w:t>
            </w:r>
          </w:p>
        </w:tc>
        <w:tc>
          <w:tcPr>
            <w:tcW w:w="0" w:type="auto"/>
            <w:tcBorders>
              <w:top w:val="nil"/>
              <w:left w:val="nil"/>
              <w:bottom w:val="nil"/>
              <w:right w:val="nil"/>
            </w:tcBorders>
            <w:vAlign w:val="center"/>
            <w:hideMark/>
          </w:tcPr>
          <w:p w14:paraId="0025F18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1,917</w:t>
            </w:r>
          </w:p>
        </w:tc>
        <w:tc>
          <w:tcPr>
            <w:tcW w:w="0" w:type="auto"/>
            <w:tcBorders>
              <w:top w:val="nil"/>
              <w:left w:val="nil"/>
              <w:bottom w:val="nil"/>
              <w:right w:val="nil"/>
            </w:tcBorders>
            <w:vAlign w:val="center"/>
            <w:hideMark/>
          </w:tcPr>
          <w:p w14:paraId="4AAF1DB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2,501</w:t>
            </w:r>
          </w:p>
        </w:tc>
        <w:tc>
          <w:tcPr>
            <w:tcW w:w="0" w:type="auto"/>
            <w:tcBorders>
              <w:top w:val="nil"/>
              <w:left w:val="nil"/>
              <w:bottom w:val="nil"/>
              <w:right w:val="nil"/>
            </w:tcBorders>
            <w:vAlign w:val="center"/>
            <w:hideMark/>
          </w:tcPr>
          <w:p w14:paraId="3B1390E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(2,436)</w:t>
            </w:r>
          </w:p>
        </w:tc>
        <w:tc>
          <w:tcPr>
            <w:tcW w:w="0" w:type="auto"/>
            <w:tcBorders>
              <w:top w:val="nil"/>
              <w:left w:val="nil"/>
              <w:bottom w:val="nil"/>
              <w:right w:val="nil"/>
            </w:tcBorders>
            <w:vAlign w:val="center"/>
            <w:hideMark/>
          </w:tcPr>
          <w:p w14:paraId="78AAE89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(5,372)</w:t>
            </w:r>
          </w:p>
        </w:tc>
        <w:tc>
          <w:tcPr>
            <w:tcW w:w="0" w:type="auto"/>
            <w:tcBorders>
              <w:top w:val="nil"/>
              <w:left w:val="nil"/>
              <w:bottom w:val="nil"/>
              <w:right w:val="nil"/>
            </w:tcBorders>
            <w:vAlign w:val="center"/>
            <w:hideMark/>
          </w:tcPr>
          <w:p w14:paraId="4FA9368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(4,707)</w:t>
            </w:r>
          </w:p>
        </w:tc>
        <w:tc>
          <w:tcPr>
            <w:tcW w:w="0" w:type="auto"/>
            <w:tcBorders>
              <w:top w:val="nil"/>
              <w:left w:val="nil"/>
              <w:bottom w:val="nil"/>
              <w:right w:val="nil"/>
            </w:tcBorders>
            <w:vAlign w:val="center"/>
            <w:hideMark/>
          </w:tcPr>
          <w:p w14:paraId="299CCA4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(7,239)</w:t>
            </w:r>
          </w:p>
        </w:tc>
        <w:tc>
          <w:tcPr>
            <w:tcW w:w="0" w:type="auto"/>
            <w:tcBorders>
              <w:top w:val="nil"/>
              <w:left w:val="nil"/>
              <w:bottom w:val="nil"/>
              <w:right w:val="nil"/>
            </w:tcBorders>
            <w:vAlign w:val="center"/>
            <w:hideMark/>
          </w:tcPr>
          <w:p w14:paraId="7F09EB3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(9,170)</w:t>
            </w:r>
          </w:p>
        </w:tc>
        <w:tc>
          <w:tcPr>
            <w:tcW w:w="0" w:type="auto"/>
            <w:tcBorders>
              <w:top w:val="nil"/>
              <w:left w:val="nil"/>
              <w:bottom w:val="nil"/>
              <w:right w:val="nil"/>
            </w:tcBorders>
            <w:vAlign w:val="center"/>
            <w:hideMark/>
          </w:tcPr>
          <w:p w14:paraId="3A90EDB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(9,100)</w:t>
            </w:r>
          </w:p>
        </w:tc>
        <w:tc>
          <w:tcPr>
            <w:tcW w:w="0" w:type="auto"/>
            <w:tcBorders>
              <w:top w:val="nil"/>
              <w:left w:val="nil"/>
              <w:bottom w:val="nil"/>
              <w:right w:val="nil"/>
            </w:tcBorders>
            <w:vAlign w:val="center"/>
            <w:hideMark/>
          </w:tcPr>
          <w:p w14:paraId="64FBD4B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(12,427)</w:t>
            </w:r>
          </w:p>
        </w:tc>
        <w:tc>
          <w:tcPr>
            <w:tcW w:w="0" w:type="auto"/>
            <w:tcBorders>
              <w:top w:val="nil"/>
              <w:left w:val="nil"/>
              <w:bottom w:val="nil"/>
              <w:right w:val="nil"/>
            </w:tcBorders>
            <w:vAlign w:val="center"/>
            <w:hideMark/>
          </w:tcPr>
          <w:p w14:paraId="2C1BCDB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(12,953)</w:t>
            </w:r>
          </w:p>
        </w:tc>
        <w:tc>
          <w:tcPr>
            <w:tcW w:w="0" w:type="auto"/>
            <w:tcBorders>
              <w:top w:val="nil"/>
              <w:left w:val="nil"/>
              <w:bottom w:val="nil"/>
              <w:right w:val="nil"/>
            </w:tcBorders>
            <w:vAlign w:val="center"/>
            <w:hideMark/>
          </w:tcPr>
          <w:p w14:paraId="41AFB48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(12,877)</w:t>
            </w:r>
          </w:p>
        </w:tc>
      </w:tr>
      <w:tr w:rsidR="00F552AD" w:rsidRPr="00F552AD" w14:paraId="7CE0627E" w14:textId="77777777" w:rsidTr="00347DFC">
        <w:trPr>
          <w:trHeight w:val="260"/>
        </w:trPr>
        <w:tc>
          <w:tcPr>
            <w:tcW w:w="0" w:type="auto"/>
            <w:tcBorders>
              <w:top w:val="nil"/>
              <w:left w:val="nil"/>
              <w:bottom w:val="nil"/>
              <w:right w:val="nil"/>
            </w:tcBorders>
            <w:hideMark/>
          </w:tcPr>
          <w:p w14:paraId="79A3BDFF"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Total expenses</w:t>
            </w:r>
          </w:p>
        </w:tc>
        <w:tc>
          <w:tcPr>
            <w:tcW w:w="0" w:type="auto"/>
            <w:tcBorders>
              <w:top w:val="single" w:sz="4" w:space="0" w:color="auto"/>
              <w:left w:val="nil"/>
              <w:bottom w:val="single" w:sz="4" w:space="0" w:color="auto"/>
              <w:right w:val="nil"/>
            </w:tcBorders>
            <w:vAlign w:val="center"/>
            <w:hideMark/>
          </w:tcPr>
          <w:p w14:paraId="19BCEB0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174,513</w:t>
            </w:r>
          </w:p>
        </w:tc>
        <w:tc>
          <w:tcPr>
            <w:tcW w:w="0" w:type="auto"/>
            <w:tcBorders>
              <w:top w:val="single" w:sz="4" w:space="0" w:color="auto"/>
              <w:left w:val="nil"/>
              <w:bottom w:val="single" w:sz="4" w:space="0" w:color="auto"/>
              <w:right w:val="nil"/>
            </w:tcBorders>
            <w:vAlign w:val="center"/>
            <w:hideMark/>
          </w:tcPr>
          <w:p w14:paraId="7F90598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176,796</w:t>
            </w:r>
          </w:p>
        </w:tc>
        <w:tc>
          <w:tcPr>
            <w:tcW w:w="0" w:type="auto"/>
            <w:tcBorders>
              <w:top w:val="single" w:sz="4" w:space="0" w:color="auto"/>
              <w:left w:val="nil"/>
              <w:bottom w:val="single" w:sz="4" w:space="0" w:color="auto"/>
              <w:right w:val="nil"/>
            </w:tcBorders>
            <w:vAlign w:val="center"/>
            <w:hideMark/>
          </w:tcPr>
          <w:p w14:paraId="5FC6A96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180,958</w:t>
            </w:r>
          </w:p>
        </w:tc>
        <w:tc>
          <w:tcPr>
            <w:tcW w:w="0" w:type="auto"/>
            <w:tcBorders>
              <w:top w:val="single" w:sz="4" w:space="0" w:color="auto"/>
              <w:left w:val="nil"/>
              <w:bottom w:val="single" w:sz="4" w:space="0" w:color="auto"/>
              <w:right w:val="nil"/>
            </w:tcBorders>
            <w:vAlign w:val="center"/>
            <w:hideMark/>
          </w:tcPr>
          <w:p w14:paraId="635D412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188,982</w:t>
            </w:r>
          </w:p>
        </w:tc>
        <w:tc>
          <w:tcPr>
            <w:tcW w:w="0" w:type="auto"/>
            <w:tcBorders>
              <w:top w:val="single" w:sz="4" w:space="0" w:color="auto"/>
              <w:left w:val="nil"/>
              <w:bottom w:val="single" w:sz="4" w:space="0" w:color="auto"/>
              <w:right w:val="nil"/>
            </w:tcBorders>
            <w:vAlign w:val="center"/>
            <w:hideMark/>
          </w:tcPr>
          <w:p w14:paraId="0B99A7F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198,452</w:t>
            </w:r>
          </w:p>
        </w:tc>
        <w:tc>
          <w:tcPr>
            <w:tcW w:w="0" w:type="auto"/>
            <w:tcBorders>
              <w:top w:val="single" w:sz="4" w:space="0" w:color="auto"/>
              <w:left w:val="nil"/>
              <w:bottom w:val="single" w:sz="4" w:space="0" w:color="auto"/>
              <w:right w:val="nil"/>
            </w:tcBorders>
            <w:vAlign w:val="center"/>
            <w:hideMark/>
          </w:tcPr>
          <w:p w14:paraId="20CCD7E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205,104</w:t>
            </w:r>
          </w:p>
        </w:tc>
        <w:tc>
          <w:tcPr>
            <w:tcW w:w="0" w:type="auto"/>
            <w:tcBorders>
              <w:top w:val="single" w:sz="4" w:space="0" w:color="auto"/>
              <w:left w:val="nil"/>
              <w:bottom w:val="single" w:sz="4" w:space="0" w:color="auto"/>
              <w:right w:val="nil"/>
            </w:tcBorders>
            <w:vAlign w:val="center"/>
            <w:hideMark/>
          </w:tcPr>
          <w:p w14:paraId="6D830BA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211,858</w:t>
            </w:r>
          </w:p>
        </w:tc>
        <w:tc>
          <w:tcPr>
            <w:tcW w:w="0" w:type="auto"/>
            <w:tcBorders>
              <w:top w:val="single" w:sz="4" w:space="0" w:color="auto"/>
              <w:left w:val="nil"/>
              <w:bottom w:val="single" w:sz="4" w:space="0" w:color="auto"/>
              <w:right w:val="nil"/>
            </w:tcBorders>
            <w:vAlign w:val="center"/>
            <w:hideMark/>
          </w:tcPr>
          <w:p w14:paraId="5763375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220,164</w:t>
            </w:r>
          </w:p>
        </w:tc>
        <w:tc>
          <w:tcPr>
            <w:tcW w:w="0" w:type="auto"/>
            <w:tcBorders>
              <w:top w:val="single" w:sz="4" w:space="0" w:color="auto"/>
              <w:left w:val="nil"/>
              <w:bottom w:val="single" w:sz="4" w:space="0" w:color="auto"/>
              <w:right w:val="nil"/>
            </w:tcBorders>
            <w:vAlign w:val="center"/>
            <w:hideMark/>
          </w:tcPr>
          <w:p w14:paraId="144E386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227,870</w:t>
            </w:r>
          </w:p>
        </w:tc>
        <w:tc>
          <w:tcPr>
            <w:tcW w:w="0" w:type="auto"/>
            <w:tcBorders>
              <w:top w:val="single" w:sz="4" w:space="0" w:color="auto"/>
              <w:left w:val="nil"/>
              <w:bottom w:val="single" w:sz="4" w:space="0" w:color="auto"/>
              <w:right w:val="nil"/>
            </w:tcBorders>
            <w:vAlign w:val="center"/>
            <w:hideMark/>
          </w:tcPr>
          <w:p w14:paraId="17D6ABA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236,266</w:t>
            </w:r>
          </w:p>
        </w:tc>
        <w:tc>
          <w:tcPr>
            <w:tcW w:w="0" w:type="auto"/>
            <w:tcBorders>
              <w:top w:val="single" w:sz="4" w:space="0" w:color="auto"/>
              <w:left w:val="nil"/>
              <w:bottom w:val="single" w:sz="4" w:space="0" w:color="auto"/>
              <w:right w:val="nil"/>
            </w:tcBorders>
            <w:vAlign w:val="center"/>
            <w:hideMark/>
          </w:tcPr>
          <w:p w14:paraId="2184C0A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245,649</w:t>
            </w:r>
          </w:p>
        </w:tc>
      </w:tr>
      <w:tr w:rsidR="00F552AD" w:rsidRPr="00F552AD" w14:paraId="64E468C8" w14:textId="77777777" w:rsidTr="00347DFC">
        <w:trPr>
          <w:trHeight w:val="260"/>
        </w:trPr>
        <w:tc>
          <w:tcPr>
            <w:tcW w:w="0" w:type="auto"/>
            <w:tcBorders>
              <w:top w:val="nil"/>
              <w:left w:val="nil"/>
              <w:bottom w:val="nil"/>
              <w:right w:val="nil"/>
            </w:tcBorders>
            <w:hideMark/>
          </w:tcPr>
          <w:p w14:paraId="472F7E13"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 </w:t>
            </w:r>
          </w:p>
        </w:tc>
        <w:tc>
          <w:tcPr>
            <w:tcW w:w="0" w:type="auto"/>
            <w:tcBorders>
              <w:top w:val="nil"/>
              <w:left w:val="nil"/>
              <w:bottom w:val="single" w:sz="4" w:space="0" w:color="auto"/>
              <w:right w:val="nil"/>
            </w:tcBorders>
            <w:vAlign w:val="center"/>
            <w:hideMark/>
          </w:tcPr>
          <w:p w14:paraId="040473F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39E0EAF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04A3270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021DFA5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53197C3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13BE8AE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0FE33FE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1C17F43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5E008D4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5639294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single" w:sz="4" w:space="0" w:color="auto"/>
              <w:right w:val="nil"/>
            </w:tcBorders>
            <w:vAlign w:val="center"/>
            <w:hideMark/>
          </w:tcPr>
          <w:p w14:paraId="69F130A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r>
      <w:tr w:rsidR="00F552AD" w:rsidRPr="00F552AD" w14:paraId="488390CE" w14:textId="77777777" w:rsidTr="00347DFC">
        <w:trPr>
          <w:trHeight w:val="260"/>
        </w:trPr>
        <w:tc>
          <w:tcPr>
            <w:tcW w:w="0" w:type="auto"/>
            <w:tcBorders>
              <w:top w:val="nil"/>
              <w:left w:val="nil"/>
              <w:bottom w:val="nil"/>
              <w:right w:val="nil"/>
            </w:tcBorders>
            <w:hideMark/>
          </w:tcPr>
          <w:p w14:paraId="2994B300"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Surplus/(deficit) for the year</w:t>
            </w:r>
          </w:p>
        </w:tc>
        <w:tc>
          <w:tcPr>
            <w:tcW w:w="0" w:type="auto"/>
            <w:tcBorders>
              <w:top w:val="nil"/>
              <w:left w:val="nil"/>
              <w:bottom w:val="single" w:sz="4" w:space="0" w:color="auto"/>
              <w:right w:val="nil"/>
            </w:tcBorders>
            <w:vAlign w:val="center"/>
            <w:hideMark/>
          </w:tcPr>
          <w:p w14:paraId="48A3C18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123,982</w:t>
            </w:r>
          </w:p>
        </w:tc>
        <w:tc>
          <w:tcPr>
            <w:tcW w:w="0" w:type="auto"/>
            <w:tcBorders>
              <w:top w:val="nil"/>
              <w:left w:val="nil"/>
              <w:bottom w:val="single" w:sz="4" w:space="0" w:color="auto"/>
              <w:right w:val="nil"/>
            </w:tcBorders>
            <w:vAlign w:val="center"/>
            <w:hideMark/>
          </w:tcPr>
          <w:p w14:paraId="4D43DFD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108,777</w:t>
            </w:r>
          </w:p>
        </w:tc>
        <w:tc>
          <w:tcPr>
            <w:tcW w:w="0" w:type="auto"/>
            <w:tcBorders>
              <w:top w:val="nil"/>
              <w:left w:val="nil"/>
              <w:bottom w:val="single" w:sz="4" w:space="0" w:color="auto"/>
              <w:right w:val="nil"/>
            </w:tcBorders>
            <w:vAlign w:val="center"/>
            <w:hideMark/>
          </w:tcPr>
          <w:p w14:paraId="3FEEEA6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73,360</w:t>
            </w:r>
          </w:p>
        </w:tc>
        <w:tc>
          <w:tcPr>
            <w:tcW w:w="0" w:type="auto"/>
            <w:tcBorders>
              <w:top w:val="nil"/>
              <w:left w:val="nil"/>
              <w:bottom w:val="single" w:sz="4" w:space="0" w:color="auto"/>
              <w:right w:val="nil"/>
            </w:tcBorders>
            <w:vAlign w:val="center"/>
            <w:hideMark/>
          </w:tcPr>
          <w:p w14:paraId="4BA2A30B"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78,009</w:t>
            </w:r>
          </w:p>
        </w:tc>
        <w:tc>
          <w:tcPr>
            <w:tcW w:w="0" w:type="auto"/>
            <w:tcBorders>
              <w:top w:val="nil"/>
              <w:left w:val="nil"/>
              <w:bottom w:val="single" w:sz="4" w:space="0" w:color="auto"/>
              <w:right w:val="nil"/>
            </w:tcBorders>
            <w:vAlign w:val="center"/>
            <w:hideMark/>
          </w:tcPr>
          <w:p w14:paraId="3955B6F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66,621</w:t>
            </w:r>
          </w:p>
        </w:tc>
        <w:tc>
          <w:tcPr>
            <w:tcW w:w="0" w:type="auto"/>
            <w:tcBorders>
              <w:top w:val="nil"/>
              <w:left w:val="nil"/>
              <w:bottom w:val="single" w:sz="4" w:space="0" w:color="auto"/>
              <w:right w:val="nil"/>
            </w:tcBorders>
            <w:vAlign w:val="center"/>
            <w:hideMark/>
          </w:tcPr>
          <w:p w14:paraId="2859C12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72,027</w:t>
            </w:r>
          </w:p>
        </w:tc>
        <w:tc>
          <w:tcPr>
            <w:tcW w:w="0" w:type="auto"/>
            <w:tcBorders>
              <w:top w:val="nil"/>
              <w:left w:val="nil"/>
              <w:bottom w:val="single" w:sz="4" w:space="0" w:color="auto"/>
              <w:right w:val="nil"/>
            </w:tcBorders>
            <w:vAlign w:val="center"/>
            <w:hideMark/>
          </w:tcPr>
          <w:p w14:paraId="1653ECA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57,588</w:t>
            </w:r>
          </w:p>
        </w:tc>
        <w:tc>
          <w:tcPr>
            <w:tcW w:w="0" w:type="auto"/>
            <w:tcBorders>
              <w:top w:val="nil"/>
              <w:left w:val="nil"/>
              <w:bottom w:val="single" w:sz="4" w:space="0" w:color="auto"/>
              <w:right w:val="nil"/>
            </w:tcBorders>
            <w:vAlign w:val="center"/>
            <w:hideMark/>
          </w:tcPr>
          <w:p w14:paraId="2CAB9E3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59,214</w:t>
            </w:r>
          </w:p>
        </w:tc>
        <w:tc>
          <w:tcPr>
            <w:tcW w:w="0" w:type="auto"/>
            <w:tcBorders>
              <w:top w:val="nil"/>
              <w:left w:val="nil"/>
              <w:bottom w:val="single" w:sz="4" w:space="0" w:color="auto"/>
              <w:right w:val="nil"/>
            </w:tcBorders>
            <w:vAlign w:val="center"/>
            <w:hideMark/>
          </w:tcPr>
          <w:p w14:paraId="4EE05C2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61,640</w:t>
            </w:r>
          </w:p>
        </w:tc>
        <w:tc>
          <w:tcPr>
            <w:tcW w:w="0" w:type="auto"/>
            <w:tcBorders>
              <w:top w:val="nil"/>
              <w:left w:val="nil"/>
              <w:bottom w:val="single" w:sz="4" w:space="0" w:color="auto"/>
              <w:right w:val="nil"/>
            </w:tcBorders>
            <w:vAlign w:val="center"/>
            <w:hideMark/>
          </w:tcPr>
          <w:p w14:paraId="103BE6F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66,592</w:t>
            </w:r>
          </w:p>
        </w:tc>
        <w:tc>
          <w:tcPr>
            <w:tcW w:w="0" w:type="auto"/>
            <w:tcBorders>
              <w:top w:val="nil"/>
              <w:left w:val="nil"/>
              <w:bottom w:val="single" w:sz="4" w:space="0" w:color="auto"/>
              <w:right w:val="nil"/>
            </w:tcBorders>
            <w:vAlign w:val="center"/>
            <w:hideMark/>
          </w:tcPr>
          <w:p w14:paraId="6517437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66,640</w:t>
            </w:r>
          </w:p>
        </w:tc>
      </w:tr>
      <w:tr w:rsidR="00376209" w:rsidRPr="00F552AD" w14:paraId="5ACB927A" w14:textId="77777777" w:rsidTr="00F552AD">
        <w:trPr>
          <w:trHeight w:val="260"/>
        </w:trPr>
        <w:tc>
          <w:tcPr>
            <w:tcW w:w="0" w:type="auto"/>
            <w:tcBorders>
              <w:top w:val="nil"/>
              <w:left w:val="nil"/>
              <w:bottom w:val="nil"/>
              <w:right w:val="nil"/>
            </w:tcBorders>
            <w:shd w:val="clear" w:color="000000" w:fill="FFFFFF"/>
          </w:tcPr>
          <w:p w14:paraId="2321A0F0" w14:textId="77777777" w:rsidR="00376209" w:rsidRPr="00F552AD" w:rsidRDefault="00376209" w:rsidP="00F552AD">
            <w:pPr>
              <w:spacing w:before="0" w:after="0"/>
              <w:rPr>
                <w:rFonts w:ascii="Arial" w:hAnsi="Arial" w:cs="Arial"/>
                <w:b/>
                <w:bCs/>
                <w:sz w:val="16"/>
                <w:szCs w:val="16"/>
              </w:rPr>
            </w:pPr>
          </w:p>
        </w:tc>
        <w:tc>
          <w:tcPr>
            <w:tcW w:w="0" w:type="auto"/>
            <w:tcBorders>
              <w:top w:val="nil"/>
              <w:left w:val="nil"/>
              <w:bottom w:val="nil"/>
              <w:right w:val="nil"/>
            </w:tcBorders>
            <w:shd w:val="clear" w:color="000000" w:fill="FFFFFF"/>
            <w:vAlign w:val="center"/>
          </w:tcPr>
          <w:p w14:paraId="5C27EDA7"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02D5110A"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42FB594A"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3F9D4F9D"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110421D0"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6691F1FD"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07FD776A"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21DAE4B1"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65842334"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194777FB" w14:textId="77777777" w:rsidR="00376209" w:rsidRPr="00F552AD" w:rsidRDefault="00376209" w:rsidP="00F552AD">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tcPr>
          <w:p w14:paraId="65D295D9" w14:textId="77777777" w:rsidR="00376209" w:rsidRPr="00F552AD" w:rsidRDefault="00376209" w:rsidP="00F552AD">
            <w:pPr>
              <w:spacing w:before="0" w:after="0"/>
              <w:jc w:val="right"/>
              <w:rPr>
                <w:rFonts w:ascii="Arial" w:hAnsi="Arial" w:cs="Arial"/>
                <w:sz w:val="16"/>
                <w:szCs w:val="16"/>
              </w:rPr>
            </w:pPr>
          </w:p>
        </w:tc>
      </w:tr>
      <w:tr w:rsidR="00F552AD" w:rsidRPr="00F552AD" w14:paraId="34406D36" w14:textId="77777777" w:rsidTr="00F552AD">
        <w:trPr>
          <w:trHeight w:val="260"/>
        </w:trPr>
        <w:tc>
          <w:tcPr>
            <w:tcW w:w="0" w:type="auto"/>
            <w:tcBorders>
              <w:top w:val="nil"/>
              <w:left w:val="nil"/>
              <w:bottom w:val="nil"/>
              <w:right w:val="nil"/>
            </w:tcBorders>
            <w:shd w:val="clear" w:color="000000" w:fill="FFFFFF"/>
            <w:hideMark/>
          </w:tcPr>
          <w:p w14:paraId="7A571C9A"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Other comprehensive income</w:t>
            </w:r>
          </w:p>
        </w:tc>
        <w:tc>
          <w:tcPr>
            <w:tcW w:w="0" w:type="auto"/>
            <w:tcBorders>
              <w:top w:val="nil"/>
              <w:left w:val="nil"/>
              <w:bottom w:val="nil"/>
              <w:right w:val="nil"/>
            </w:tcBorders>
            <w:shd w:val="clear" w:color="000000" w:fill="FFFFFF"/>
            <w:vAlign w:val="center"/>
            <w:hideMark/>
          </w:tcPr>
          <w:p w14:paraId="7AF1441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14CF1CA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6889E4F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0D22A6F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056BF82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1A1C6A6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4F2BCB8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5E2B3A5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3B6A7FC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7FB4395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4008FF8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r>
      <w:tr w:rsidR="00F552AD" w:rsidRPr="00F552AD" w14:paraId="61794498" w14:textId="77777777" w:rsidTr="00347DFC">
        <w:trPr>
          <w:trHeight w:val="420"/>
        </w:trPr>
        <w:tc>
          <w:tcPr>
            <w:tcW w:w="0" w:type="auto"/>
            <w:tcBorders>
              <w:top w:val="nil"/>
              <w:left w:val="nil"/>
              <w:bottom w:val="nil"/>
              <w:right w:val="nil"/>
            </w:tcBorders>
            <w:vAlign w:val="bottom"/>
            <w:hideMark/>
          </w:tcPr>
          <w:p w14:paraId="26AA71CF"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Items that will not be reclassified to surplus or deficit in future periods</w:t>
            </w:r>
          </w:p>
        </w:tc>
        <w:tc>
          <w:tcPr>
            <w:tcW w:w="0" w:type="auto"/>
            <w:tcBorders>
              <w:top w:val="nil"/>
              <w:left w:val="nil"/>
              <w:bottom w:val="nil"/>
              <w:right w:val="nil"/>
            </w:tcBorders>
            <w:vAlign w:val="center"/>
            <w:hideMark/>
          </w:tcPr>
          <w:p w14:paraId="73DCC6B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77C08DB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3109452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4BAFA2E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2C08F2F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6E5E14B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2A4EB88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290913E4"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5C4CE24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0C9280F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c>
          <w:tcPr>
            <w:tcW w:w="0" w:type="auto"/>
            <w:tcBorders>
              <w:top w:val="nil"/>
              <w:left w:val="nil"/>
              <w:bottom w:val="nil"/>
              <w:right w:val="nil"/>
            </w:tcBorders>
            <w:vAlign w:val="center"/>
            <w:hideMark/>
          </w:tcPr>
          <w:p w14:paraId="6B6A20C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 </w:t>
            </w:r>
          </w:p>
        </w:tc>
      </w:tr>
      <w:tr w:rsidR="00F552AD" w:rsidRPr="00F552AD" w14:paraId="36B55053" w14:textId="77777777" w:rsidTr="00347DFC">
        <w:trPr>
          <w:trHeight w:val="260"/>
        </w:trPr>
        <w:tc>
          <w:tcPr>
            <w:tcW w:w="0" w:type="auto"/>
            <w:tcBorders>
              <w:top w:val="nil"/>
              <w:left w:val="nil"/>
              <w:bottom w:val="nil"/>
              <w:right w:val="nil"/>
            </w:tcBorders>
            <w:hideMark/>
          </w:tcPr>
          <w:p w14:paraId="04495942" w14:textId="77777777" w:rsidR="00F552AD" w:rsidRPr="00F552AD" w:rsidRDefault="00F552AD" w:rsidP="00F552AD">
            <w:pPr>
              <w:spacing w:before="0" w:after="0"/>
              <w:rPr>
                <w:rFonts w:ascii="Arial" w:hAnsi="Arial" w:cs="Arial"/>
                <w:sz w:val="16"/>
                <w:szCs w:val="16"/>
              </w:rPr>
            </w:pPr>
            <w:r w:rsidRPr="00F552AD">
              <w:rPr>
                <w:rFonts w:ascii="Arial" w:hAnsi="Arial" w:cs="Arial"/>
                <w:sz w:val="16"/>
                <w:szCs w:val="16"/>
              </w:rPr>
              <w:t>Net asset revaluation gain /(loss)</w:t>
            </w:r>
          </w:p>
        </w:tc>
        <w:tc>
          <w:tcPr>
            <w:tcW w:w="0" w:type="auto"/>
            <w:tcBorders>
              <w:top w:val="nil"/>
              <w:left w:val="nil"/>
              <w:bottom w:val="nil"/>
              <w:right w:val="nil"/>
            </w:tcBorders>
            <w:vAlign w:val="center"/>
            <w:hideMark/>
          </w:tcPr>
          <w:p w14:paraId="0CF1EAE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140,421</w:t>
            </w:r>
          </w:p>
        </w:tc>
        <w:tc>
          <w:tcPr>
            <w:tcW w:w="0" w:type="auto"/>
            <w:tcBorders>
              <w:top w:val="nil"/>
              <w:left w:val="nil"/>
              <w:bottom w:val="nil"/>
              <w:right w:val="nil"/>
            </w:tcBorders>
            <w:vAlign w:val="center"/>
            <w:hideMark/>
          </w:tcPr>
          <w:p w14:paraId="37CC928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3E1E2840"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25FAE59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25475AA7"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3D6D8F5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2F219C5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37772F8A"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72677F9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0797E35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c>
          <w:tcPr>
            <w:tcW w:w="0" w:type="auto"/>
            <w:tcBorders>
              <w:top w:val="nil"/>
              <w:left w:val="nil"/>
              <w:bottom w:val="nil"/>
              <w:right w:val="nil"/>
            </w:tcBorders>
            <w:vAlign w:val="center"/>
            <w:hideMark/>
          </w:tcPr>
          <w:p w14:paraId="68F9155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w:t>
            </w:r>
          </w:p>
        </w:tc>
      </w:tr>
      <w:tr w:rsidR="00F552AD" w:rsidRPr="00F552AD" w14:paraId="7218082F" w14:textId="77777777" w:rsidTr="00347DFC">
        <w:trPr>
          <w:trHeight w:val="270"/>
        </w:trPr>
        <w:tc>
          <w:tcPr>
            <w:tcW w:w="0" w:type="auto"/>
            <w:tcBorders>
              <w:top w:val="nil"/>
              <w:left w:val="nil"/>
              <w:bottom w:val="nil"/>
              <w:right w:val="nil"/>
            </w:tcBorders>
            <w:hideMark/>
          </w:tcPr>
          <w:p w14:paraId="64D75B30"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Total comprehensive result</w:t>
            </w:r>
          </w:p>
        </w:tc>
        <w:tc>
          <w:tcPr>
            <w:tcW w:w="0" w:type="auto"/>
            <w:tcBorders>
              <w:top w:val="single" w:sz="4" w:space="0" w:color="auto"/>
              <w:left w:val="nil"/>
              <w:bottom w:val="double" w:sz="6" w:space="0" w:color="auto"/>
              <w:right w:val="nil"/>
            </w:tcBorders>
            <w:vAlign w:val="center"/>
            <w:hideMark/>
          </w:tcPr>
          <w:p w14:paraId="34D234E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264,403</w:t>
            </w:r>
          </w:p>
        </w:tc>
        <w:tc>
          <w:tcPr>
            <w:tcW w:w="0" w:type="auto"/>
            <w:tcBorders>
              <w:top w:val="single" w:sz="4" w:space="0" w:color="auto"/>
              <w:left w:val="nil"/>
              <w:bottom w:val="double" w:sz="6" w:space="0" w:color="auto"/>
              <w:right w:val="nil"/>
            </w:tcBorders>
            <w:vAlign w:val="center"/>
            <w:hideMark/>
          </w:tcPr>
          <w:p w14:paraId="7F43598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108,777</w:t>
            </w:r>
          </w:p>
        </w:tc>
        <w:tc>
          <w:tcPr>
            <w:tcW w:w="0" w:type="auto"/>
            <w:tcBorders>
              <w:top w:val="single" w:sz="4" w:space="0" w:color="auto"/>
              <w:left w:val="nil"/>
              <w:bottom w:val="double" w:sz="6" w:space="0" w:color="auto"/>
              <w:right w:val="nil"/>
            </w:tcBorders>
            <w:vAlign w:val="center"/>
            <w:hideMark/>
          </w:tcPr>
          <w:p w14:paraId="55CF70C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73,360</w:t>
            </w:r>
          </w:p>
        </w:tc>
        <w:tc>
          <w:tcPr>
            <w:tcW w:w="0" w:type="auto"/>
            <w:tcBorders>
              <w:top w:val="single" w:sz="4" w:space="0" w:color="auto"/>
              <w:left w:val="nil"/>
              <w:bottom w:val="double" w:sz="6" w:space="0" w:color="auto"/>
              <w:right w:val="nil"/>
            </w:tcBorders>
            <w:vAlign w:val="center"/>
            <w:hideMark/>
          </w:tcPr>
          <w:p w14:paraId="12276EF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78,009</w:t>
            </w:r>
          </w:p>
        </w:tc>
        <w:tc>
          <w:tcPr>
            <w:tcW w:w="0" w:type="auto"/>
            <w:tcBorders>
              <w:top w:val="single" w:sz="4" w:space="0" w:color="auto"/>
              <w:left w:val="nil"/>
              <w:bottom w:val="double" w:sz="6" w:space="0" w:color="auto"/>
              <w:right w:val="nil"/>
            </w:tcBorders>
            <w:vAlign w:val="center"/>
            <w:hideMark/>
          </w:tcPr>
          <w:p w14:paraId="0DD8FBA9"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66,621</w:t>
            </w:r>
          </w:p>
        </w:tc>
        <w:tc>
          <w:tcPr>
            <w:tcW w:w="0" w:type="auto"/>
            <w:tcBorders>
              <w:top w:val="single" w:sz="4" w:space="0" w:color="auto"/>
              <w:left w:val="nil"/>
              <w:bottom w:val="double" w:sz="6" w:space="0" w:color="auto"/>
              <w:right w:val="nil"/>
            </w:tcBorders>
            <w:vAlign w:val="center"/>
            <w:hideMark/>
          </w:tcPr>
          <w:p w14:paraId="583B3485"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72,027</w:t>
            </w:r>
          </w:p>
        </w:tc>
        <w:tc>
          <w:tcPr>
            <w:tcW w:w="0" w:type="auto"/>
            <w:tcBorders>
              <w:top w:val="single" w:sz="4" w:space="0" w:color="auto"/>
              <w:left w:val="nil"/>
              <w:bottom w:val="double" w:sz="6" w:space="0" w:color="auto"/>
              <w:right w:val="nil"/>
            </w:tcBorders>
            <w:vAlign w:val="center"/>
            <w:hideMark/>
          </w:tcPr>
          <w:p w14:paraId="725AC00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57,588</w:t>
            </w:r>
          </w:p>
        </w:tc>
        <w:tc>
          <w:tcPr>
            <w:tcW w:w="0" w:type="auto"/>
            <w:tcBorders>
              <w:top w:val="single" w:sz="4" w:space="0" w:color="auto"/>
              <w:left w:val="nil"/>
              <w:bottom w:val="double" w:sz="6" w:space="0" w:color="auto"/>
              <w:right w:val="nil"/>
            </w:tcBorders>
            <w:vAlign w:val="center"/>
            <w:hideMark/>
          </w:tcPr>
          <w:p w14:paraId="1E8509EF"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59,214</w:t>
            </w:r>
          </w:p>
        </w:tc>
        <w:tc>
          <w:tcPr>
            <w:tcW w:w="0" w:type="auto"/>
            <w:tcBorders>
              <w:top w:val="single" w:sz="4" w:space="0" w:color="auto"/>
              <w:left w:val="nil"/>
              <w:bottom w:val="double" w:sz="6" w:space="0" w:color="auto"/>
              <w:right w:val="nil"/>
            </w:tcBorders>
            <w:vAlign w:val="center"/>
            <w:hideMark/>
          </w:tcPr>
          <w:p w14:paraId="70DADD6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61,640</w:t>
            </w:r>
          </w:p>
        </w:tc>
        <w:tc>
          <w:tcPr>
            <w:tcW w:w="0" w:type="auto"/>
            <w:tcBorders>
              <w:top w:val="single" w:sz="4" w:space="0" w:color="auto"/>
              <w:left w:val="nil"/>
              <w:bottom w:val="double" w:sz="6" w:space="0" w:color="auto"/>
              <w:right w:val="nil"/>
            </w:tcBorders>
            <w:vAlign w:val="center"/>
            <w:hideMark/>
          </w:tcPr>
          <w:p w14:paraId="176BBDF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66,592</w:t>
            </w:r>
          </w:p>
        </w:tc>
        <w:tc>
          <w:tcPr>
            <w:tcW w:w="0" w:type="auto"/>
            <w:tcBorders>
              <w:top w:val="single" w:sz="4" w:space="0" w:color="auto"/>
              <w:left w:val="nil"/>
              <w:bottom w:val="double" w:sz="6" w:space="0" w:color="auto"/>
              <w:right w:val="nil"/>
            </w:tcBorders>
            <w:vAlign w:val="center"/>
            <w:hideMark/>
          </w:tcPr>
          <w:p w14:paraId="1B644E2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66,640</w:t>
            </w:r>
          </w:p>
        </w:tc>
      </w:tr>
      <w:tr w:rsidR="00F552AD" w:rsidRPr="00F552AD" w14:paraId="7499D2FE" w14:textId="77777777" w:rsidTr="00347DFC">
        <w:trPr>
          <w:trHeight w:val="290"/>
        </w:trPr>
        <w:tc>
          <w:tcPr>
            <w:tcW w:w="0" w:type="auto"/>
            <w:tcBorders>
              <w:top w:val="nil"/>
              <w:left w:val="nil"/>
              <w:bottom w:val="nil"/>
              <w:right w:val="nil"/>
            </w:tcBorders>
            <w:noWrap/>
            <w:hideMark/>
          </w:tcPr>
          <w:p w14:paraId="1EFEEC3C" w14:textId="77777777" w:rsidR="00F552AD" w:rsidRPr="00F552AD" w:rsidRDefault="00F552AD" w:rsidP="00F552AD">
            <w:pPr>
              <w:spacing w:before="0" w:after="0"/>
              <w:rPr>
                <w:rFonts w:ascii="Arial" w:hAnsi="Arial" w:cs="Arial"/>
              </w:rPr>
            </w:pPr>
            <w:r w:rsidRPr="00F552AD">
              <w:rPr>
                <w:rFonts w:ascii="Arial" w:hAnsi="Arial" w:cs="Arial"/>
              </w:rPr>
              <w:t> </w:t>
            </w:r>
          </w:p>
        </w:tc>
        <w:tc>
          <w:tcPr>
            <w:tcW w:w="0" w:type="auto"/>
            <w:tcBorders>
              <w:top w:val="nil"/>
              <w:left w:val="nil"/>
              <w:bottom w:val="nil"/>
              <w:right w:val="nil"/>
            </w:tcBorders>
            <w:noWrap/>
            <w:hideMark/>
          </w:tcPr>
          <w:p w14:paraId="34B988B3"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4CBDF8C5"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2EFD6AD2"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4AF7B82E"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1C6197E7"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670D2E91"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7FC04C9C"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0F47F802"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5702179A"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0650559A"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c>
          <w:tcPr>
            <w:tcW w:w="0" w:type="auto"/>
            <w:tcBorders>
              <w:top w:val="nil"/>
              <w:left w:val="nil"/>
              <w:bottom w:val="nil"/>
              <w:right w:val="nil"/>
            </w:tcBorders>
            <w:noWrap/>
            <w:hideMark/>
          </w:tcPr>
          <w:p w14:paraId="52F0A293" w14:textId="77777777" w:rsidR="00F552AD" w:rsidRPr="00F552AD" w:rsidRDefault="00F552AD" w:rsidP="00F552AD">
            <w:pPr>
              <w:spacing w:before="0" w:after="0"/>
              <w:rPr>
                <w:rFonts w:ascii="Arial" w:hAnsi="Arial" w:cs="Arial"/>
                <w:sz w:val="20"/>
                <w:szCs w:val="20"/>
              </w:rPr>
            </w:pPr>
            <w:r w:rsidRPr="00F552AD">
              <w:rPr>
                <w:rFonts w:ascii="Arial" w:hAnsi="Arial" w:cs="Arial"/>
                <w:sz w:val="20"/>
                <w:szCs w:val="20"/>
              </w:rPr>
              <w:t> </w:t>
            </w:r>
          </w:p>
        </w:tc>
      </w:tr>
      <w:tr w:rsidR="00F552AD" w:rsidRPr="00F552AD" w14:paraId="72B728C8" w14:textId="77777777" w:rsidTr="00347DFC">
        <w:trPr>
          <w:trHeight w:val="270"/>
        </w:trPr>
        <w:tc>
          <w:tcPr>
            <w:tcW w:w="0" w:type="auto"/>
            <w:tcBorders>
              <w:top w:val="nil"/>
              <w:left w:val="nil"/>
              <w:bottom w:val="nil"/>
              <w:right w:val="nil"/>
            </w:tcBorders>
            <w:hideMark/>
          </w:tcPr>
          <w:p w14:paraId="4C404233" w14:textId="77777777" w:rsidR="00F552AD" w:rsidRPr="00F552AD" w:rsidRDefault="00F552AD" w:rsidP="00F552AD">
            <w:pPr>
              <w:spacing w:before="0" w:after="0"/>
              <w:rPr>
                <w:rFonts w:ascii="Arial" w:hAnsi="Arial" w:cs="Arial"/>
                <w:b/>
                <w:bCs/>
                <w:sz w:val="16"/>
                <w:szCs w:val="16"/>
              </w:rPr>
            </w:pPr>
            <w:r w:rsidRPr="00F552AD">
              <w:rPr>
                <w:rFonts w:ascii="Arial" w:hAnsi="Arial" w:cs="Arial"/>
                <w:b/>
                <w:bCs/>
                <w:sz w:val="16"/>
                <w:szCs w:val="16"/>
              </w:rPr>
              <w:t>Adjusted underlying result</w:t>
            </w:r>
          </w:p>
        </w:tc>
        <w:tc>
          <w:tcPr>
            <w:tcW w:w="0" w:type="auto"/>
            <w:tcBorders>
              <w:top w:val="nil"/>
              <w:left w:val="nil"/>
              <w:bottom w:val="double" w:sz="6" w:space="0" w:color="auto"/>
              <w:right w:val="nil"/>
            </w:tcBorders>
            <w:vAlign w:val="center"/>
            <w:hideMark/>
          </w:tcPr>
          <w:p w14:paraId="583875F8"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(9)</w:t>
            </w:r>
          </w:p>
        </w:tc>
        <w:tc>
          <w:tcPr>
            <w:tcW w:w="0" w:type="auto"/>
            <w:tcBorders>
              <w:top w:val="nil"/>
              <w:left w:val="nil"/>
              <w:bottom w:val="double" w:sz="6" w:space="0" w:color="auto"/>
              <w:right w:val="nil"/>
            </w:tcBorders>
            <w:vAlign w:val="center"/>
            <w:hideMark/>
          </w:tcPr>
          <w:p w14:paraId="091283F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(3,244)</w:t>
            </w:r>
          </w:p>
        </w:tc>
        <w:tc>
          <w:tcPr>
            <w:tcW w:w="0" w:type="auto"/>
            <w:tcBorders>
              <w:top w:val="nil"/>
              <w:left w:val="nil"/>
              <w:bottom w:val="double" w:sz="6" w:space="0" w:color="auto"/>
              <w:right w:val="nil"/>
            </w:tcBorders>
            <w:vAlign w:val="center"/>
            <w:hideMark/>
          </w:tcPr>
          <w:p w14:paraId="265D382E"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175</w:t>
            </w:r>
          </w:p>
        </w:tc>
        <w:tc>
          <w:tcPr>
            <w:tcW w:w="0" w:type="auto"/>
            <w:tcBorders>
              <w:top w:val="nil"/>
              <w:left w:val="nil"/>
              <w:bottom w:val="double" w:sz="6" w:space="0" w:color="auto"/>
              <w:right w:val="nil"/>
            </w:tcBorders>
            <w:vAlign w:val="center"/>
            <w:hideMark/>
          </w:tcPr>
          <w:p w14:paraId="6140FEF2"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152</w:t>
            </w:r>
          </w:p>
        </w:tc>
        <w:tc>
          <w:tcPr>
            <w:tcW w:w="0" w:type="auto"/>
            <w:tcBorders>
              <w:top w:val="nil"/>
              <w:left w:val="nil"/>
              <w:bottom w:val="double" w:sz="6" w:space="0" w:color="auto"/>
              <w:right w:val="nil"/>
            </w:tcBorders>
            <w:vAlign w:val="center"/>
            <w:hideMark/>
          </w:tcPr>
          <w:p w14:paraId="158179A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(867)</w:t>
            </w:r>
          </w:p>
        </w:tc>
        <w:tc>
          <w:tcPr>
            <w:tcW w:w="0" w:type="auto"/>
            <w:tcBorders>
              <w:top w:val="nil"/>
              <w:left w:val="nil"/>
              <w:bottom w:val="double" w:sz="6" w:space="0" w:color="auto"/>
              <w:right w:val="nil"/>
            </w:tcBorders>
            <w:vAlign w:val="center"/>
            <w:hideMark/>
          </w:tcPr>
          <w:p w14:paraId="23240F06"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(275)</w:t>
            </w:r>
          </w:p>
        </w:tc>
        <w:tc>
          <w:tcPr>
            <w:tcW w:w="0" w:type="auto"/>
            <w:tcBorders>
              <w:top w:val="nil"/>
              <w:left w:val="nil"/>
              <w:bottom w:val="double" w:sz="6" w:space="0" w:color="auto"/>
              <w:right w:val="nil"/>
            </w:tcBorders>
            <w:vAlign w:val="center"/>
            <w:hideMark/>
          </w:tcPr>
          <w:p w14:paraId="3961247C"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471</w:t>
            </w:r>
          </w:p>
        </w:tc>
        <w:tc>
          <w:tcPr>
            <w:tcW w:w="0" w:type="auto"/>
            <w:tcBorders>
              <w:top w:val="nil"/>
              <w:left w:val="nil"/>
              <w:bottom w:val="double" w:sz="6" w:space="0" w:color="auto"/>
              <w:right w:val="nil"/>
            </w:tcBorders>
            <w:vAlign w:val="center"/>
            <w:hideMark/>
          </w:tcPr>
          <w:p w14:paraId="5EC1719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(77)</w:t>
            </w:r>
          </w:p>
        </w:tc>
        <w:tc>
          <w:tcPr>
            <w:tcW w:w="0" w:type="auto"/>
            <w:tcBorders>
              <w:top w:val="nil"/>
              <w:left w:val="nil"/>
              <w:bottom w:val="double" w:sz="6" w:space="0" w:color="auto"/>
              <w:right w:val="nil"/>
            </w:tcBorders>
            <w:vAlign w:val="center"/>
            <w:hideMark/>
          </w:tcPr>
          <w:p w14:paraId="3E2F0E03"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237</w:t>
            </w:r>
          </w:p>
        </w:tc>
        <w:tc>
          <w:tcPr>
            <w:tcW w:w="0" w:type="auto"/>
            <w:tcBorders>
              <w:top w:val="nil"/>
              <w:left w:val="nil"/>
              <w:bottom w:val="double" w:sz="6" w:space="0" w:color="auto"/>
              <w:right w:val="nil"/>
            </w:tcBorders>
            <w:vAlign w:val="center"/>
            <w:hideMark/>
          </w:tcPr>
          <w:p w14:paraId="2E395B5D"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124</w:t>
            </w:r>
          </w:p>
        </w:tc>
        <w:tc>
          <w:tcPr>
            <w:tcW w:w="0" w:type="auto"/>
            <w:tcBorders>
              <w:top w:val="nil"/>
              <w:left w:val="nil"/>
              <w:bottom w:val="double" w:sz="6" w:space="0" w:color="auto"/>
              <w:right w:val="nil"/>
            </w:tcBorders>
            <w:vAlign w:val="center"/>
            <w:hideMark/>
          </w:tcPr>
          <w:p w14:paraId="6972C331" w14:textId="77777777" w:rsidR="00F552AD" w:rsidRPr="00F552AD" w:rsidRDefault="00F552AD" w:rsidP="00F552AD">
            <w:pPr>
              <w:spacing w:before="0" w:after="0"/>
              <w:jc w:val="right"/>
              <w:rPr>
                <w:rFonts w:ascii="Arial" w:hAnsi="Arial" w:cs="Arial"/>
                <w:sz w:val="16"/>
                <w:szCs w:val="16"/>
              </w:rPr>
            </w:pPr>
            <w:r w:rsidRPr="00F552AD">
              <w:rPr>
                <w:rFonts w:ascii="Arial" w:hAnsi="Arial" w:cs="Arial"/>
                <w:sz w:val="16"/>
                <w:szCs w:val="16"/>
              </w:rPr>
              <w:t>(709)</w:t>
            </w:r>
          </w:p>
        </w:tc>
      </w:tr>
    </w:tbl>
    <w:p w14:paraId="36795E03" w14:textId="77777777" w:rsidR="00A82C0D" w:rsidRDefault="00A82C0D">
      <w:pPr>
        <w:rPr>
          <w:rFonts w:ascii="Franklin Gothic Demi" w:eastAsiaTheme="majorEastAsia" w:hAnsi="Franklin Gothic Demi" w:cstheme="majorBidi"/>
          <w:i/>
          <w:sz w:val="28"/>
          <w:lang w:eastAsia="en-US"/>
        </w:rPr>
      </w:pPr>
      <w:r>
        <w:br w:type="page"/>
      </w:r>
    </w:p>
    <w:p w14:paraId="2A545BA4" w14:textId="3DFB5727" w:rsidR="0027020E" w:rsidRDefault="0022670C" w:rsidP="0022670C">
      <w:pPr>
        <w:pStyle w:val="Heading2"/>
      </w:pPr>
      <w:bookmarkStart w:id="46" w:name="_Ref205284687"/>
      <w:bookmarkStart w:id="47" w:name="_Toc210205639"/>
      <w:bookmarkStart w:id="48" w:name="_Toc211874593"/>
      <w:r>
        <w:lastRenderedPageBreak/>
        <w:t xml:space="preserve">6.2 </w:t>
      </w:r>
      <w:r w:rsidR="0027020E">
        <w:t>Balance Sheet</w:t>
      </w:r>
      <w:bookmarkEnd w:id="46"/>
      <w:bookmarkEnd w:id="47"/>
      <w:bookmarkEnd w:id="48"/>
    </w:p>
    <w:p w14:paraId="5CFF4715" w14:textId="77777777" w:rsidR="0022670C" w:rsidRPr="0022670C" w:rsidRDefault="0022670C" w:rsidP="0022670C">
      <w:pPr>
        <w:spacing w:before="0" w:after="0"/>
        <w:rPr>
          <w:lang w:eastAsia="en-US"/>
        </w:rPr>
      </w:pPr>
    </w:p>
    <w:tbl>
      <w:tblPr>
        <w:tblW w:w="0" w:type="auto"/>
        <w:tblLook w:val="04A0" w:firstRow="1" w:lastRow="0" w:firstColumn="1" w:lastColumn="0" w:noHBand="0" w:noVBand="1"/>
      </w:tblPr>
      <w:tblGrid>
        <w:gridCol w:w="2922"/>
        <w:gridCol w:w="928"/>
        <w:gridCol w:w="928"/>
        <w:gridCol w:w="928"/>
        <w:gridCol w:w="928"/>
        <w:gridCol w:w="928"/>
        <w:gridCol w:w="928"/>
        <w:gridCol w:w="928"/>
        <w:gridCol w:w="928"/>
        <w:gridCol w:w="928"/>
        <w:gridCol w:w="928"/>
        <w:gridCol w:w="928"/>
      </w:tblGrid>
      <w:tr w:rsidR="0040073F" w:rsidRPr="0040073F" w14:paraId="2823D6E3" w14:textId="77777777" w:rsidTr="0040073F">
        <w:trPr>
          <w:trHeight w:val="255"/>
          <w:tblHeader/>
        </w:trPr>
        <w:tc>
          <w:tcPr>
            <w:tcW w:w="0" w:type="auto"/>
            <w:tcBorders>
              <w:top w:val="nil"/>
              <w:left w:val="nil"/>
              <w:bottom w:val="nil"/>
              <w:right w:val="nil"/>
            </w:tcBorders>
            <w:shd w:val="clear" w:color="000000" w:fill="002060"/>
            <w:vAlign w:val="center"/>
            <w:hideMark/>
          </w:tcPr>
          <w:p w14:paraId="6629B1AE"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68924057"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 </w:t>
            </w:r>
          </w:p>
        </w:tc>
        <w:tc>
          <w:tcPr>
            <w:tcW w:w="0" w:type="auto"/>
            <w:vMerge w:val="restart"/>
            <w:tcBorders>
              <w:top w:val="nil"/>
              <w:left w:val="nil"/>
              <w:bottom w:val="nil"/>
              <w:right w:val="nil"/>
            </w:tcBorders>
            <w:shd w:val="clear" w:color="000000" w:fill="002060"/>
            <w:vAlign w:val="center"/>
            <w:hideMark/>
          </w:tcPr>
          <w:p w14:paraId="4DBB4B88"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 </w:t>
            </w:r>
          </w:p>
        </w:tc>
        <w:tc>
          <w:tcPr>
            <w:tcW w:w="0" w:type="auto"/>
            <w:gridSpan w:val="9"/>
            <w:vMerge w:val="restart"/>
            <w:tcBorders>
              <w:top w:val="nil"/>
              <w:left w:val="nil"/>
              <w:bottom w:val="nil"/>
              <w:right w:val="nil"/>
            </w:tcBorders>
            <w:shd w:val="clear" w:color="000000" w:fill="002060"/>
            <w:vAlign w:val="center"/>
            <w:hideMark/>
          </w:tcPr>
          <w:p w14:paraId="254D78E6"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Projections</w:t>
            </w:r>
          </w:p>
        </w:tc>
      </w:tr>
      <w:tr w:rsidR="0040073F" w:rsidRPr="0040073F" w14:paraId="566F1DEA" w14:textId="77777777" w:rsidTr="0040073F">
        <w:trPr>
          <w:trHeight w:val="260"/>
          <w:tblHeader/>
        </w:trPr>
        <w:tc>
          <w:tcPr>
            <w:tcW w:w="0" w:type="auto"/>
            <w:tcBorders>
              <w:top w:val="nil"/>
              <w:left w:val="nil"/>
              <w:bottom w:val="nil"/>
              <w:right w:val="nil"/>
            </w:tcBorders>
            <w:shd w:val="clear" w:color="000000" w:fill="002060"/>
            <w:vAlign w:val="center"/>
            <w:hideMark/>
          </w:tcPr>
          <w:p w14:paraId="01F79950"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12C1332F"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Actual</w:t>
            </w:r>
          </w:p>
        </w:tc>
        <w:tc>
          <w:tcPr>
            <w:tcW w:w="0" w:type="auto"/>
            <w:vMerge/>
            <w:tcBorders>
              <w:top w:val="nil"/>
              <w:left w:val="nil"/>
              <w:bottom w:val="nil"/>
              <w:right w:val="nil"/>
            </w:tcBorders>
            <w:vAlign w:val="center"/>
            <w:hideMark/>
          </w:tcPr>
          <w:p w14:paraId="18D5507F" w14:textId="77777777" w:rsidR="0040073F" w:rsidRPr="0040073F" w:rsidRDefault="0040073F" w:rsidP="0040073F">
            <w:pPr>
              <w:spacing w:before="0" w:after="0"/>
              <w:rPr>
                <w:rFonts w:ascii="Arial" w:hAnsi="Arial" w:cs="Arial"/>
                <w:b/>
                <w:bCs/>
                <w:color w:val="FFFFFF"/>
                <w:sz w:val="16"/>
                <w:szCs w:val="16"/>
              </w:rPr>
            </w:pPr>
          </w:p>
        </w:tc>
        <w:tc>
          <w:tcPr>
            <w:tcW w:w="0" w:type="auto"/>
            <w:gridSpan w:val="9"/>
            <w:vMerge/>
            <w:tcBorders>
              <w:top w:val="nil"/>
              <w:left w:val="nil"/>
              <w:bottom w:val="nil"/>
              <w:right w:val="nil"/>
            </w:tcBorders>
            <w:vAlign w:val="center"/>
            <w:hideMark/>
          </w:tcPr>
          <w:p w14:paraId="4A7DC804" w14:textId="77777777" w:rsidR="0040073F" w:rsidRPr="0040073F" w:rsidRDefault="0040073F" w:rsidP="0040073F">
            <w:pPr>
              <w:spacing w:before="0" w:after="0"/>
              <w:rPr>
                <w:rFonts w:ascii="Arial" w:hAnsi="Arial" w:cs="Arial"/>
                <w:b/>
                <w:bCs/>
                <w:color w:val="FFFFFF"/>
                <w:sz w:val="16"/>
                <w:szCs w:val="16"/>
              </w:rPr>
            </w:pPr>
          </w:p>
        </w:tc>
      </w:tr>
      <w:tr w:rsidR="0040073F" w:rsidRPr="0040073F" w14:paraId="22EB6BE4" w14:textId="77777777" w:rsidTr="0040073F">
        <w:trPr>
          <w:trHeight w:val="260"/>
          <w:tblHeader/>
        </w:trPr>
        <w:tc>
          <w:tcPr>
            <w:tcW w:w="0" w:type="auto"/>
            <w:tcBorders>
              <w:top w:val="nil"/>
              <w:left w:val="nil"/>
              <w:bottom w:val="nil"/>
              <w:right w:val="nil"/>
            </w:tcBorders>
            <w:shd w:val="clear" w:color="000000" w:fill="002060"/>
            <w:vAlign w:val="center"/>
            <w:hideMark/>
          </w:tcPr>
          <w:p w14:paraId="7FDB7963"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21CCD3F0"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2024/25</w:t>
            </w:r>
          </w:p>
        </w:tc>
        <w:tc>
          <w:tcPr>
            <w:tcW w:w="0" w:type="auto"/>
            <w:tcBorders>
              <w:top w:val="nil"/>
              <w:left w:val="nil"/>
              <w:bottom w:val="nil"/>
              <w:right w:val="nil"/>
            </w:tcBorders>
            <w:shd w:val="clear" w:color="000000" w:fill="002060"/>
            <w:vAlign w:val="center"/>
            <w:hideMark/>
          </w:tcPr>
          <w:p w14:paraId="49EB5329"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2025/26</w:t>
            </w:r>
          </w:p>
        </w:tc>
        <w:tc>
          <w:tcPr>
            <w:tcW w:w="0" w:type="auto"/>
            <w:tcBorders>
              <w:top w:val="nil"/>
              <w:left w:val="nil"/>
              <w:bottom w:val="nil"/>
              <w:right w:val="nil"/>
            </w:tcBorders>
            <w:shd w:val="clear" w:color="000000" w:fill="002060"/>
            <w:vAlign w:val="center"/>
            <w:hideMark/>
          </w:tcPr>
          <w:p w14:paraId="63E235D7"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2026/27</w:t>
            </w:r>
          </w:p>
        </w:tc>
        <w:tc>
          <w:tcPr>
            <w:tcW w:w="0" w:type="auto"/>
            <w:tcBorders>
              <w:top w:val="nil"/>
              <w:left w:val="nil"/>
              <w:bottom w:val="nil"/>
              <w:right w:val="nil"/>
            </w:tcBorders>
            <w:shd w:val="clear" w:color="000000" w:fill="002060"/>
            <w:vAlign w:val="center"/>
            <w:hideMark/>
          </w:tcPr>
          <w:p w14:paraId="78387329"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2027/28</w:t>
            </w:r>
          </w:p>
        </w:tc>
        <w:tc>
          <w:tcPr>
            <w:tcW w:w="0" w:type="auto"/>
            <w:tcBorders>
              <w:top w:val="nil"/>
              <w:left w:val="nil"/>
              <w:bottom w:val="nil"/>
              <w:right w:val="nil"/>
            </w:tcBorders>
            <w:shd w:val="clear" w:color="000000" w:fill="002060"/>
            <w:vAlign w:val="center"/>
            <w:hideMark/>
          </w:tcPr>
          <w:p w14:paraId="28A6E7FA"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2028/29</w:t>
            </w:r>
          </w:p>
        </w:tc>
        <w:tc>
          <w:tcPr>
            <w:tcW w:w="0" w:type="auto"/>
            <w:tcBorders>
              <w:top w:val="nil"/>
              <w:left w:val="nil"/>
              <w:bottom w:val="nil"/>
              <w:right w:val="nil"/>
            </w:tcBorders>
            <w:shd w:val="clear" w:color="000000" w:fill="002060"/>
            <w:vAlign w:val="center"/>
            <w:hideMark/>
          </w:tcPr>
          <w:p w14:paraId="261E33DE"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2029/30</w:t>
            </w:r>
          </w:p>
        </w:tc>
        <w:tc>
          <w:tcPr>
            <w:tcW w:w="0" w:type="auto"/>
            <w:tcBorders>
              <w:top w:val="nil"/>
              <w:left w:val="nil"/>
              <w:bottom w:val="nil"/>
              <w:right w:val="nil"/>
            </w:tcBorders>
            <w:shd w:val="clear" w:color="000000" w:fill="002060"/>
            <w:vAlign w:val="center"/>
            <w:hideMark/>
          </w:tcPr>
          <w:p w14:paraId="6FB8A184"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2030/31</w:t>
            </w:r>
          </w:p>
        </w:tc>
        <w:tc>
          <w:tcPr>
            <w:tcW w:w="0" w:type="auto"/>
            <w:tcBorders>
              <w:top w:val="nil"/>
              <w:left w:val="nil"/>
              <w:bottom w:val="nil"/>
              <w:right w:val="nil"/>
            </w:tcBorders>
            <w:shd w:val="clear" w:color="000000" w:fill="002060"/>
            <w:vAlign w:val="center"/>
            <w:hideMark/>
          </w:tcPr>
          <w:p w14:paraId="191924F0"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2031/32</w:t>
            </w:r>
          </w:p>
        </w:tc>
        <w:tc>
          <w:tcPr>
            <w:tcW w:w="0" w:type="auto"/>
            <w:tcBorders>
              <w:top w:val="nil"/>
              <w:left w:val="nil"/>
              <w:bottom w:val="nil"/>
              <w:right w:val="nil"/>
            </w:tcBorders>
            <w:shd w:val="clear" w:color="000000" w:fill="002060"/>
            <w:vAlign w:val="center"/>
            <w:hideMark/>
          </w:tcPr>
          <w:p w14:paraId="74AAD8E3"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2032/33</w:t>
            </w:r>
          </w:p>
        </w:tc>
        <w:tc>
          <w:tcPr>
            <w:tcW w:w="0" w:type="auto"/>
            <w:tcBorders>
              <w:top w:val="nil"/>
              <w:left w:val="nil"/>
              <w:bottom w:val="nil"/>
              <w:right w:val="nil"/>
            </w:tcBorders>
            <w:shd w:val="clear" w:color="000000" w:fill="002060"/>
            <w:vAlign w:val="center"/>
            <w:hideMark/>
          </w:tcPr>
          <w:p w14:paraId="594F642A"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2033/34</w:t>
            </w:r>
          </w:p>
        </w:tc>
        <w:tc>
          <w:tcPr>
            <w:tcW w:w="0" w:type="auto"/>
            <w:tcBorders>
              <w:top w:val="nil"/>
              <w:left w:val="nil"/>
              <w:bottom w:val="nil"/>
              <w:right w:val="nil"/>
            </w:tcBorders>
            <w:shd w:val="clear" w:color="000000" w:fill="002060"/>
            <w:vAlign w:val="center"/>
            <w:hideMark/>
          </w:tcPr>
          <w:p w14:paraId="55C28815"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2034/35</w:t>
            </w:r>
          </w:p>
        </w:tc>
      </w:tr>
      <w:tr w:rsidR="0040073F" w:rsidRPr="0040073F" w14:paraId="37F01703" w14:textId="77777777" w:rsidTr="0040073F">
        <w:trPr>
          <w:trHeight w:val="260"/>
          <w:tblHeader/>
        </w:trPr>
        <w:tc>
          <w:tcPr>
            <w:tcW w:w="0" w:type="auto"/>
            <w:tcBorders>
              <w:top w:val="nil"/>
              <w:left w:val="nil"/>
              <w:bottom w:val="nil"/>
              <w:right w:val="nil"/>
            </w:tcBorders>
            <w:shd w:val="clear" w:color="000000" w:fill="002060"/>
            <w:vAlign w:val="center"/>
            <w:hideMark/>
          </w:tcPr>
          <w:p w14:paraId="3C96D0A3"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00CEC9A5"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181A7CE9"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4B36B270"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0C685615"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19BB2844"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3C047ADE"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12EA590A"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43668590"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4F1EB03D"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675C0693"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50751D41" w14:textId="77777777" w:rsidR="0040073F" w:rsidRPr="0040073F" w:rsidRDefault="0040073F" w:rsidP="0040073F">
            <w:pPr>
              <w:spacing w:before="0" w:after="0"/>
              <w:jc w:val="center"/>
              <w:rPr>
                <w:rFonts w:ascii="Arial" w:hAnsi="Arial" w:cs="Arial"/>
                <w:b/>
                <w:bCs/>
                <w:color w:val="FFFFFF"/>
                <w:sz w:val="16"/>
                <w:szCs w:val="16"/>
              </w:rPr>
            </w:pPr>
            <w:r w:rsidRPr="0040073F">
              <w:rPr>
                <w:rFonts w:ascii="Arial" w:hAnsi="Arial" w:cs="Arial"/>
                <w:b/>
                <w:bCs/>
                <w:color w:val="FFFFFF"/>
                <w:sz w:val="16"/>
                <w:szCs w:val="16"/>
              </w:rPr>
              <w:t>$’000</w:t>
            </w:r>
          </w:p>
        </w:tc>
      </w:tr>
      <w:tr w:rsidR="00347DFC" w:rsidRPr="0040073F" w14:paraId="6F624B04" w14:textId="77777777" w:rsidTr="00347DFC">
        <w:trPr>
          <w:trHeight w:val="260"/>
        </w:trPr>
        <w:tc>
          <w:tcPr>
            <w:tcW w:w="0" w:type="auto"/>
            <w:tcBorders>
              <w:top w:val="nil"/>
              <w:left w:val="nil"/>
              <w:bottom w:val="nil"/>
              <w:right w:val="nil"/>
            </w:tcBorders>
            <w:hideMark/>
          </w:tcPr>
          <w:p w14:paraId="10AFA41C"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Assets</w:t>
            </w:r>
          </w:p>
        </w:tc>
        <w:tc>
          <w:tcPr>
            <w:tcW w:w="0" w:type="auto"/>
            <w:tcBorders>
              <w:top w:val="nil"/>
              <w:left w:val="nil"/>
              <w:bottom w:val="nil"/>
              <w:right w:val="nil"/>
            </w:tcBorders>
            <w:vAlign w:val="center"/>
            <w:hideMark/>
          </w:tcPr>
          <w:p w14:paraId="3D378DB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745045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DC378E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F02422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4B1E01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6EF869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E0BF30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B76292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F15BB6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FC3FA9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C727E4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 </w:t>
            </w:r>
          </w:p>
        </w:tc>
      </w:tr>
      <w:tr w:rsidR="00347DFC" w:rsidRPr="0040073F" w14:paraId="70EADF8E" w14:textId="77777777" w:rsidTr="00347DFC">
        <w:trPr>
          <w:trHeight w:val="260"/>
        </w:trPr>
        <w:tc>
          <w:tcPr>
            <w:tcW w:w="0" w:type="auto"/>
            <w:tcBorders>
              <w:top w:val="nil"/>
              <w:left w:val="nil"/>
              <w:bottom w:val="nil"/>
              <w:right w:val="nil"/>
            </w:tcBorders>
            <w:hideMark/>
          </w:tcPr>
          <w:p w14:paraId="28E4DCA1"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Current assets</w:t>
            </w:r>
          </w:p>
        </w:tc>
        <w:tc>
          <w:tcPr>
            <w:tcW w:w="0" w:type="auto"/>
            <w:tcBorders>
              <w:top w:val="nil"/>
              <w:left w:val="nil"/>
              <w:bottom w:val="nil"/>
              <w:right w:val="nil"/>
            </w:tcBorders>
            <w:vAlign w:val="center"/>
            <w:hideMark/>
          </w:tcPr>
          <w:p w14:paraId="6EF0CFD9"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 </w:t>
            </w:r>
          </w:p>
        </w:tc>
        <w:tc>
          <w:tcPr>
            <w:tcW w:w="0" w:type="auto"/>
            <w:tcBorders>
              <w:top w:val="nil"/>
              <w:left w:val="nil"/>
              <w:bottom w:val="nil"/>
              <w:right w:val="nil"/>
            </w:tcBorders>
            <w:vAlign w:val="center"/>
            <w:hideMark/>
          </w:tcPr>
          <w:p w14:paraId="27629CF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D2D51C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EA71E2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C3C965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B61193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71246DA"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334DF2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E62B437"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BA866EB"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681140C"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47DFC" w:rsidRPr="0040073F" w14:paraId="275266D0" w14:textId="77777777" w:rsidTr="00347DFC">
        <w:trPr>
          <w:trHeight w:val="260"/>
        </w:trPr>
        <w:tc>
          <w:tcPr>
            <w:tcW w:w="0" w:type="auto"/>
            <w:tcBorders>
              <w:top w:val="nil"/>
              <w:left w:val="nil"/>
              <w:bottom w:val="nil"/>
              <w:right w:val="nil"/>
            </w:tcBorders>
            <w:noWrap/>
            <w:hideMark/>
          </w:tcPr>
          <w:p w14:paraId="7D8F4A8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Cash and cash equivalents</w:t>
            </w:r>
          </w:p>
        </w:tc>
        <w:tc>
          <w:tcPr>
            <w:tcW w:w="0" w:type="auto"/>
            <w:tcBorders>
              <w:top w:val="nil"/>
              <w:left w:val="nil"/>
              <w:bottom w:val="nil"/>
              <w:right w:val="nil"/>
            </w:tcBorders>
            <w:vAlign w:val="center"/>
            <w:hideMark/>
          </w:tcPr>
          <w:p w14:paraId="7D2C597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169,699</w:t>
            </w:r>
          </w:p>
        </w:tc>
        <w:tc>
          <w:tcPr>
            <w:tcW w:w="0" w:type="auto"/>
            <w:tcBorders>
              <w:top w:val="nil"/>
              <w:left w:val="nil"/>
              <w:bottom w:val="nil"/>
              <w:right w:val="nil"/>
            </w:tcBorders>
            <w:vAlign w:val="center"/>
            <w:hideMark/>
          </w:tcPr>
          <w:p w14:paraId="297029E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215,228</w:t>
            </w:r>
          </w:p>
        </w:tc>
        <w:tc>
          <w:tcPr>
            <w:tcW w:w="0" w:type="auto"/>
            <w:tcBorders>
              <w:top w:val="nil"/>
              <w:left w:val="nil"/>
              <w:bottom w:val="nil"/>
              <w:right w:val="nil"/>
            </w:tcBorders>
            <w:vAlign w:val="center"/>
            <w:hideMark/>
          </w:tcPr>
          <w:p w14:paraId="4F0370E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223,917</w:t>
            </w:r>
          </w:p>
        </w:tc>
        <w:tc>
          <w:tcPr>
            <w:tcW w:w="0" w:type="auto"/>
            <w:tcBorders>
              <w:top w:val="nil"/>
              <w:left w:val="nil"/>
              <w:bottom w:val="nil"/>
              <w:right w:val="nil"/>
            </w:tcBorders>
            <w:vAlign w:val="center"/>
            <w:hideMark/>
          </w:tcPr>
          <w:p w14:paraId="520E674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228,191</w:t>
            </w:r>
          </w:p>
        </w:tc>
        <w:tc>
          <w:tcPr>
            <w:tcW w:w="0" w:type="auto"/>
            <w:tcBorders>
              <w:top w:val="nil"/>
              <w:left w:val="nil"/>
              <w:bottom w:val="nil"/>
              <w:right w:val="nil"/>
            </w:tcBorders>
            <w:vAlign w:val="center"/>
            <w:hideMark/>
          </w:tcPr>
          <w:p w14:paraId="0D9C7B6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230,846</w:t>
            </w:r>
          </w:p>
        </w:tc>
        <w:tc>
          <w:tcPr>
            <w:tcW w:w="0" w:type="auto"/>
            <w:tcBorders>
              <w:top w:val="nil"/>
              <w:left w:val="nil"/>
              <w:bottom w:val="nil"/>
              <w:right w:val="nil"/>
            </w:tcBorders>
            <w:vAlign w:val="center"/>
            <w:hideMark/>
          </w:tcPr>
          <w:p w14:paraId="47365D1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229,597</w:t>
            </w:r>
          </w:p>
        </w:tc>
        <w:tc>
          <w:tcPr>
            <w:tcW w:w="0" w:type="auto"/>
            <w:tcBorders>
              <w:top w:val="nil"/>
              <w:left w:val="nil"/>
              <w:bottom w:val="nil"/>
              <w:right w:val="nil"/>
            </w:tcBorders>
            <w:vAlign w:val="center"/>
            <w:hideMark/>
          </w:tcPr>
          <w:p w14:paraId="0B9DB97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217,936</w:t>
            </w:r>
          </w:p>
        </w:tc>
        <w:tc>
          <w:tcPr>
            <w:tcW w:w="0" w:type="auto"/>
            <w:tcBorders>
              <w:top w:val="nil"/>
              <w:left w:val="nil"/>
              <w:bottom w:val="nil"/>
              <w:right w:val="nil"/>
            </w:tcBorders>
            <w:vAlign w:val="center"/>
            <w:hideMark/>
          </w:tcPr>
          <w:p w14:paraId="3CE18F2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207,237</w:t>
            </w:r>
          </w:p>
        </w:tc>
        <w:tc>
          <w:tcPr>
            <w:tcW w:w="0" w:type="auto"/>
            <w:tcBorders>
              <w:top w:val="nil"/>
              <w:left w:val="nil"/>
              <w:bottom w:val="nil"/>
              <w:right w:val="nil"/>
            </w:tcBorders>
            <w:vAlign w:val="center"/>
            <w:hideMark/>
          </w:tcPr>
          <w:p w14:paraId="343CD0F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198,426</w:t>
            </w:r>
          </w:p>
        </w:tc>
        <w:tc>
          <w:tcPr>
            <w:tcW w:w="0" w:type="auto"/>
            <w:tcBorders>
              <w:top w:val="nil"/>
              <w:left w:val="nil"/>
              <w:bottom w:val="nil"/>
              <w:right w:val="nil"/>
            </w:tcBorders>
            <w:vAlign w:val="center"/>
            <w:hideMark/>
          </w:tcPr>
          <w:p w14:paraId="1C293D6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204,831</w:t>
            </w:r>
          </w:p>
        </w:tc>
        <w:tc>
          <w:tcPr>
            <w:tcW w:w="0" w:type="auto"/>
            <w:tcBorders>
              <w:top w:val="nil"/>
              <w:left w:val="nil"/>
              <w:bottom w:val="nil"/>
              <w:right w:val="nil"/>
            </w:tcBorders>
            <w:vAlign w:val="center"/>
            <w:hideMark/>
          </w:tcPr>
          <w:p w14:paraId="7524FED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203,198</w:t>
            </w:r>
          </w:p>
        </w:tc>
      </w:tr>
      <w:tr w:rsidR="00347DFC" w:rsidRPr="0040073F" w14:paraId="1984EB14" w14:textId="77777777" w:rsidTr="00347DFC">
        <w:trPr>
          <w:trHeight w:val="260"/>
        </w:trPr>
        <w:tc>
          <w:tcPr>
            <w:tcW w:w="0" w:type="auto"/>
            <w:tcBorders>
              <w:top w:val="nil"/>
              <w:left w:val="nil"/>
              <w:bottom w:val="nil"/>
              <w:right w:val="nil"/>
            </w:tcBorders>
            <w:noWrap/>
            <w:hideMark/>
          </w:tcPr>
          <w:p w14:paraId="1F3EFD3A"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Trade and other receivables</w:t>
            </w:r>
          </w:p>
        </w:tc>
        <w:tc>
          <w:tcPr>
            <w:tcW w:w="0" w:type="auto"/>
            <w:tcBorders>
              <w:top w:val="nil"/>
              <w:left w:val="nil"/>
              <w:bottom w:val="nil"/>
              <w:right w:val="nil"/>
            </w:tcBorders>
            <w:vAlign w:val="center"/>
            <w:hideMark/>
          </w:tcPr>
          <w:p w14:paraId="4E854E5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29,135</w:t>
            </w:r>
          </w:p>
        </w:tc>
        <w:tc>
          <w:tcPr>
            <w:tcW w:w="0" w:type="auto"/>
            <w:tcBorders>
              <w:top w:val="nil"/>
              <w:left w:val="nil"/>
              <w:bottom w:val="nil"/>
              <w:right w:val="nil"/>
            </w:tcBorders>
            <w:vAlign w:val="center"/>
            <w:hideMark/>
          </w:tcPr>
          <w:p w14:paraId="6B1C641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21,036</w:t>
            </w:r>
          </w:p>
        </w:tc>
        <w:tc>
          <w:tcPr>
            <w:tcW w:w="0" w:type="auto"/>
            <w:tcBorders>
              <w:top w:val="nil"/>
              <w:left w:val="nil"/>
              <w:bottom w:val="nil"/>
              <w:right w:val="nil"/>
            </w:tcBorders>
            <w:vAlign w:val="center"/>
            <w:hideMark/>
          </w:tcPr>
          <w:p w14:paraId="3B39589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17,961</w:t>
            </w:r>
          </w:p>
        </w:tc>
        <w:tc>
          <w:tcPr>
            <w:tcW w:w="0" w:type="auto"/>
            <w:tcBorders>
              <w:top w:val="nil"/>
              <w:left w:val="nil"/>
              <w:bottom w:val="nil"/>
              <w:right w:val="nil"/>
            </w:tcBorders>
            <w:vAlign w:val="center"/>
            <w:hideMark/>
          </w:tcPr>
          <w:p w14:paraId="2208919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19,073</w:t>
            </w:r>
          </w:p>
        </w:tc>
        <w:tc>
          <w:tcPr>
            <w:tcW w:w="0" w:type="auto"/>
            <w:tcBorders>
              <w:top w:val="nil"/>
              <w:left w:val="nil"/>
              <w:bottom w:val="nil"/>
              <w:right w:val="nil"/>
            </w:tcBorders>
            <w:vAlign w:val="center"/>
            <w:hideMark/>
          </w:tcPr>
          <w:p w14:paraId="3DC5330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19,122</w:t>
            </w:r>
          </w:p>
        </w:tc>
        <w:tc>
          <w:tcPr>
            <w:tcW w:w="0" w:type="auto"/>
            <w:tcBorders>
              <w:top w:val="nil"/>
              <w:left w:val="nil"/>
              <w:bottom w:val="nil"/>
              <w:right w:val="nil"/>
            </w:tcBorders>
            <w:vAlign w:val="center"/>
            <w:hideMark/>
          </w:tcPr>
          <w:p w14:paraId="51446F9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20,257</w:t>
            </w:r>
          </w:p>
        </w:tc>
        <w:tc>
          <w:tcPr>
            <w:tcW w:w="0" w:type="auto"/>
            <w:tcBorders>
              <w:top w:val="nil"/>
              <w:left w:val="nil"/>
              <w:bottom w:val="nil"/>
              <w:right w:val="nil"/>
            </w:tcBorders>
            <w:vAlign w:val="center"/>
            <w:hideMark/>
          </w:tcPr>
          <w:p w14:paraId="49799C9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19,660</w:t>
            </w:r>
          </w:p>
        </w:tc>
        <w:tc>
          <w:tcPr>
            <w:tcW w:w="0" w:type="auto"/>
            <w:tcBorders>
              <w:top w:val="nil"/>
              <w:left w:val="nil"/>
              <w:bottom w:val="nil"/>
              <w:right w:val="nil"/>
            </w:tcBorders>
            <w:vAlign w:val="center"/>
            <w:hideMark/>
          </w:tcPr>
          <w:p w14:paraId="597A2C0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20,613</w:t>
            </w:r>
          </w:p>
        </w:tc>
        <w:tc>
          <w:tcPr>
            <w:tcW w:w="0" w:type="auto"/>
            <w:tcBorders>
              <w:top w:val="nil"/>
              <w:left w:val="nil"/>
              <w:bottom w:val="nil"/>
              <w:right w:val="nil"/>
            </w:tcBorders>
            <w:vAlign w:val="center"/>
            <w:hideMark/>
          </w:tcPr>
          <w:p w14:paraId="3EF8893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21,706</w:t>
            </w:r>
          </w:p>
        </w:tc>
        <w:tc>
          <w:tcPr>
            <w:tcW w:w="0" w:type="auto"/>
            <w:tcBorders>
              <w:top w:val="nil"/>
              <w:left w:val="nil"/>
              <w:bottom w:val="nil"/>
              <w:right w:val="nil"/>
            </w:tcBorders>
            <w:vAlign w:val="center"/>
            <w:hideMark/>
          </w:tcPr>
          <w:p w14:paraId="5FB61B4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22,944</w:t>
            </w:r>
          </w:p>
        </w:tc>
        <w:tc>
          <w:tcPr>
            <w:tcW w:w="0" w:type="auto"/>
            <w:tcBorders>
              <w:top w:val="nil"/>
              <w:left w:val="nil"/>
              <w:bottom w:val="nil"/>
              <w:right w:val="nil"/>
            </w:tcBorders>
            <w:vAlign w:val="center"/>
            <w:hideMark/>
          </w:tcPr>
          <w:p w14:paraId="6840D05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23,748</w:t>
            </w:r>
          </w:p>
        </w:tc>
      </w:tr>
      <w:tr w:rsidR="00347DFC" w:rsidRPr="0040073F" w14:paraId="1E952107" w14:textId="77777777" w:rsidTr="00347DFC">
        <w:trPr>
          <w:trHeight w:val="260"/>
        </w:trPr>
        <w:tc>
          <w:tcPr>
            <w:tcW w:w="0" w:type="auto"/>
            <w:tcBorders>
              <w:top w:val="nil"/>
              <w:left w:val="nil"/>
              <w:bottom w:val="nil"/>
              <w:right w:val="nil"/>
            </w:tcBorders>
            <w:noWrap/>
            <w:hideMark/>
          </w:tcPr>
          <w:p w14:paraId="1B3B1976"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Other assets</w:t>
            </w:r>
          </w:p>
        </w:tc>
        <w:tc>
          <w:tcPr>
            <w:tcW w:w="0" w:type="auto"/>
            <w:tcBorders>
              <w:top w:val="nil"/>
              <w:left w:val="nil"/>
              <w:bottom w:val="nil"/>
              <w:right w:val="nil"/>
            </w:tcBorders>
            <w:vAlign w:val="center"/>
            <w:hideMark/>
          </w:tcPr>
          <w:p w14:paraId="454C8A6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24655BC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5F7F493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3127E3D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625BD54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781173B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5090D71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5F97B22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599AF34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2874254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c>
          <w:tcPr>
            <w:tcW w:w="0" w:type="auto"/>
            <w:tcBorders>
              <w:top w:val="nil"/>
              <w:left w:val="nil"/>
              <w:bottom w:val="nil"/>
              <w:right w:val="nil"/>
            </w:tcBorders>
            <w:vAlign w:val="center"/>
            <w:hideMark/>
          </w:tcPr>
          <w:p w14:paraId="0AC765B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w:t>
            </w:r>
          </w:p>
        </w:tc>
      </w:tr>
      <w:tr w:rsidR="00347DFC" w:rsidRPr="0040073F" w14:paraId="5B0E1CBC" w14:textId="77777777" w:rsidTr="00347DFC">
        <w:trPr>
          <w:trHeight w:val="260"/>
        </w:trPr>
        <w:tc>
          <w:tcPr>
            <w:tcW w:w="0" w:type="auto"/>
            <w:tcBorders>
              <w:top w:val="nil"/>
              <w:left w:val="nil"/>
              <w:bottom w:val="nil"/>
              <w:right w:val="nil"/>
            </w:tcBorders>
            <w:hideMark/>
          </w:tcPr>
          <w:p w14:paraId="5A20C855"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Total current assets</w:t>
            </w:r>
          </w:p>
        </w:tc>
        <w:tc>
          <w:tcPr>
            <w:tcW w:w="0" w:type="auto"/>
            <w:tcBorders>
              <w:top w:val="single" w:sz="4" w:space="0" w:color="auto"/>
              <w:left w:val="nil"/>
              <w:bottom w:val="single" w:sz="4" w:space="0" w:color="auto"/>
              <w:right w:val="nil"/>
            </w:tcBorders>
            <w:vAlign w:val="center"/>
            <w:hideMark/>
          </w:tcPr>
          <w:p w14:paraId="36B246F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202,497</w:t>
            </w:r>
          </w:p>
        </w:tc>
        <w:tc>
          <w:tcPr>
            <w:tcW w:w="0" w:type="auto"/>
            <w:tcBorders>
              <w:top w:val="single" w:sz="4" w:space="0" w:color="auto"/>
              <w:left w:val="nil"/>
              <w:bottom w:val="single" w:sz="4" w:space="0" w:color="auto"/>
              <w:right w:val="nil"/>
            </w:tcBorders>
            <w:vAlign w:val="center"/>
            <w:hideMark/>
          </w:tcPr>
          <w:p w14:paraId="70591C4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239,927</w:t>
            </w:r>
          </w:p>
        </w:tc>
        <w:tc>
          <w:tcPr>
            <w:tcW w:w="0" w:type="auto"/>
            <w:tcBorders>
              <w:top w:val="single" w:sz="4" w:space="0" w:color="auto"/>
              <w:left w:val="nil"/>
              <w:bottom w:val="single" w:sz="4" w:space="0" w:color="auto"/>
              <w:right w:val="nil"/>
            </w:tcBorders>
            <w:vAlign w:val="center"/>
            <w:hideMark/>
          </w:tcPr>
          <w:p w14:paraId="259F235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245,540</w:t>
            </w:r>
          </w:p>
        </w:tc>
        <w:tc>
          <w:tcPr>
            <w:tcW w:w="0" w:type="auto"/>
            <w:tcBorders>
              <w:top w:val="single" w:sz="4" w:space="0" w:color="auto"/>
              <w:left w:val="nil"/>
              <w:bottom w:val="single" w:sz="4" w:space="0" w:color="auto"/>
              <w:right w:val="nil"/>
            </w:tcBorders>
            <w:vAlign w:val="center"/>
            <w:hideMark/>
          </w:tcPr>
          <w:p w14:paraId="651AAB9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250,927</w:t>
            </w:r>
          </w:p>
        </w:tc>
        <w:tc>
          <w:tcPr>
            <w:tcW w:w="0" w:type="auto"/>
            <w:tcBorders>
              <w:top w:val="single" w:sz="4" w:space="0" w:color="auto"/>
              <w:left w:val="nil"/>
              <w:bottom w:val="single" w:sz="4" w:space="0" w:color="auto"/>
              <w:right w:val="nil"/>
            </w:tcBorders>
            <w:vAlign w:val="center"/>
            <w:hideMark/>
          </w:tcPr>
          <w:p w14:paraId="4B34F56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253,631</w:t>
            </w:r>
          </w:p>
        </w:tc>
        <w:tc>
          <w:tcPr>
            <w:tcW w:w="0" w:type="auto"/>
            <w:tcBorders>
              <w:top w:val="single" w:sz="4" w:space="0" w:color="auto"/>
              <w:left w:val="nil"/>
              <w:bottom w:val="single" w:sz="4" w:space="0" w:color="auto"/>
              <w:right w:val="nil"/>
            </w:tcBorders>
            <w:vAlign w:val="center"/>
            <w:hideMark/>
          </w:tcPr>
          <w:p w14:paraId="49B64EF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253,518</w:t>
            </w:r>
          </w:p>
        </w:tc>
        <w:tc>
          <w:tcPr>
            <w:tcW w:w="0" w:type="auto"/>
            <w:tcBorders>
              <w:top w:val="single" w:sz="4" w:space="0" w:color="auto"/>
              <w:left w:val="nil"/>
              <w:bottom w:val="single" w:sz="4" w:space="0" w:color="auto"/>
              <w:right w:val="nil"/>
            </w:tcBorders>
            <w:vAlign w:val="center"/>
            <w:hideMark/>
          </w:tcPr>
          <w:p w14:paraId="71FF896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241,259</w:t>
            </w:r>
          </w:p>
        </w:tc>
        <w:tc>
          <w:tcPr>
            <w:tcW w:w="0" w:type="auto"/>
            <w:tcBorders>
              <w:top w:val="single" w:sz="4" w:space="0" w:color="auto"/>
              <w:left w:val="nil"/>
              <w:bottom w:val="single" w:sz="4" w:space="0" w:color="auto"/>
              <w:right w:val="nil"/>
            </w:tcBorders>
            <w:vAlign w:val="center"/>
            <w:hideMark/>
          </w:tcPr>
          <w:p w14:paraId="73473F6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231,513</w:t>
            </w:r>
          </w:p>
        </w:tc>
        <w:tc>
          <w:tcPr>
            <w:tcW w:w="0" w:type="auto"/>
            <w:tcBorders>
              <w:top w:val="single" w:sz="4" w:space="0" w:color="auto"/>
              <w:left w:val="nil"/>
              <w:bottom w:val="single" w:sz="4" w:space="0" w:color="auto"/>
              <w:right w:val="nil"/>
            </w:tcBorders>
            <w:vAlign w:val="center"/>
            <w:hideMark/>
          </w:tcPr>
          <w:p w14:paraId="0F5876E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223,794</w:t>
            </w:r>
          </w:p>
        </w:tc>
        <w:tc>
          <w:tcPr>
            <w:tcW w:w="0" w:type="auto"/>
            <w:tcBorders>
              <w:top w:val="single" w:sz="4" w:space="0" w:color="auto"/>
              <w:left w:val="nil"/>
              <w:bottom w:val="single" w:sz="4" w:space="0" w:color="auto"/>
              <w:right w:val="nil"/>
            </w:tcBorders>
            <w:vAlign w:val="center"/>
            <w:hideMark/>
          </w:tcPr>
          <w:p w14:paraId="4FD5B0E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231,438</w:t>
            </w:r>
          </w:p>
        </w:tc>
        <w:tc>
          <w:tcPr>
            <w:tcW w:w="0" w:type="auto"/>
            <w:tcBorders>
              <w:top w:val="single" w:sz="4" w:space="0" w:color="auto"/>
              <w:left w:val="nil"/>
              <w:bottom w:val="single" w:sz="4" w:space="0" w:color="auto"/>
              <w:right w:val="nil"/>
            </w:tcBorders>
            <w:vAlign w:val="center"/>
            <w:hideMark/>
          </w:tcPr>
          <w:p w14:paraId="53F0E1A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230,609</w:t>
            </w:r>
          </w:p>
        </w:tc>
      </w:tr>
      <w:tr w:rsidR="00347DFC" w:rsidRPr="0040073F" w14:paraId="7B3D7005" w14:textId="77777777" w:rsidTr="00347DFC">
        <w:trPr>
          <w:trHeight w:val="260"/>
        </w:trPr>
        <w:tc>
          <w:tcPr>
            <w:tcW w:w="0" w:type="auto"/>
            <w:tcBorders>
              <w:top w:val="nil"/>
              <w:left w:val="nil"/>
              <w:bottom w:val="nil"/>
              <w:right w:val="nil"/>
            </w:tcBorders>
            <w:hideMark/>
          </w:tcPr>
          <w:p w14:paraId="47713A4E"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DD68C4A"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AD0D771"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8E5B46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F46057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C4D9035"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6A22E92"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6E197D7"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78AF63C"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915418E"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F808B5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16DC57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47DFC" w:rsidRPr="0040073F" w14:paraId="26D02D87" w14:textId="77777777" w:rsidTr="00347DFC">
        <w:trPr>
          <w:trHeight w:val="260"/>
        </w:trPr>
        <w:tc>
          <w:tcPr>
            <w:tcW w:w="0" w:type="auto"/>
            <w:tcBorders>
              <w:top w:val="nil"/>
              <w:left w:val="nil"/>
              <w:bottom w:val="nil"/>
              <w:right w:val="nil"/>
            </w:tcBorders>
            <w:hideMark/>
          </w:tcPr>
          <w:p w14:paraId="7EFF7170"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Non-current assets</w:t>
            </w:r>
          </w:p>
        </w:tc>
        <w:tc>
          <w:tcPr>
            <w:tcW w:w="0" w:type="auto"/>
            <w:tcBorders>
              <w:top w:val="nil"/>
              <w:left w:val="nil"/>
              <w:bottom w:val="nil"/>
              <w:right w:val="nil"/>
            </w:tcBorders>
            <w:vAlign w:val="center"/>
            <w:hideMark/>
          </w:tcPr>
          <w:p w14:paraId="28AFDF2F"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 </w:t>
            </w:r>
          </w:p>
        </w:tc>
        <w:tc>
          <w:tcPr>
            <w:tcW w:w="0" w:type="auto"/>
            <w:tcBorders>
              <w:top w:val="nil"/>
              <w:left w:val="nil"/>
              <w:bottom w:val="nil"/>
              <w:right w:val="nil"/>
            </w:tcBorders>
            <w:vAlign w:val="center"/>
            <w:hideMark/>
          </w:tcPr>
          <w:p w14:paraId="7E11CD89"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C06FB35"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2DFCC3E"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EAB0B89"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2E67CA2"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F4838FB"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0BEBEC3"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0A926EA"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446C450"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9E5FAB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47DFC" w:rsidRPr="0040073F" w14:paraId="451DFE46" w14:textId="77777777" w:rsidTr="00347DFC">
        <w:trPr>
          <w:trHeight w:val="260"/>
        </w:trPr>
        <w:tc>
          <w:tcPr>
            <w:tcW w:w="0" w:type="auto"/>
            <w:tcBorders>
              <w:top w:val="nil"/>
              <w:left w:val="nil"/>
              <w:bottom w:val="nil"/>
              <w:right w:val="nil"/>
            </w:tcBorders>
            <w:noWrap/>
            <w:hideMark/>
          </w:tcPr>
          <w:p w14:paraId="1B6F4ED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Trade and other receivables</w:t>
            </w:r>
          </w:p>
        </w:tc>
        <w:tc>
          <w:tcPr>
            <w:tcW w:w="0" w:type="auto"/>
            <w:tcBorders>
              <w:top w:val="nil"/>
              <w:left w:val="nil"/>
              <w:bottom w:val="nil"/>
              <w:right w:val="nil"/>
            </w:tcBorders>
            <w:vAlign w:val="center"/>
            <w:hideMark/>
          </w:tcPr>
          <w:p w14:paraId="18313E5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34306E9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410F3D1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00A6A77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147273F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05D7A36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3CA3544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60E52B6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52BEFD7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040E790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c>
          <w:tcPr>
            <w:tcW w:w="0" w:type="auto"/>
            <w:tcBorders>
              <w:top w:val="nil"/>
              <w:left w:val="nil"/>
              <w:bottom w:val="nil"/>
              <w:right w:val="nil"/>
            </w:tcBorders>
            <w:vAlign w:val="center"/>
            <w:hideMark/>
          </w:tcPr>
          <w:p w14:paraId="3A46B1C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3,111</w:t>
            </w:r>
          </w:p>
        </w:tc>
      </w:tr>
      <w:tr w:rsidR="00347DFC" w:rsidRPr="0040073F" w14:paraId="43E8BF72" w14:textId="77777777" w:rsidTr="00347DFC">
        <w:trPr>
          <w:trHeight w:val="260"/>
        </w:trPr>
        <w:tc>
          <w:tcPr>
            <w:tcW w:w="0" w:type="auto"/>
            <w:tcBorders>
              <w:top w:val="nil"/>
              <w:left w:val="nil"/>
              <w:bottom w:val="nil"/>
              <w:right w:val="nil"/>
            </w:tcBorders>
            <w:hideMark/>
          </w:tcPr>
          <w:p w14:paraId="2AB09002"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Property, infrastructure, plant &amp; equipment</w:t>
            </w:r>
          </w:p>
        </w:tc>
        <w:tc>
          <w:tcPr>
            <w:tcW w:w="0" w:type="auto"/>
            <w:tcBorders>
              <w:top w:val="nil"/>
              <w:left w:val="nil"/>
              <w:bottom w:val="nil"/>
              <w:right w:val="nil"/>
            </w:tcBorders>
            <w:vAlign w:val="center"/>
            <w:hideMark/>
          </w:tcPr>
          <w:p w14:paraId="529168A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3,335,912</w:t>
            </w:r>
          </w:p>
        </w:tc>
        <w:tc>
          <w:tcPr>
            <w:tcW w:w="0" w:type="auto"/>
            <w:tcBorders>
              <w:top w:val="nil"/>
              <w:left w:val="nil"/>
              <w:bottom w:val="nil"/>
              <w:right w:val="nil"/>
            </w:tcBorders>
            <w:vAlign w:val="center"/>
            <w:hideMark/>
          </w:tcPr>
          <w:p w14:paraId="2F67C26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3,413,840</w:t>
            </w:r>
          </w:p>
        </w:tc>
        <w:tc>
          <w:tcPr>
            <w:tcW w:w="0" w:type="auto"/>
            <w:tcBorders>
              <w:top w:val="nil"/>
              <w:left w:val="nil"/>
              <w:bottom w:val="nil"/>
              <w:right w:val="nil"/>
            </w:tcBorders>
            <w:vAlign w:val="center"/>
            <w:hideMark/>
          </w:tcPr>
          <w:p w14:paraId="3A99C20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3,495,286</w:t>
            </w:r>
          </w:p>
        </w:tc>
        <w:tc>
          <w:tcPr>
            <w:tcW w:w="0" w:type="auto"/>
            <w:tcBorders>
              <w:top w:val="nil"/>
              <w:left w:val="nil"/>
              <w:bottom w:val="nil"/>
              <w:right w:val="nil"/>
            </w:tcBorders>
            <w:vAlign w:val="center"/>
            <w:hideMark/>
          </w:tcPr>
          <w:p w14:paraId="37B68EB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3,578,244</w:t>
            </w:r>
          </w:p>
        </w:tc>
        <w:tc>
          <w:tcPr>
            <w:tcW w:w="0" w:type="auto"/>
            <w:tcBorders>
              <w:top w:val="nil"/>
              <w:left w:val="nil"/>
              <w:bottom w:val="nil"/>
              <w:right w:val="nil"/>
            </w:tcBorders>
            <w:vAlign w:val="center"/>
            <w:hideMark/>
          </w:tcPr>
          <w:p w14:paraId="718DF77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3,659,587</w:t>
            </w:r>
          </w:p>
        </w:tc>
        <w:tc>
          <w:tcPr>
            <w:tcW w:w="0" w:type="auto"/>
            <w:tcBorders>
              <w:top w:val="nil"/>
              <w:left w:val="nil"/>
              <w:bottom w:val="nil"/>
              <w:right w:val="nil"/>
            </w:tcBorders>
            <w:vAlign w:val="center"/>
            <w:hideMark/>
          </w:tcPr>
          <w:p w14:paraId="6E5A98A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3,729,540</w:t>
            </w:r>
          </w:p>
        </w:tc>
        <w:tc>
          <w:tcPr>
            <w:tcW w:w="0" w:type="auto"/>
            <w:tcBorders>
              <w:top w:val="nil"/>
              <w:left w:val="nil"/>
              <w:bottom w:val="nil"/>
              <w:right w:val="nil"/>
            </w:tcBorders>
            <w:vAlign w:val="center"/>
            <w:hideMark/>
          </w:tcPr>
          <w:p w14:paraId="249ECFA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3,796,413</w:t>
            </w:r>
          </w:p>
        </w:tc>
        <w:tc>
          <w:tcPr>
            <w:tcW w:w="0" w:type="auto"/>
            <w:tcBorders>
              <w:top w:val="nil"/>
              <w:left w:val="nil"/>
              <w:bottom w:val="nil"/>
              <w:right w:val="nil"/>
            </w:tcBorders>
            <w:vAlign w:val="center"/>
            <w:hideMark/>
          </w:tcPr>
          <w:p w14:paraId="7B9202A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3,861,574</w:t>
            </w:r>
          </w:p>
        </w:tc>
        <w:tc>
          <w:tcPr>
            <w:tcW w:w="0" w:type="auto"/>
            <w:tcBorders>
              <w:top w:val="nil"/>
              <w:left w:val="nil"/>
              <w:bottom w:val="nil"/>
              <w:right w:val="nil"/>
            </w:tcBorders>
            <w:vAlign w:val="center"/>
            <w:hideMark/>
          </w:tcPr>
          <w:p w14:paraId="2B7D971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3,925,949</w:t>
            </w:r>
          </w:p>
        </w:tc>
        <w:tc>
          <w:tcPr>
            <w:tcW w:w="0" w:type="auto"/>
            <w:tcBorders>
              <w:top w:val="nil"/>
              <w:left w:val="nil"/>
              <w:bottom w:val="nil"/>
              <w:right w:val="nil"/>
            </w:tcBorders>
            <w:vAlign w:val="center"/>
            <w:hideMark/>
          </w:tcPr>
          <w:p w14:paraId="0C1A2B1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3,986,397</w:t>
            </w:r>
          </w:p>
        </w:tc>
        <w:tc>
          <w:tcPr>
            <w:tcW w:w="0" w:type="auto"/>
            <w:tcBorders>
              <w:top w:val="nil"/>
              <w:left w:val="nil"/>
              <w:bottom w:val="nil"/>
              <w:right w:val="nil"/>
            </w:tcBorders>
            <w:vAlign w:val="center"/>
            <w:hideMark/>
          </w:tcPr>
          <w:p w14:paraId="62F3F41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4,047,504</w:t>
            </w:r>
          </w:p>
        </w:tc>
      </w:tr>
      <w:tr w:rsidR="00347DFC" w:rsidRPr="0040073F" w14:paraId="37935B44" w14:textId="77777777" w:rsidTr="00347DFC">
        <w:trPr>
          <w:trHeight w:val="260"/>
        </w:trPr>
        <w:tc>
          <w:tcPr>
            <w:tcW w:w="0" w:type="auto"/>
            <w:tcBorders>
              <w:top w:val="nil"/>
              <w:left w:val="nil"/>
              <w:bottom w:val="nil"/>
              <w:right w:val="nil"/>
            </w:tcBorders>
            <w:hideMark/>
          </w:tcPr>
          <w:p w14:paraId="53055A1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Right-of-use assets</w:t>
            </w:r>
          </w:p>
        </w:tc>
        <w:tc>
          <w:tcPr>
            <w:tcW w:w="0" w:type="auto"/>
            <w:tcBorders>
              <w:top w:val="nil"/>
              <w:left w:val="nil"/>
              <w:bottom w:val="nil"/>
              <w:right w:val="nil"/>
            </w:tcBorders>
            <w:vAlign w:val="center"/>
            <w:hideMark/>
          </w:tcPr>
          <w:p w14:paraId="0F5F2BB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2,081</w:t>
            </w:r>
          </w:p>
        </w:tc>
        <w:tc>
          <w:tcPr>
            <w:tcW w:w="0" w:type="auto"/>
            <w:tcBorders>
              <w:top w:val="nil"/>
              <w:left w:val="nil"/>
              <w:bottom w:val="nil"/>
              <w:right w:val="nil"/>
            </w:tcBorders>
            <w:vAlign w:val="center"/>
            <w:hideMark/>
          </w:tcPr>
          <w:p w14:paraId="511C8D6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1,561</w:t>
            </w:r>
          </w:p>
        </w:tc>
        <w:tc>
          <w:tcPr>
            <w:tcW w:w="0" w:type="auto"/>
            <w:tcBorders>
              <w:top w:val="nil"/>
              <w:left w:val="nil"/>
              <w:bottom w:val="nil"/>
              <w:right w:val="nil"/>
            </w:tcBorders>
            <w:vAlign w:val="center"/>
            <w:hideMark/>
          </w:tcPr>
          <w:p w14:paraId="4F6A842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1,041</w:t>
            </w:r>
          </w:p>
        </w:tc>
        <w:tc>
          <w:tcPr>
            <w:tcW w:w="0" w:type="auto"/>
            <w:tcBorders>
              <w:top w:val="nil"/>
              <w:left w:val="nil"/>
              <w:bottom w:val="nil"/>
              <w:right w:val="nil"/>
            </w:tcBorders>
            <w:vAlign w:val="center"/>
            <w:hideMark/>
          </w:tcPr>
          <w:p w14:paraId="445CF28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520</w:t>
            </w:r>
          </w:p>
        </w:tc>
        <w:tc>
          <w:tcPr>
            <w:tcW w:w="0" w:type="auto"/>
            <w:tcBorders>
              <w:top w:val="nil"/>
              <w:left w:val="nil"/>
              <w:bottom w:val="nil"/>
              <w:right w:val="nil"/>
            </w:tcBorders>
            <w:vAlign w:val="center"/>
            <w:hideMark/>
          </w:tcPr>
          <w:p w14:paraId="3CD0485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1D74B0D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20AFE8A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177D981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483FF45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588D3C2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3D49140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r>
      <w:tr w:rsidR="0040073F" w:rsidRPr="0040073F" w14:paraId="681D2F6B" w14:textId="77777777" w:rsidTr="0040073F">
        <w:trPr>
          <w:trHeight w:val="260"/>
        </w:trPr>
        <w:tc>
          <w:tcPr>
            <w:tcW w:w="0" w:type="auto"/>
            <w:tcBorders>
              <w:top w:val="nil"/>
              <w:left w:val="nil"/>
              <w:bottom w:val="nil"/>
              <w:right w:val="nil"/>
            </w:tcBorders>
            <w:noWrap/>
            <w:hideMark/>
          </w:tcPr>
          <w:p w14:paraId="2B21150C"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Intangible assets</w:t>
            </w:r>
          </w:p>
        </w:tc>
        <w:tc>
          <w:tcPr>
            <w:tcW w:w="0" w:type="auto"/>
            <w:tcBorders>
              <w:top w:val="nil"/>
              <w:left w:val="nil"/>
              <w:bottom w:val="nil"/>
              <w:right w:val="nil"/>
            </w:tcBorders>
            <w:noWrap/>
            <w:vAlign w:val="center"/>
            <w:hideMark/>
          </w:tcPr>
          <w:p w14:paraId="2F3142E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1,160</w:t>
            </w:r>
          </w:p>
        </w:tc>
        <w:tc>
          <w:tcPr>
            <w:tcW w:w="0" w:type="auto"/>
            <w:tcBorders>
              <w:top w:val="nil"/>
              <w:left w:val="nil"/>
              <w:bottom w:val="nil"/>
              <w:right w:val="nil"/>
            </w:tcBorders>
            <w:noWrap/>
            <w:vAlign w:val="center"/>
            <w:hideMark/>
          </w:tcPr>
          <w:p w14:paraId="0FE1689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1,005</w:t>
            </w:r>
          </w:p>
        </w:tc>
        <w:tc>
          <w:tcPr>
            <w:tcW w:w="0" w:type="auto"/>
            <w:tcBorders>
              <w:top w:val="nil"/>
              <w:left w:val="nil"/>
              <w:bottom w:val="nil"/>
              <w:right w:val="nil"/>
            </w:tcBorders>
            <w:noWrap/>
            <w:vAlign w:val="center"/>
            <w:hideMark/>
          </w:tcPr>
          <w:p w14:paraId="5575872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860</w:t>
            </w:r>
          </w:p>
        </w:tc>
        <w:tc>
          <w:tcPr>
            <w:tcW w:w="0" w:type="auto"/>
            <w:tcBorders>
              <w:top w:val="nil"/>
              <w:left w:val="nil"/>
              <w:bottom w:val="nil"/>
              <w:right w:val="nil"/>
            </w:tcBorders>
            <w:noWrap/>
            <w:vAlign w:val="center"/>
            <w:hideMark/>
          </w:tcPr>
          <w:p w14:paraId="18CE9C0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753</w:t>
            </w:r>
          </w:p>
        </w:tc>
        <w:tc>
          <w:tcPr>
            <w:tcW w:w="0" w:type="auto"/>
            <w:tcBorders>
              <w:top w:val="nil"/>
              <w:left w:val="nil"/>
              <w:bottom w:val="nil"/>
              <w:right w:val="nil"/>
            </w:tcBorders>
            <w:noWrap/>
            <w:vAlign w:val="center"/>
            <w:hideMark/>
          </w:tcPr>
          <w:p w14:paraId="4945004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646</w:t>
            </w:r>
          </w:p>
        </w:tc>
        <w:tc>
          <w:tcPr>
            <w:tcW w:w="0" w:type="auto"/>
            <w:tcBorders>
              <w:top w:val="nil"/>
              <w:left w:val="nil"/>
              <w:bottom w:val="nil"/>
              <w:right w:val="nil"/>
            </w:tcBorders>
            <w:noWrap/>
            <w:vAlign w:val="center"/>
            <w:hideMark/>
          </w:tcPr>
          <w:p w14:paraId="77296D8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539</w:t>
            </w:r>
          </w:p>
        </w:tc>
        <w:tc>
          <w:tcPr>
            <w:tcW w:w="0" w:type="auto"/>
            <w:tcBorders>
              <w:top w:val="nil"/>
              <w:left w:val="nil"/>
              <w:bottom w:val="nil"/>
              <w:right w:val="nil"/>
            </w:tcBorders>
            <w:noWrap/>
            <w:vAlign w:val="center"/>
            <w:hideMark/>
          </w:tcPr>
          <w:p w14:paraId="0B5CA36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432</w:t>
            </w:r>
          </w:p>
        </w:tc>
        <w:tc>
          <w:tcPr>
            <w:tcW w:w="0" w:type="auto"/>
            <w:tcBorders>
              <w:top w:val="nil"/>
              <w:left w:val="nil"/>
              <w:bottom w:val="nil"/>
              <w:right w:val="nil"/>
            </w:tcBorders>
            <w:noWrap/>
            <w:vAlign w:val="center"/>
            <w:hideMark/>
          </w:tcPr>
          <w:p w14:paraId="7BF640F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325</w:t>
            </w:r>
          </w:p>
        </w:tc>
        <w:tc>
          <w:tcPr>
            <w:tcW w:w="0" w:type="auto"/>
            <w:tcBorders>
              <w:top w:val="nil"/>
              <w:left w:val="nil"/>
              <w:bottom w:val="nil"/>
              <w:right w:val="nil"/>
            </w:tcBorders>
            <w:noWrap/>
            <w:vAlign w:val="center"/>
            <w:hideMark/>
          </w:tcPr>
          <w:p w14:paraId="3127690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218</w:t>
            </w:r>
          </w:p>
        </w:tc>
        <w:tc>
          <w:tcPr>
            <w:tcW w:w="0" w:type="auto"/>
            <w:tcBorders>
              <w:top w:val="nil"/>
              <w:left w:val="nil"/>
              <w:bottom w:val="nil"/>
              <w:right w:val="nil"/>
            </w:tcBorders>
            <w:noWrap/>
            <w:vAlign w:val="center"/>
            <w:hideMark/>
          </w:tcPr>
          <w:p w14:paraId="4FF4D9A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111</w:t>
            </w:r>
          </w:p>
        </w:tc>
        <w:tc>
          <w:tcPr>
            <w:tcW w:w="0" w:type="auto"/>
            <w:tcBorders>
              <w:top w:val="nil"/>
              <w:left w:val="nil"/>
              <w:bottom w:val="nil"/>
              <w:right w:val="nil"/>
            </w:tcBorders>
            <w:noWrap/>
            <w:vAlign w:val="center"/>
            <w:hideMark/>
          </w:tcPr>
          <w:p w14:paraId="7F4DD62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w:t>
            </w:r>
          </w:p>
        </w:tc>
      </w:tr>
      <w:tr w:rsidR="00347DFC" w:rsidRPr="0040073F" w14:paraId="6C9FC85F" w14:textId="77777777" w:rsidTr="00347DFC">
        <w:trPr>
          <w:trHeight w:val="260"/>
        </w:trPr>
        <w:tc>
          <w:tcPr>
            <w:tcW w:w="0" w:type="auto"/>
            <w:tcBorders>
              <w:top w:val="nil"/>
              <w:left w:val="nil"/>
              <w:bottom w:val="nil"/>
              <w:right w:val="nil"/>
            </w:tcBorders>
            <w:hideMark/>
          </w:tcPr>
          <w:p w14:paraId="42B0FDF4"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Total non-current assets</w:t>
            </w:r>
          </w:p>
        </w:tc>
        <w:tc>
          <w:tcPr>
            <w:tcW w:w="0" w:type="auto"/>
            <w:tcBorders>
              <w:top w:val="single" w:sz="4" w:space="0" w:color="auto"/>
              <w:left w:val="nil"/>
              <w:bottom w:val="single" w:sz="4" w:space="0" w:color="auto"/>
              <w:right w:val="nil"/>
            </w:tcBorders>
            <w:vAlign w:val="center"/>
            <w:hideMark/>
          </w:tcPr>
          <w:p w14:paraId="1B0B4A9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3,342,264</w:t>
            </w:r>
          </w:p>
        </w:tc>
        <w:tc>
          <w:tcPr>
            <w:tcW w:w="0" w:type="auto"/>
            <w:tcBorders>
              <w:top w:val="single" w:sz="4" w:space="0" w:color="auto"/>
              <w:left w:val="nil"/>
              <w:bottom w:val="single" w:sz="4" w:space="0" w:color="auto"/>
              <w:right w:val="nil"/>
            </w:tcBorders>
            <w:vAlign w:val="center"/>
            <w:hideMark/>
          </w:tcPr>
          <w:p w14:paraId="1B3856B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3,419,517</w:t>
            </w:r>
          </w:p>
        </w:tc>
        <w:tc>
          <w:tcPr>
            <w:tcW w:w="0" w:type="auto"/>
            <w:tcBorders>
              <w:top w:val="single" w:sz="4" w:space="0" w:color="auto"/>
              <w:left w:val="nil"/>
              <w:bottom w:val="single" w:sz="4" w:space="0" w:color="auto"/>
              <w:right w:val="nil"/>
            </w:tcBorders>
            <w:vAlign w:val="center"/>
            <w:hideMark/>
          </w:tcPr>
          <w:p w14:paraId="5B64AE7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3,500,298</w:t>
            </w:r>
          </w:p>
        </w:tc>
        <w:tc>
          <w:tcPr>
            <w:tcW w:w="0" w:type="auto"/>
            <w:tcBorders>
              <w:top w:val="single" w:sz="4" w:space="0" w:color="auto"/>
              <w:left w:val="nil"/>
              <w:bottom w:val="single" w:sz="4" w:space="0" w:color="auto"/>
              <w:right w:val="nil"/>
            </w:tcBorders>
            <w:vAlign w:val="center"/>
            <w:hideMark/>
          </w:tcPr>
          <w:p w14:paraId="4085ACE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3,582,629</w:t>
            </w:r>
          </w:p>
        </w:tc>
        <w:tc>
          <w:tcPr>
            <w:tcW w:w="0" w:type="auto"/>
            <w:tcBorders>
              <w:top w:val="single" w:sz="4" w:space="0" w:color="auto"/>
              <w:left w:val="nil"/>
              <w:bottom w:val="single" w:sz="4" w:space="0" w:color="auto"/>
              <w:right w:val="nil"/>
            </w:tcBorders>
            <w:vAlign w:val="center"/>
            <w:hideMark/>
          </w:tcPr>
          <w:p w14:paraId="6345D63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3,663,344</w:t>
            </w:r>
          </w:p>
        </w:tc>
        <w:tc>
          <w:tcPr>
            <w:tcW w:w="0" w:type="auto"/>
            <w:tcBorders>
              <w:top w:val="single" w:sz="4" w:space="0" w:color="auto"/>
              <w:left w:val="nil"/>
              <w:bottom w:val="single" w:sz="4" w:space="0" w:color="auto"/>
              <w:right w:val="nil"/>
            </w:tcBorders>
            <w:vAlign w:val="center"/>
            <w:hideMark/>
          </w:tcPr>
          <w:p w14:paraId="0937780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3,733,190</w:t>
            </w:r>
          </w:p>
        </w:tc>
        <w:tc>
          <w:tcPr>
            <w:tcW w:w="0" w:type="auto"/>
            <w:tcBorders>
              <w:top w:val="single" w:sz="4" w:space="0" w:color="auto"/>
              <w:left w:val="nil"/>
              <w:bottom w:val="single" w:sz="4" w:space="0" w:color="auto"/>
              <w:right w:val="nil"/>
            </w:tcBorders>
            <w:vAlign w:val="center"/>
            <w:hideMark/>
          </w:tcPr>
          <w:p w14:paraId="3003CCE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3,799,956</w:t>
            </w:r>
          </w:p>
        </w:tc>
        <w:tc>
          <w:tcPr>
            <w:tcW w:w="0" w:type="auto"/>
            <w:tcBorders>
              <w:top w:val="single" w:sz="4" w:space="0" w:color="auto"/>
              <w:left w:val="nil"/>
              <w:bottom w:val="single" w:sz="4" w:space="0" w:color="auto"/>
              <w:right w:val="nil"/>
            </w:tcBorders>
            <w:vAlign w:val="center"/>
            <w:hideMark/>
          </w:tcPr>
          <w:p w14:paraId="1CD799A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3,865,010</w:t>
            </w:r>
          </w:p>
        </w:tc>
        <w:tc>
          <w:tcPr>
            <w:tcW w:w="0" w:type="auto"/>
            <w:tcBorders>
              <w:top w:val="single" w:sz="4" w:space="0" w:color="auto"/>
              <w:left w:val="nil"/>
              <w:bottom w:val="single" w:sz="4" w:space="0" w:color="auto"/>
              <w:right w:val="nil"/>
            </w:tcBorders>
            <w:vAlign w:val="center"/>
            <w:hideMark/>
          </w:tcPr>
          <w:p w14:paraId="162E3AD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3,929,278</w:t>
            </w:r>
          </w:p>
        </w:tc>
        <w:tc>
          <w:tcPr>
            <w:tcW w:w="0" w:type="auto"/>
            <w:tcBorders>
              <w:top w:val="single" w:sz="4" w:space="0" w:color="auto"/>
              <w:left w:val="nil"/>
              <w:bottom w:val="single" w:sz="4" w:space="0" w:color="auto"/>
              <w:right w:val="nil"/>
            </w:tcBorders>
            <w:vAlign w:val="center"/>
            <w:hideMark/>
          </w:tcPr>
          <w:p w14:paraId="0694132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3,989,619</w:t>
            </w:r>
          </w:p>
        </w:tc>
        <w:tc>
          <w:tcPr>
            <w:tcW w:w="0" w:type="auto"/>
            <w:tcBorders>
              <w:top w:val="single" w:sz="4" w:space="0" w:color="auto"/>
              <w:left w:val="nil"/>
              <w:bottom w:val="single" w:sz="4" w:space="0" w:color="auto"/>
              <w:right w:val="nil"/>
            </w:tcBorders>
            <w:vAlign w:val="center"/>
            <w:hideMark/>
          </w:tcPr>
          <w:p w14:paraId="79AFE98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4,050,619</w:t>
            </w:r>
          </w:p>
        </w:tc>
      </w:tr>
      <w:tr w:rsidR="00347DFC" w:rsidRPr="0040073F" w14:paraId="7A72D39C" w14:textId="77777777" w:rsidTr="00347DFC">
        <w:trPr>
          <w:trHeight w:val="260"/>
        </w:trPr>
        <w:tc>
          <w:tcPr>
            <w:tcW w:w="0" w:type="auto"/>
            <w:tcBorders>
              <w:top w:val="nil"/>
              <w:left w:val="nil"/>
              <w:bottom w:val="nil"/>
              <w:right w:val="nil"/>
            </w:tcBorders>
            <w:hideMark/>
          </w:tcPr>
          <w:p w14:paraId="48D6D1FB"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Total assets</w:t>
            </w:r>
          </w:p>
        </w:tc>
        <w:tc>
          <w:tcPr>
            <w:tcW w:w="0" w:type="auto"/>
            <w:tcBorders>
              <w:top w:val="nil"/>
              <w:left w:val="nil"/>
              <w:bottom w:val="single" w:sz="4" w:space="0" w:color="auto"/>
              <w:right w:val="nil"/>
            </w:tcBorders>
            <w:vAlign w:val="center"/>
            <w:hideMark/>
          </w:tcPr>
          <w:p w14:paraId="7442728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3,544,761</w:t>
            </w:r>
          </w:p>
        </w:tc>
        <w:tc>
          <w:tcPr>
            <w:tcW w:w="0" w:type="auto"/>
            <w:tcBorders>
              <w:top w:val="nil"/>
              <w:left w:val="nil"/>
              <w:bottom w:val="single" w:sz="4" w:space="0" w:color="auto"/>
              <w:right w:val="nil"/>
            </w:tcBorders>
            <w:vAlign w:val="center"/>
            <w:hideMark/>
          </w:tcPr>
          <w:p w14:paraId="3431B2C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3,659,444</w:t>
            </w:r>
          </w:p>
        </w:tc>
        <w:tc>
          <w:tcPr>
            <w:tcW w:w="0" w:type="auto"/>
            <w:tcBorders>
              <w:top w:val="nil"/>
              <w:left w:val="nil"/>
              <w:bottom w:val="single" w:sz="4" w:space="0" w:color="auto"/>
              <w:right w:val="nil"/>
            </w:tcBorders>
            <w:vAlign w:val="center"/>
            <w:hideMark/>
          </w:tcPr>
          <w:p w14:paraId="71A3C25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3,745,838</w:t>
            </w:r>
          </w:p>
        </w:tc>
        <w:tc>
          <w:tcPr>
            <w:tcW w:w="0" w:type="auto"/>
            <w:tcBorders>
              <w:top w:val="nil"/>
              <w:left w:val="nil"/>
              <w:bottom w:val="single" w:sz="4" w:space="0" w:color="auto"/>
              <w:right w:val="nil"/>
            </w:tcBorders>
            <w:vAlign w:val="center"/>
            <w:hideMark/>
          </w:tcPr>
          <w:p w14:paraId="3264A70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3,833,556</w:t>
            </w:r>
          </w:p>
        </w:tc>
        <w:tc>
          <w:tcPr>
            <w:tcW w:w="0" w:type="auto"/>
            <w:tcBorders>
              <w:top w:val="nil"/>
              <w:left w:val="nil"/>
              <w:bottom w:val="single" w:sz="4" w:space="0" w:color="auto"/>
              <w:right w:val="nil"/>
            </w:tcBorders>
            <w:vAlign w:val="center"/>
            <w:hideMark/>
          </w:tcPr>
          <w:p w14:paraId="5A69975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3,916,975</w:t>
            </w:r>
          </w:p>
        </w:tc>
        <w:tc>
          <w:tcPr>
            <w:tcW w:w="0" w:type="auto"/>
            <w:tcBorders>
              <w:top w:val="nil"/>
              <w:left w:val="nil"/>
              <w:bottom w:val="single" w:sz="4" w:space="0" w:color="auto"/>
              <w:right w:val="nil"/>
            </w:tcBorders>
            <w:vAlign w:val="center"/>
            <w:hideMark/>
          </w:tcPr>
          <w:p w14:paraId="1FDF6A2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3,986,708</w:t>
            </w:r>
          </w:p>
        </w:tc>
        <w:tc>
          <w:tcPr>
            <w:tcW w:w="0" w:type="auto"/>
            <w:tcBorders>
              <w:top w:val="nil"/>
              <w:left w:val="nil"/>
              <w:bottom w:val="single" w:sz="4" w:space="0" w:color="auto"/>
              <w:right w:val="nil"/>
            </w:tcBorders>
            <w:vAlign w:val="center"/>
            <w:hideMark/>
          </w:tcPr>
          <w:p w14:paraId="58F81E9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4,041,215</w:t>
            </w:r>
          </w:p>
        </w:tc>
        <w:tc>
          <w:tcPr>
            <w:tcW w:w="0" w:type="auto"/>
            <w:tcBorders>
              <w:top w:val="nil"/>
              <w:left w:val="nil"/>
              <w:bottom w:val="single" w:sz="4" w:space="0" w:color="auto"/>
              <w:right w:val="nil"/>
            </w:tcBorders>
            <w:vAlign w:val="center"/>
            <w:hideMark/>
          </w:tcPr>
          <w:p w14:paraId="41B9E76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4,096,523</w:t>
            </w:r>
          </w:p>
        </w:tc>
        <w:tc>
          <w:tcPr>
            <w:tcW w:w="0" w:type="auto"/>
            <w:tcBorders>
              <w:top w:val="nil"/>
              <w:left w:val="nil"/>
              <w:bottom w:val="single" w:sz="4" w:space="0" w:color="auto"/>
              <w:right w:val="nil"/>
            </w:tcBorders>
            <w:vAlign w:val="center"/>
            <w:hideMark/>
          </w:tcPr>
          <w:p w14:paraId="13EE8FB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4,153,072</w:t>
            </w:r>
          </w:p>
        </w:tc>
        <w:tc>
          <w:tcPr>
            <w:tcW w:w="0" w:type="auto"/>
            <w:tcBorders>
              <w:top w:val="nil"/>
              <w:left w:val="nil"/>
              <w:bottom w:val="single" w:sz="4" w:space="0" w:color="auto"/>
              <w:right w:val="nil"/>
            </w:tcBorders>
            <w:vAlign w:val="center"/>
            <w:hideMark/>
          </w:tcPr>
          <w:p w14:paraId="420C35A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4,221,057</w:t>
            </w:r>
          </w:p>
        </w:tc>
        <w:tc>
          <w:tcPr>
            <w:tcW w:w="0" w:type="auto"/>
            <w:tcBorders>
              <w:top w:val="nil"/>
              <w:left w:val="nil"/>
              <w:bottom w:val="single" w:sz="4" w:space="0" w:color="auto"/>
              <w:right w:val="nil"/>
            </w:tcBorders>
            <w:vAlign w:val="center"/>
            <w:hideMark/>
          </w:tcPr>
          <w:p w14:paraId="6972F6C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4,281,228</w:t>
            </w:r>
          </w:p>
        </w:tc>
      </w:tr>
      <w:tr w:rsidR="00347DFC" w:rsidRPr="0040073F" w14:paraId="3BA91BA0" w14:textId="77777777" w:rsidTr="00347DFC">
        <w:trPr>
          <w:trHeight w:val="260"/>
        </w:trPr>
        <w:tc>
          <w:tcPr>
            <w:tcW w:w="0" w:type="auto"/>
            <w:tcBorders>
              <w:top w:val="nil"/>
              <w:left w:val="nil"/>
              <w:bottom w:val="nil"/>
              <w:right w:val="nil"/>
            </w:tcBorders>
            <w:hideMark/>
          </w:tcPr>
          <w:p w14:paraId="222D1045" w14:textId="77777777" w:rsidR="0040073F" w:rsidRPr="0040073F" w:rsidRDefault="0040073F" w:rsidP="0040073F">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35D5DFA3"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 </w:t>
            </w:r>
          </w:p>
        </w:tc>
        <w:tc>
          <w:tcPr>
            <w:tcW w:w="0" w:type="auto"/>
            <w:tcBorders>
              <w:top w:val="nil"/>
              <w:left w:val="nil"/>
              <w:bottom w:val="nil"/>
              <w:right w:val="nil"/>
            </w:tcBorders>
            <w:vAlign w:val="center"/>
            <w:hideMark/>
          </w:tcPr>
          <w:p w14:paraId="68F14F5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C7EE39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AED661A"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072DC46"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1792166"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F033A32"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9DC63F0"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6F2A48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59E038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9F9B532"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47DFC" w:rsidRPr="0040073F" w14:paraId="7CE00875" w14:textId="77777777" w:rsidTr="00347DFC">
        <w:trPr>
          <w:trHeight w:val="260"/>
        </w:trPr>
        <w:tc>
          <w:tcPr>
            <w:tcW w:w="0" w:type="auto"/>
            <w:tcBorders>
              <w:top w:val="nil"/>
              <w:left w:val="nil"/>
              <w:bottom w:val="nil"/>
              <w:right w:val="nil"/>
            </w:tcBorders>
            <w:hideMark/>
          </w:tcPr>
          <w:p w14:paraId="6195A882"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Liabilities</w:t>
            </w:r>
          </w:p>
        </w:tc>
        <w:tc>
          <w:tcPr>
            <w:tcW w:w="0" w:type="auto"/>
            <w:tcBorders>
              <w:top w:val="nil"/>
              <w:left w:val="nil"/>
              <w:bottom w:val="nil"/>
              <w:right w:val="nil"/>
            </w:tcBorders>
            <w:vAlign w:val="center"/>
            <w:hideMark/>
          </w:tcPr>
          <w:p w14:paraId="456E65D5"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 </w:t>
            </w:r>
          </w:p>
        </w:tc>
        <w:tc>
          <w:tcPr>
            <w:tcW w:w="0" w:type="auto"/>
            <w:tcBorders>
              <w:top w:val="nil"/>
              <w:left w:val="nil"/>
              <w:bottom w:val="nil"/>
              <w:right w:val="nil"/>
            </w:tcBorders>
            <w:vAlign w:val="center"/>
            <w:hideMark/>
          </w:tcPr>
          <w:p w14:paraId="374577B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F0E916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CEDFCA7"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1028ED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A2E0DBE"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3D20ABE"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BF2DC5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EFC9E3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C4FB525"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8E5399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47DFC" w:rsidRPr="0040073F" w14:paraId="7B426D07" w14:textId="77777777" w:rsidTr="00347DFC">
        <w:trPr>
          <w:trHeight w:val="260"/>
        </w:trPr>
        <w:tc>
          <w:tcPr>
            <w:tcW w:w="0" w:type="auto"/>
            <w:tcBorders>
              <w:top w:val="nil"/>
              <w:left w:val="nil"/>
              <w:bottom w:val="nil"/>
              <w:right w:val="nil"/>
            </w:tcBorders>
            <w:hideMark/>
          </w:tcPr>
          <w:p w14:paraId="39B17B32"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Current liabilities</w:t>
            </w:r>
          </w:p>
        </w:tc>
        <w:tc>
          <w:tcPr>
            <w:tcW w:w="0" w:type="auto"/>
            <w:tcBorders>
              <w:top w:val="nil"/>
              <w:left w:val="nil"/>
              <w:bottom w:val="nil"/>
              <w:right w:val="nil"/>
            </w:tcBorders>
            <w:vAlign w:val="center"/>
            <w:hideMark/>
          </w:tcPr>
          <w:p w14:paraId="68D00F65"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 </w:t>
            </w:r>
          </w:p>
        </w:tc>
        <w:tc>
          <w:tcPr>
            <w:tcW w:w="0" w:type="auto"/>
            <w:tcBorders>
              <w:top w:val="nil"/>
              <w:left w:val="nil"/>
              <w:bottom w:val="nil"/>
              <w:right w:val="nil"/>
            </w:tcBorders>
            <w:vAlign w:val="center"/>
            <w:hideMark/>
          </w:tcPr>
          <w:p w14:paraId="10EB748E"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3E31D6A"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AEC3D55"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3F9A6D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B827273"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66D98A5"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585B6E1"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5C58D6A"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6CECD69"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6AB0DE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47DFC" w:rsidRPr="0040073F" w14:paraId="4DBDB444" w14:textId="77777777" w:rsidTr="00347DFC">
        <w:trPr>
          <w:trHeight w:val="260"/>
        </w:trPr>
        <w:tc>
          <w:tcPr>
            <w:tcW w:w="0" w:type="auto"/>
            <w:tcBorders>
              <w:top w:val="nil"/>
              <w:left w:val="nil"/>
              <w:bottom w:val="nil"/>
              <w:right w:val="nil"/>
            </w:tcBorders>
            <w:noWrap/>
            <w:hideMark/>
          </w:tcPr>
          <w:p w14:paraId="3E5D924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Trade and other payables</w:t>
            </w:r>
          </w:p>
        </w:tc>
        <w:tc>
          <w:tcPr>
            <w:tcW w:w="0" w:type="auto"/>
            <w:tcBorders>
              <w:top w:val="nil"/>
              <w:left w:val="nil"/>
              <w:bottom w:val="nil"/>
              <w:right w:val="nil"/>
            </w:tcBorders>
            <w:vAlign w:val="center"/>
            <w:hideMark/>
          </w:tcPr>
          <w:p w14:paraId="26C103C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8,386</w:t>
            </w:r>
          </w:p>
        </w:tc>
        <w:tc>
          <w:tcPr>
            <w:tcW w:w="0" w:type="auto"/>
            <w:tcBorders>
              <w:top w:val="nil"/>
              <w:left w:val="nil"/>
              <w:bottom w:val="nil"/>
              <w:right w:val="nil"/>
            </w:tcBorders>
            <w:vAlign w:val="center"/>
            <w:hideMark/>
          </w:tcPr>
          <w:p w14:paraId="55BA072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7,325</w:t>
            </w:r>
          </w:p>
        </w:tc>
        <w:tc>
          <w:tcPr>
            <w:tcW w:w="0" w:type="auto"/>
            <w:tcBorders>
              <w:top w:val="nil"/>
              <w:left w:val="nil"/>
              <w:bottom w:val="nil"/>
              <w:right w:val="nil"/>
            </w:tcBorders>
            <w:vAlign w:val="center"/>
            <w:hideMark/>
          </w:tcPr>
          <w:p w14:paraId="5CB0A58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7,201</w:t>
            </w:r>
          </w:p>
        </w:tc>
        <w:tc>
          <w:tcPr>
            <w:tcW w:w="0" w:type="auto"/>
            <w:tcBorders>
              <w:top w:val="nil"/>
              <w:left w:val="nil"/>
              <w:bottom w:val="nil"/>
              <w:right w:val="nil"/>
            </w:tcBorders>
            <w:vAlign w:val="center"/>
            <w:hideMark/>
          </w:tcPr>
          <w:p w14:paraId="7FCA0CE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7,253</w:t>
            </w:r>
          </w:p>
        </w:tc>
        <w:tc>
          <w:tcPr>
            <w:tcW w:w="0" w:type="auto"/>
            <w:tcBorders>
              <w:top w:val="nil"/>
              <w:left w:val="nil"/>
              <w:bottom w:val="nil"/>
              <w:right w:val="nil"/>
            </w:tcBorders>
            <w:vAlign w:val="center"/>
            <w:hideMark/>
          </w:tcPr>
          <w:p w14:paraId="055D8E8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7,685</w:t>
            </w:r>
          </w:p>
        </w:tc>
        <w:tc>
          <w:tcPr>
            <w:tcW w:w="0" w:type="auto"/>
            <w:tcBorders>
              <w:top w:val="nil"/>
              <w:left w:val="nil"/>
              <w:bottom w:val="nil"/>
              <w:right w:val="nil"/>
            </w:tcBorders>
            <w:vAlign w:val="center"/>
            <w:hideMark/>
          </w:tcPr>
          <w:p w14:paraId="713182B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7,825</w:t>
            </w:r>
          </w:p>
        </w:tc>
        <w:tc>
          <w:tcPr>
            <w:tcW w:w="0" w:type="auto"/>
            <w:tcBorders>
              <w:top w:val="nil"/>
              <w:left w:val="nil"/>
              <w:bottom w:val="nil"/>
              <w:right w:val="nil"/>
            </w:tcBorders>
            <w:vAlign w:val="center"/>
            <w:hideMark/>
          </w:tcPr>
          <w:p w14:paraId="1370B71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8,036</w:t>
            </w:r>
          </w:p>
        </w:tc>
        <w:tc>
          <w:tcPr>
            <w:tcW w:w="0" w:type="auto"/>
            <w:tcBorders>
              <w:top w:val="nil"/>
              <w:left w:val="nil"/>
              <w:bottom w:val="nil"/>
              <w:right w:val="nil"/>
            </w:tcBorders>
            <w:vAlign w:val="center"/>
            <w:hideMark/>
          </w:tcPr>
          <w:p w14:paraId="662CDD1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8,422</w:t>
            </w:r>
          </w:p>
        </w:tc>
        <w:tc>
          <w:tcPr>
            <w:tcW w:w="0" w:type="auto"/>
            <w:tcBorders>
              <w:top w:val="nil"/>
              <w:left w:val="nil"/>
              <w:bottom w:val="nil"/>
              <w:right w:val="nil"/>
            </w:tcBorders>
            <w:vAlign w:val="center"/>
            <w:hideMark/>
          </w:tcPr>
          <w:p w14:paraId="6229F51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8,565</w:t>
            </w:r>
          </w:p>
        </w:tc>
        <w:tc>
          <w:tcPr>
            <w:tcW w:w="0" w:type="auto"/>
            <w:tcBorders>
              <w:top w:val="nil"/>
              <w:left w:val="nil"/>
              <w:bottom w:val="nil"/>
              <w:right w:val="nil"/>
            </w:tcBorders>
            <w:vAlign w:val="center"/>
            <w:hideMark/>
          </w:tcPr>
          <w:p w14:paraId="7EABA53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16,178</w:t>
            </w:r>
          </w:p>
        </w:tc>
        <w:tc>
          <w:tcPr>
            <w:tcW w:w="0" w:type="auto"/>
            <w:tcBorders>
              <w:top w:val="nil"/>
              <w:left w:val="nil"/>
              <w:bottom w:val="nil"/>
              <w:right w:val="nil"/>
            </w:tcBorders>
            <w:vAlign w:val="center"/>
            <w:hideMark/>
          </w:tcPr>
          <w:p w14:paraId="19EDAAC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16,934</w:t>
            </w:r>
          </w:p>
        </w:tc>
      </w:tr>
      <w:tr w:rsidR="00347DFC" w:rsidRPr="0040073F" w14:paraId="52A459FD" w14:textId="77777777" w:rsidTr="00347DFC">
        <w:trPr>
          <w:trHeight w:val="260"/>
        </w:trPr>
        <w:tc>
          <w:tcPr>
            <w:tcW w:w="0" w:type="auto"/>
            <w:tcBorders>
              <w:top w:val="nil"/>
              <w:left w:val="nil"/>
              <w:bottom w:val="nil"/>
              <w:right w:val="nil"/>
            </w:tcBorders>
            <w:noWrap/>
            <w:hideMark/>
          </w:tcPr>
          <w:p w14:paraId="01B966FB"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Trust funds and deposits</w:t>
            </w:r>
          </w:p>
        </w:tc>
        <w:tc>
          <w:tcPr>
            <w:tcW w:w="0" w:type="auto"/>
            <w:tcBorders>
              <w:top w:val="nil"/>
              <w:left w:val="nil"/>
              <w:bottom w:val="nil"/>
              <w:right w:val="nil"/>
            </w:tcBorders>
            <w:vAlign w:val="center"/>
            <w:hideMark/>
          </w:tcPr>
          <w:p w14:paraId="40B0493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45F6300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109E6ED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290EFB3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3EC7F69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184B227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157630D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723D248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2EAF99F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21B1D49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c>
          <w:tcPr>
            <w:tcW w:w="0" w:type="auto"/>
            <w:tcBorders>
              <w:top w:val="nil"/>
              <w:left w:val="nil"/>
              <w:bottom w:val="nil"/>
              <w:right w:val="nil"/>
            </w:tcBorders>
            <w:vAlign w:val="center"/>
            <w:hideMark/>
          </w:tcPr>
          <w:p w14:paraId="3E36AD5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15,322</w:t>
            </w:r>
          </w:p>
        </w:tc>
      </w:tr>
      <w:tr w:rsidR="00347DFC" w:rsidRPr="0040073F" w14:paraId="6F93AC79" w14:textId="77777777" w:rsidTr="00347DFC">
        <w:trPr>
          <w:trHeight w:val="260"/>
        </w:trPr>
        <w:tc>
          <w:tcPr>
            <w:tcW w:w="0" w:type="auto"/>
            <w:tcBorders>
              <w:top w:val="nil"/>
              <w:left w:val="nil"/>
              <w:bottom w:val="nil"/>
              <w:right w:val="nil"/>
            </w:tcBorders>
            <w:noWrap/>
            <w:hideMark/>
          </w:tcPr>
          <w:p w14:paraId="061D1D06"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Contract and other liabilities</w:t>
            </w:r>
          </w:p>
        </w:tc>
        <w:tc>
          <w:tcPr>
            <w:tcW w:w="0" w:type="auto"/>
            <w:tcBorders>
              <w:top w:val="nil"/>
              <w:left w:val="nil"/>
              <w:bottom w:val="nil"/>
              <w:right w:val="nil"/>
            </w:tcBorders>
            <w:vAlign w:val="center"/>
            <w:hideMark/>
          </w:tcPr>
          <w:p w14:paraId="25EF280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25,790</w:t>
            </w:r>
          </w:p>
        </w:tc>
        <w:tc>
          <w:tcPr>
            <w:tcW w:w="0" w:type="auto"/>
            <w:tcBorders>
              <w:top w:val="nil"/>
              <w:left w:val="nil"/>
              <w:bottom w:val="nil"/>
              <w:right w:val="nil"/>
            </w:tcBorders>
            <w:vAlign w:val="center"/>
            <w:hideMark/>
          </w:tcPr>
          <w:p w14:paraId="62E04F6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16,547</w:t>
            </w:r>
          </w:p>
        </w:tc>
        <w:tc>
          <w:tcPr>
            <w:tcW w:w="0" w:type="auto"/>
            <w:tcBorders>
              <w:top w:val="nil"/>
              <w:left w:val="nil"/>
              <w:bottom w:val="nil"/>
              <w:right w:val="nil"/>
            </w:tcBorders>
            <w:vAlign w:val="center"/>
            <w:hideMark/>
          </w:tcPr>
          <w:p w14:paraId="525292E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10,537</w:t>
            </w:r>
          </w:p>
        </w:tc>
        <w:tc>
          <w:tcPr>
            <w:tcW w:w="0" w:type="auto"/>
            <w:tcBorders>
              <w:top w:val="nil"/>
              <w:left w:val="nil"/>
              <w:bottom w:val="nil"/>
              <w:right w:val="nil"/>
            </w:tcBorders>
            <w:vAlign w:val="center"/>
            <w:hideMark/>
          </w:tcPr>
          <w:p w14:paraId="44DAB77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3,931</w:t>
            </w:r>
          </w:p>
        </w:tc>
        <w:tc>
          <w:tcPr>
            <w:tcW w:w="0" w:type="auto"/>
            <w:tcBorders>
              <w:top w:val="nil"/>
              <w:left w:val="nil"/>
              <w:bottom w:val="nil"/>
              <w:right w:val="nil"/>
            </w:tcBorders>
            <w:vAlign w:val="center"/>
            <w:hideMark/>
          </w:tcPr>
          <w:p w14:paraId="15BDC46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3,931</w:t>
            </w:r>
          </w:p>
        </w:tc>
        <w:tc>
          <w:tcPr>
            <w:tcW w:w="0" w:type="auto"/>
            <w:tcBorders>
              <w:top w:val="nil"/>
              <w:left w:val="nil"/>
              <w:bottom w:val="nil"/>
              <w:right w:val="nil"/>
            </w:tcBorders>
            <w:vAlign w:val="center"/>
            <w:hideMark/>
          </w:tcPr>
          <w:p w14:paraId="2C253BC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3,931</w:t>
            </w:r>
          </w:p>
        </w:tc>
        <w:tc>
          <w:tcPr>
            <w:tcW w:w="0" w:type="auto"/>
            <w:tcBorders>
              <w:top w:val="nil"/>
              <w:left w:val="nil"/>
              <w:bottom w:val="nil"/>
              <w:right w:val="nil"/>
            </w:tcBorders>
            <w:vAlign w:val="center"/>
            <w:hideMark/>
          </w:tcPr>
          <w:p w14:paraId="2B73F5C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3,931</w:t>
            </w:r>
          </w:p>
        </w:tc>
        <w:tc>
          <w:tcPr>
            <w:tcW w:w="0" w:type="auto"/>
            <w:tcBorders>
              <w:top w:val="nil"/>
              <w:left w:val="nil"/>
              <w:bottom w:val="nil"/>
              <w:right w:val="nil"/>
            </w:tcBorders>
            <w:vAlign w:val="center"/>
            <w:hideMark/>
          </w:tcPr>
          <w:p w14:paraId="1AA87FA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3,931</w:t>
            </w:r>
          </w:p>
        </w:tc>
        <w:tc>
          <w:tcPr>
            <w:tcW w:w="0" w:type="auto"/>
            <w:tcBorders>
              <w:top w:val="nil"/>
              <w:left w:val="nil"/>
              <w:bottom w:val="nil"/>
              <w:right w:val="nil"/>
            </w:tcBorders>
            <w:vAlign w:val="center"/>
            <w:hideMark/>
          </w:tcPr>
          <w:p w14:paraId="4D35F18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3,931</w:t>
            </w:r>
          </w:p>
        </w:tc>
        <w:tc>
          <w:tcPr>
            <w:tcW w:w="0" w:type="auto"/>
            <w:tcBorders>
              <w:top w:val="nil"/>
              <w:left w:val="nil"/>
              <w:bottom w:val="nil"/>
              <w:right w:val="nil"/>
            </w:tcBorders>
            <w:vAlign w:val="center"/>
            <w:hideMark/>
          </w:tcPr>
          <w:p w14:paraId="297F82F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3,931</w:t>
            </w:r>
          </w:p>
        </w:tc>
        <w:tc>
          <w:tcPr>
            <w:tcW w:w="0" w:type="auto"/>
            <w:tcBorders>
              <w:top w:val="nil"/>
              <w:left w:val="nil"/>
              <w:bottom w:val="nil"/>
              <w:right w:val="nil"/>
            </w:tcBorders>
            <w:vAlign w:val="center"/>
            <w:hideMark/>
          </w:tcPr>
          <w:p w14:paraId="1BCF023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3,931</w:t>
            </w:r>
          </w:p>
        </w:tc>
      </w:tr>
      <w:tr w:rsidR="00347DFC" w:rsidRPr="0040073F" w14:paraId="299C8EB8" w14:textId="77777777" w:rsidTr="00347DFC">
        <w:trPr>
          <w:trHeight w:val="260"/>
        </w:trPr>
        <w:tc>
          <w:tcPr>
            <w:tcW w:w="0" w:type="auto"/>
            <w:tcBorders>
              <w:top w:val="nil"/>
              <w:left w:val="nil"/>
              <w:bottom w:val="nil"/>
              <w:right w:val="nil"/>
            </w:tcBorders>
            <w:hideMark/>
          </w:tcPr>
          <w:p w14:paraId="0F4C9146"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Provisions</w:t>
            </w:r>
          </w:p>
        </w:tc>
        <w:tc>
          <w:tcPr>
            <w:tcW w:w="0" w:type="auto"/>
            <w:tcBorders>
              <w:top w:val="nil"/>
              <w:left w:val="nil"/>
              <w:bottom w:val="nil"/>
              <w:right w:val="nil"/>
            </w:tcBorders>
            <w:vAlign w:val="center"/>
            <w:hideMark/>
          </w:tcPr>
          <w:p w14:paraId="076DF2E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11,533</w:t>
            </w:r>
          </w:p>
        </w:tc>
        <w:tc>
          <w:tcPr>
            <w:tcW w:w="0" w:type="auto"/>
            <w:tcBorders>
              <w:top w:val="nil"/>
              <w:left w:val="nil"/>
              <w:bottom w:val="nil"/>
              <w:right w:val="nil"/>
            </w:tcBorders>
            <w:vAlign w:val="center"/>
            <w:hideMark/>
          </w:tcPr>
          <w:p w14:paraId="200BBAB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12,581</w:t>
            </w:r>
          </w:p>
        </w:tc>
        <w:tc>
          <w:tcPr>
            <w:tcW w:w="0" w:type="auto"/>
            <w:tcBorders>
              <w:top w:val="nil"/>
              <w:left w:val="nil"/>
              <w:bottom w:val="nil"/>
              <w:right w:val="nil"/>
            </w:tcBorders>
            <w:vAlign w:val="center"/>
            <w:hideMark/>
          </w:tcPr>
          <w:p w14:paraId="7D07E16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13,630</w:t>
            </w:r>
          </w:p>
        </w:tc>
        <w:tc>
          <w:tcPr>
            <w:tcW w:w="0" w:type="auto"/>
            <w:tcBorders>
              <w:top w:val="nil"/>
              <w:left w:val="nil"/>
              <w:bottom w:val="nil"/>
              <w:right w:val="nil"/>
            </w:tcBorders>
            <w:vAlign w:val="center"/>
            <w:hideMark/>
          </w:tcPr>
          <w:p w14:paraId="325F89E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14,678</w:t>
            </w:r>
          </w:p>
        </w:tc>
        <w:tc>
          <w:tcPr>
            <w:tcW w:w="0" w:type="auto"/>
            <w:tcBorders>
              <w:top w:val="nil"/>
              <w:left w:val="nil"/>
              <w:bottom w:val="nil"/>
              <w:right w:val="nil"/>
            </w:tcBorders>
            <w:vAlign w:val="center"/>
            <w:hideMark/>
          </w:tcPr>
          <w:p w14:paraId="163A606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15,726</w:t>
            </w:r>
          </w:p>
        </w:tc>
        <w:tc>
          <w:tcPr>
            <w:tcW w:w="0" w:type="auto"/>
            <w:tcBorders>
              <w:top w:val="nil"/>
              <w:left w:val="nil"/>
              <w:bottom w:val="nil"/>
              <w:right w:val="nil"/>
            </w:tcBorders>
            <w:vAlign w:val="center"/>
            <w:hideMark/>
          </w:tcPr>
          <w:p w14:paraId="5891F29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16,775</w:t>
            </w:r>
          </w:p>
        </w:tc>
        <w:tc>
          <w:tcPr>
            <w:tcW w:w="0" w:type="auto"/>
            <w:tcBorders>
              <w:top w:val="nil"/>
              <w:left w:val="nil"/>
              <w:bottom w:val="nil"/>
              <w:right w:val="nil"/>
            </w:tcBorders>
            <w:vAlign w:val="center"/>
            <w:hideMark/>
          </w:tcPr>
          <w:p w14:paraId="72145F2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17,823</w:t>
            </w:r>
          </w:p>
        </w:tc>
        <w:tc>
          <w:tcPr>
            <w:tcW w:w="0" w:type="auto"/>
            <w:tcBorders>
              <w:top w:val="nil"/>
              <w:left w:val="nil"/>
              <w:bottom w:val="nil"/>
              <w:right w:val="nil"/>
            </w:tcBorders>
            <w:vAlign w:val="center"/>
            <w:hideMark/>
          </w:tcPr>
          <w:p w14:paraId="12931BE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18,871</w:t>
            </w:r>
          </w:p>
        </w:tc>
        <w:tc>
          <w:tcPr>
            <w:tcW w:w="0" w:type="auto"/>
            <w:tcBorders>
              <w:top w:val="nil"/>
              <w:left w:val="nil"/>
              <w:bottom w:val="nil"/>
              <w:right w:val="nil"/>
            </w:tcBorders>
            <w:vAlign w:val="center"/>
            <w:hideMark/>
          </w:tcPr>
          <w:p w14:paraId="30A26AB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19,920</w:t>
            </w:r>
          </w:p>
        </w:tc>
        <w:tc>
          <w:tcPr>
            <w:tcW w:w="0" w:type="auto"/>
            <w:tcBorders>
              <w:top w:val="nil"/>
              <w:left w:val="nil"/>
              <w:bottom w:val="nil"/>
              <w:right w:val="nil"/>
            </w:tcBorders>
            <w:vAlign w:val="center"/>
            <w:hideMark/>
          </w:tcPr>
          <w:p w14:paraId="61E5141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20,968</w:t>
            </w:r>
          </w:p>
        </w:tc>
        <w:tc>
          <w:tcPr>
            <w:tcW w:w="0" w:type="auto"/>
            <w:tcBorders>
              <w:top w:val="nil"/>
              <w:left w:val="nil"/>
              <w:bottom w:val="nil"/>
              <w:right w:val="nil"/>
            </w:tcBorders>
            <w:vAlign w:val="center"/>
            <w:hideMark/>
          </w:tcPr>
          <w:p w14:paraId="2C3FE0B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22,016</w:t>
            </w:r>
          </w:p>
        </w:tc>
      </w:tr>
      <w:tr w:rsidR="00347DFC" w:rsidRPr="0040073F" w14:paraId="73212FB6" w14:textId="77777777" w:rsidTr="00347DFC">
        <w:trPr>
          <w:trHeight w:val="260"/>
        </w:trPr>
        <w:tc>
          <w:tcPr>
            <w:tcW w:w="0" w:type="auto"/>
            <w:tcBorders>
              <w:top w:val="nil"/>
              <w:left w:val="nil"/>
              <w:bottom w:val="nil"/>
              <w:right w:val="nil"/>
            </w:tcBorders>
            <w:noWrap/>
            <w:hideMark/>
          </w:tcPr>
          <w:p w14:paraId="761BF232"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Interest-bearing liabilities</w:t>
            </w:r>
          </w:p>
        </w:tc>
        <w:tc>
          <w:tcPr>
            <w:tcW w:w="0" w:type="auto"/>
            <w:tcBorders>
              <w:top w:val="nil"/>
              <w:left w:val="nil"/>
              <w:bottom w:val="nil"/>
              <w:right w:val="nil"/>
            </w:tcBorders>
            <w:vAlign w:val="center"/>
            <w:hideMark/>
          </w:tcPr>
          <w:p w14:paraId="292761B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1,418</w:t>
            </w:r>
          </w:p>
        </w:tc>
        <w:tc>
          <w:tcPr>
            <w:tcW w:w="0" w:type="auto"/>
            <w:tcBorders>
              <w:top w:val="nil"/>
              <w:left w:val="nil"/>
              <w:bottom w:val="nil"/>
              <w:right w:val="nil"/>
            </w:tcBorders>
            <w:vAlign w:val="center"/>
            <w:hideMark/>
          </w:tcPr>
          <w:p w14:paraId="66DBDB7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2,808</w:t>
            </w:r>
          </w:p>
        </w:tc>
        <w:tc>
          <w:tcPr>
            <w:tcW w:w="0" w:type="auto"/>
            <w:tcBorders>
              <w:top w:val="nil"/>
              <w:left w:val="nil"/>
              <w:bottom w:val="nil"/>
              <w:right w:val="nil"/>
            </w:tcBorders>
            <w:vAlign w:val="center"/>
            <w:hideMark/>
          </w:tcPr>
          <w:p w14:paraId="1B7FD42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4,653</w:t>
            </w:r>
          </w:p>
        </w:tc>
        <w:tc>
          <w:tcPr>
            <w:tcW w:w="0" w:type="auto"/>
            <w:tcBorders>
              <w:top w:val="nil"/>
              <w:left w:val="nil"/>
              <w:bottom w:val="nil"/>
              <w:right w:val="nil"/>
            </w:tcBorders>
            <w:vAlign w:val="center"/>
            <w:hideMark/>
          </w:tcPr>
          <w:p w14:paraId="11FAA72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6,511</w:t>
            </w:r>
          </w:p>
        </w:tc>
        <w:tc>
          <w:tcPr>
            <w:tcW w:w="0" w:type="auto"/>
            <w:tcBorders>
              <w:top w:val="nil"/>
              <w:left w:val="nil"/>
              <w:bottom w:val="nil"/>
              <w:right w:val="nil"/>
            </w:tcBorders>
            <w:vAlign w:val="center"/>
            <w:hideMark/>
          </w:tcPr>
          <w:p w14:paraId="57EC160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8,622</w:t>
            </w:r>
          </w:p>
        </w:tc>
        <w:tc>
          <w:tcPr>
            <w:tcW w:w="0" w:type="auto"/>
            <w:tcBorders>
              <w:top w:val="nil"/>
              <w:left w:val="nil"/>
              <w:bottom w:val="nil"/>
              <w:right w:val="nil"/>
            </w:tcBorders>
            <w:vAlign w:val="center"/>
            <w:hideMark/>
          </w:tcPr>
          <w:p w14:paraId="1715081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9,480</w:t>
            </w:r>
          </w:p>
        </w:tc>
        <w:tc>
          <w:tcPr>
            <w:tcW w:w="0" w:type="auto"/>
            <w:tcBorders>
              <w:top w:val="nil"/>
              <w:left w:val="nil"/>
              <w:bottom w:val="nil"/>
              <w:right w:val="nil"/>
            </w:tcBorders>
            <w:vAlign w:val="center"/>
            <w:hideMark/>
          </w:tcPr>
          <w:p w14:paraId="1CE4517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10,377</w:t>
            </w:r>
          </w:p>
        </w:tc>
        <w:tc>
          <w:tcPr>
            <w:tcW w:w="0" w:type="auto"/>
            <w:tcBorders>
              <w:top w:val="nil"/>
              <w:left w:val="nil"/>
              <w:bottom w:val="nil"/>
              <w:right w:val="nil"/>
            </w:tcBorders>
            <w:vAlign w:val="center"/>
            <w:hideMark/>
          </w:tcPr>
          <w:p w14:paraId="7E17214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11,320</w:t>
            </w:r>
          </w:p>
        </w:tc>
        <w:tc>
          <w:tcPr>
            <w:tcW w:w="0" w:type="auto"/>
            <w:tcBorders>
              <w:top w:val="nil"/>
              <w:left w:val="nil"/>
              <w:bottom w:val="nil"/>
              <w:right w:val="nil"/>
            </w:tcBorders>
            <w:vAlign w:val="center"/>
            <w:hideMark/>
          </w:tcPr>
          <w:p w14:paraId="58642D6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12,306</w:t>
            </w:r>
          </w:p>
        </w:tc>
        <w:tc>
          <w:tcPr>
            <w:tcW w:w="0" w:type="auto"/>
            <w:tcBorders>
              <w:top w:val="nil"/>
              <w:left w:val="nil"/>
              <w:bottom w:val="nil"/>
              <w:right w:val="nil"/>
            </w:tcBorders>
            <w:vAlign w:val="center"/>
            <w:hideMark/>
          </w:tcPr>
          <w:p w14:paraId="162DCFD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13,310</w:t>
            </w:r>
          </w:p>
        </w:tc>
        <w:tc>
          <w:tcPr>
            <w:tcW w:w="0" w:type="auto"/>
            <w:tcBorders>
              <w:top w:val="nil"/>
              <w:left w:val="nil"/>
              <w:bottom w:val="nil"/>
              <w:right w:val="nil"/>
            </w:tcBorders>
            <w:vAlign w:val="center"/>
            <w:hideMark/>
          </w:tcPr>
          <w:p w14:paraId="768BFAC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11,952</w:t>
            </w:r>
          </w:p>
        </w:tc>
      </w:tr>
      <w:tr w:rsidR="00347DFC" w:rsidRPr="0040073F" w14:paraId="638A71E8" w14:textId="77777777" w:rsidTr="00347DFC">
        <w:trPr>
          <w:trHeight w:val="260"/>
        </w:trPr>
        <w:tc>
          <w:tcPr>
            <w:tcW w:w="0" w:type="auto"/>
            <w:tcBorders>
              <w:top w:val="nil"/>
              <w:left w:val="nil"/>
              <w:bottom w:val="nil"/>
              <w:right w:val="nil"/>
            </w:tcBorders>
            <w:noWrap/>
            <w:hideMark/>
          </w:tcPr>
          <w:p w14:paraId="5B303D9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Lease liabilities</w:t>
            </w:r>
          </w:p>
        </w:tc>
        <w:tc>
          <w:tcPr>
            <w:tcW w:w="0" w:type="auto"/>
            <w:tcBorders>
              <w:top w:val="nil"/>
              <w:left w:val="nil"/>
              <w:bottom w:val="nil"/>
              <w:right w:val="nil"/>
            </w:tcBorders>
            <w:vAlign w:val="center"/>
            <w:hideMark/>
          </w:tcPr>
          <w:p w14:paraId="64B7E06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424</w:t>
            </w:r>
          </w:p>
        </w:tc>
        <w:tc>
          <w:tcPr>
            <w:tcW w:w="0" w:type="auto"/>
            <w:tcBorders>
              <w:top w:val="nil"/>
              <w:left w:val="nil"/>
              <w:bottom w:val="nil"/>
              <w:right w:val="nil"/>
            </w:tcBorders>
            <w:vAlign w:val="center"/>
            <w:hideMark/>
          </w:tcPr>
          <w:p w14:paraId="7D280C9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543</w:t>
            </w:r>
          </w:p>
        </w:tc>
        <w:tc>
          <w:tcPr>
            <w:tcW w:w="0" w:type="auto"/>
            <w:tcBorders>
              <w:top w:val="nil"/>
              <w:left w:val="nil"/>
              <w:bottom w:val="nil"/>
              <w:right w:val="nil"/>
            </w:tcBorders>
            <w:vAlign w:val="center"/>
            <w:hideMark/>
          </w:tcPr>
          <w:p w14:paraId="0477891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570</w:t>
            </w:r>
          </w:p>
        </w:tc>
        <w:tc>
          <w:tcPr>
            <w:tcW w:w="0" w:type="auto"/>
            <w:tcBorders>
              <w:top w:val="nil"/>
              <w:left w:val="nil"/>
              <w:bottom w:val="nil"/>
              <w:right w:val="nil"/>
            </w:tcBorders>
            <w:vAlign w:val="center"/>
            <w:hideMark/>
          </w:tcPr>
          <w:p w14:paraId="78D2426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600</w:t>
            </w:r>
          </w:p>
        </w:tc>
        <w:tc>
          <w:tcPr>
            <w:tcW w:w="0" w:type="auto"/>
            <w:tcBorders>
              <w:top w:val="nil"/>
              <w:left w:val="nil"/>
              <w:bottom w:val="nil"/>
              <w:right w:val="nil"/>
            </w:tcBorders>
            <w:vAlign w:val="center"/>
            <w:hideMark/>
          </w:tcPr>
          <w:p w14:paraId="3549E1C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6E67550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0D36B1B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064B580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137CA2A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2F792E5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56F3D6F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r>
      <w:tr w:rsidR="00347DFC" w:rsidRPr="0040073F" w14:paraId="608CD4A4" w14:textId="77777777" w:rsidTr="00347DFC">
        <w:trPr>
          <w:trHeight w:val="260"/>
        </w:trPr>
        <w:tc>
          <w:tcPr>
            <w:tcW w:w="0" w:type="auto"/>
            <w:tcBorders>
              <w:top w:val="nil"/>
              <w:left w:val="nil"/>
              <w:bottom w:val="nil"/>
              <w:right w:val="nil"/>
            </w:tcBorders>
            <w:hideMark/>
          </w:tcPr>
          <w:p w14:paraId="5140C99E"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Total current liabilities</w:t>
            </w:r>
          </w:p>
        </w:tc>
        <w:tc>
          <w:tcPr>
            <w:tcW w:w="0" w:type="auto"/>
            <w:tcBorders>
              <w:top w:val="single" w:sz="4" w:space="0" w:color="auto"/>
              <w:left w:val="nil"/>
              <w:bottom w:val="single" w:sz="4" w:space="0" w:color="auto"/>
              <w:right w:val="nil"/>
            </w:tcBorders>
            <w:vAlign w:val="center"/>
            <w:hideMark/>
          </w:tcPr>
          <w:p w14:paraId="3D83814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62,873</w:t>
            </w:r>
          </w:p>
        </w:tc>
        <w:tc>
          <w:tcPr>
            <w:tcW w:w="0" w:type="auto"/>
            <w:tcBorders>
              <w:top w:val="single" w:sz="4" w:space="0" w:color="auto"/>
              <w:left w:val="nil"/>
              <w:bottom w:val="single" w:sz="4" w:space="0" w:color="auto"/>
              <w:right w:val="nil"/>
            </w:tcBorders>
            <w:vAlign w:val="center"/>
            <w:hideMark/>
          </w:tcPr>
          <w:p w14:paraId="790424B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55,126</w:t>
            </w:r>
          </w:p>
        </w:tc>
        <w:tc>
          <w:tcPr>
            <w:tcW w:w="0" w:type="auto"/>
            <w:tcBorders>
              <w:top w:val="single" w:sz="4" w:space="0" w:color="auto"/>
              <w:left w:val="nil"/>
              <w:bottom w:val="single" w:sz="4" w:space="0" w:color="auto"/>
              <w:right w:val="nil"/>
            </w:tcBorders>
            <w:vAlign w:val="center"/>
            <w:hideMark/>
          </w:tcPr>
          <w:p w14:paraId="2F014DB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51,913</w:t>
            </w:r>
          </w:p>
        </w:tc>
        <w:tc>
          <w:tcPr>
            <w:tcW w:w="0" w:type="auto"/>
            <w:tcBorders>
              <w:top w:val="single" w:sz="4" w:space="0" w:color="auto"/>
              <w:left w:val="nil"/>
              <w:bottom w:val="single" w:sz="4" w:space="0" w:color="auto"/>
              <w:right w:val="nil"/>
            </w:tcBorders>
            <w:vAlign w:val="center"/>
            <w:hideMark/>
          </w:tcPr>
          <w:p w14:paraId="600FE34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48,294</w:t>
            </w:r>
          </w:p>
        </w:tc>
        <w:tc>
          <w:tcPr>
            <w:tcW w:w="0" w:type="auto"/>
            <w:tcBorders>
              <w:top w:val="single" w:sz="4" w:space="0" w:color="auto"/>
              <w:left w:val="nil"/>
              <w:bottom w:val="single" w:sz="4" w:space="0" w:color="auto"/>
              <w:right w:val="nil"/>
            </w:tcBorders>
            <w:vAlign w:val="center"/>
            <w:hideMark/>
          </w:tcPr>
          <w:p w14:paraId="5C8E637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51,287</w:t>
            </w:r>
          </w:p>
        </w:tc>
        <w:tc>
          <w:tcPr>
            <w:tcW w:w="0" w:type="auto"/>
            <w:tcBorders>
              <w:top w:val="single" w:sz="4" w:space="0" w:color="auto"/>
              <w:left w:val="nil"/>
              <w:bottom w:val="single" w:sz="4" w:space="0" w:color="auto"/>
              <w:right w:val="nil"/>
            </w:tcBorders>
            <w:vAlign w:val="center"/>
            <w:hideMark/>
          </w:tcPr>
          <w:p w14:paraId="5D8BD70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53,332</w:t>
            </w:r>
          </w:p>
        </w:tc>
        <w:tc>
          <w:tcPr>
            <w:tcW w:w="0" w:type="auto"/>
            <w:tcBorders>
              <w:top w:val="single" w:sz="4" w:space="0" w:color="auto"/>
              <w:left w:val="nil"/>
              <w:bottom w:val="single" w:sz="4" w:space="0" w:color="auto"/>
              <w:right w:val="nil"/>
            </w:tcBorders>
            <w:vAlign w:val="center"/>
            <w:hideMark/>
          </w:tcPr>
          <w:p w14:paraId="58C503D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55,488</w:t>
            </w:r>
          </w:p>
        </w:tc>
        <w:tc>
          <w:tcPr>
            <w:tcW w:w="0" w:type="auto"/>
            <w:tcBorders>
              <w:top w:val="single" w:sz="4" w:space="0" w:color="auto"/>
              <w:left w:val="nil"/>
              <w:bottom w:val="single" w:sz="4" w:space="0" w:color="auto"/>
              <w:right w:val="nil"/>
            </w:tcBorders>
            <w:vAlign w:val="center"/>
            <w:hideMark/>
          </w:tcPr>
          <w:p w14:paraId="1931BA0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57,865</w:t>
            </w:r>
          </w:p>
        </w:tc>
        <w:tc>
          <w:tcPr>
            <w:tcW w:w="0" w:type="auto"/>
            <w:tcBorders>
              <w:top w:val="single" w:sz="4" w:space="0" w:color="auto"/>
              <w:left w:val="nil"/>
              <w:bottom w:val="single" w:sz="4" w:space="0" w:color="auto"/>
              <w:right w:val="nil"/>
            </w:tcBorders>
            <w:vAlign w:val="center"/>
            <w:hideMark/>
          </w:tcPr>
          <w:p w14:paraId="23B9A33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60,043</w:t>
            </w:r>
          </w:p>
        </w:tc>
        <w:tc>
          <w:tcPr>
            <w:tcW w:w="0" w:type="auto"/>
            <w:tcBorders>
              <w:top w:val="single" w:sz="4" w:space="0" w:color="auto"/>
              <w:left w:val="nil"/>
              <w:bottom w:val="single" w:sz="4" w:space="0" w:color="auto"/>
              <w:right w:val="nil"/>
            </w:tcBorders>
            <w:vAlign w:val="center"/>
            <w:hideMark/>
          </w:tcPr>
          <w:p w14:paraId="23B7293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69,709</w:t>
            </w:r>
          </w:p>
        </w:tc>
        <w:tc>
          <w:tcPr>
            <w:tcW w:w="0" w:type="auto"/>
            <w:tcBorders>
              <w:top w:val="single" w:sz="4" w:space="0" w:color="auto"/>
              <w:left w:val="nil"/>
              <w:bottom w:val="single" w:sz="4" w:space="0" w:color="auto"/>
              <w:right w:val="nil"/>
            </w:tcBorders>
            <w:vAlign w:val="center"/>
            <w:hideMark/>
          </w:tcPr>
          <w:p w14:paraId="44B4A0E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70,155</w:t>
            </w:r>
          </w:p>
        </w:tc>
      </w:tr>
      <w:tr w:rsidR="00347DFC" w:rsidRPr="0040073F" w14:paraId="212D7431" w14:textId="77777777" w:rsidTr="00347DFC">
        <w:trPr>
          <w:trHeight w:val="260"/>
        </w:trPr>
        <w:tc>
          <w:tcPr>
            <w:tcW w:w="0" w:type="auto"/>
            <w:tcBorders>
              <w:top w:val="nil"/>
              <w:left w:val="nil"/>
              <w:bottom w:val="nil"/>
              <w:right w:val="nil"/>
            </w:tcBorders>
            <w:hideMark/>
          </w:tcPr>
          <w:p w14:paraId="15C68FEA" w14:textId="77777777" w:rsidR="0040073F" w:rsidRPr="0040073F" w:rsidRDefault="0040073F" w:rsidP="0040073F">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7D8BD2E7"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826F262"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92D8D3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38F5B4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DAEC7DC"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535F473"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1EFBC1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50F8FCE"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10C9652"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AEFA261"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6352DD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76209" w:rsidRPr="0040073F" w14:paraId="05F5565A" w14:textId="77777777" w:rsidTr="00347DFC">
        <w:trPr>
          <w:trHeight w:val="260"/>
        </w:trPr>
        <w:tc>
          <w:tcPr>
            <w:tcW w:w="0" w:type="auto"/>
            <w:tcBorders>
              <w:top w:val="nil"/>
              <w:left w:val="nil"/>
              <w:bottom w:val="nil"/>
              <w:right w:val="nil"/>
            </w:tcBorders>
          </w:tcPr>
          <w:p w14:paraId="72B54164" w14:textId="77777777" w:rsidR="00376209" w:rsidRPr="0040073F" w:rsidRDefault="00376209" w:rsidP="0040073F">
            <w:pPr>
              <w:spacing w:before="0" w:after="0"/>
              <w:rPr>
                <w:rFonts w:ascii="Arial" w:hAnsi="Arial" w:cs="Arial"/>
                <w:b/>
                <w:bCs/>
                <w:sz w:val="16"/>
                <w:szCs w:val="16"/>
              </w:rPr>
            </w:pPr>
          </w:p>
        </w:tc>
        <w:tc>
          <w:tcPr>
            <w:tcW w:w="0" w:type="auto"/>
            <w:tcBorders>
              <w:top w:val="nil"/>
              <w:left w:val="nil"/>
              <w:bottom w:val="nil"/>
              <w:right w:val="nil"/>
            </w:tcBorders>
            <w:vAlign w:val="center"/>
          </w:tcPr>
          <w:p w14:paraId="2E9A7F3B" w14:textId="77777777" w:rsidR="00376209" w:rsidRPr="0040073F" w:rsidRDefault="00376209" w:rsidP="0040073F">
            <w:pPr>
              <w:spacing w:before="0" w:after="0"/>
              <w:rPr>
                <w:rFonts w:ascii="Arial" w:hAnsi="Arial" w:cs="Arial"/>
                <w:b/>
                <w:bCs/>
                <w:sz w:val="16"/>
                <w:szCs w:val="16"/>
              </w:rPr>
            </w:pPr>
          </w:p>
        </w:tc>
        <w:tc>
          <w:tcPr>
            <w:tcW w:w="0" w:type="auto"/>
            <w:tcBorders>
              <w:top w:val="nil"/>
              <w:left w:val="nil"/>
              <w:bottom w:val="nil"/>
              <w:right w:val="nil"/>
            </w:tcBorders>
            <w:vAlign w:val="center"/>
          </w:tcPr>
          <w:p w14:paraId="780FD578"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127D5109"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6C9A843C"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7ECFD3F3"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06030FAF"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3E7D7089"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6D5307F1"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25649007"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1DF6308A"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08B0E95D" w14:textId="77777777" w:rsidR="00376209" w:rsidRPr="0040073F" w:rsidRDefault="00376209" w:rsidP="0040073F">
            <w:pPr>
              <w:spacing w:before="0" w:after="0"/>
              <w:rPr>
                <w:rFonts w:ascii="Arial" w:hAnsi="Arial" w:cs="Arial"/>
                <w:sz w:val="16"/>
                <w:szCs w:val="16"/>
              </w:rPr>
            </w:pPr>
          </w:p>
        </w:tc>
      </w:tr>
      <w:tr w:rsidR="00376209" w:rsidRPr="0040073F" w14:paraId="210DC700" w14:textId="77777777" w:rsidTr="00347DFC">
        <w:trPr>
          <w:trHeight w:val="260"/>
        </w:trPr>
        <w:tc>
          <w:tcPr>
            <w:tcW w:w="0" w:type="auto"/>
            <w:tcBorders>
              <w:top w:val="nil"/>
              <w:left w:val="nil"/>
              <w:bottom w:val="nil"/>
              <w:right w:val="nil"/>
            </w:tcBorders>
          </w:tcPr>
          <w:p w14:paraId="473A0507" w14:textId="77777777" w:rsidR="00376209" w:rsidRPr="0040073F" w:rsidRDefault="00376209" w:rsidP="0040073F">
            <w:pPr>
              <w:spacing w:before="0" w:after="0"/>
              <w:rPr>
                <w:rFonts w:ascii="Arial" w:hAnsi="Arial" w:cs="Arial"/>
                <w:b/>
                <w:bCs/>
                <w:sz w:val="16"/>
                <w:szCs w:val="16"/>
              </w:rPr>
            </w:pPr>
          </w:p>
        </w:tc>
        <w:tc>
          <w:tcPr>
            <w:tcW w:w="0" w:type="auto"/>
            <w:tcBorders>
              <w:top w:val="nil"/>
              <w:left w:val="nil"/>
              <w:bottom w:val="nil"/>
              <w:right w:val="nil"/>
            </w:tcBorders>
            <w:vAlign w:val="center"/>
          </w:tcPr>
          <w:p w14:paraId="17DFAB8C" w14:textId="77777777" w:rsidR="00376209" w:rsidRPr="0040073F" w:rsidRDefault="00376209" w:rsidP="0040073F">
            <w:pPr>
              <w:spacing w:before="0" w:after="0"/>
              <w:rPr>
                <w:rFonts w:ascii="Arial" w:hAnsi="Arial" w:cs="Arial"/>
                <w:b/>
                <w:bCs/>
                <w:sz w:val="16"/>
                <w:szCs w:val="16"/>
              </w:rPr>
            </w:pPr>
          </w:p>
        </w:tc>
        <w:tc>
          <w:tcPr>
            <w:tcW w:w="0" w:type="auto"/>
            <w:tcBorders>
              <w:top w:val="nil"/>
              <w:left w:val="nil"/>
              <w:bottom w:val="nil"/>
              <w:right w:val="nil"/>
            </w:tcBorders>
            <w:vAlign w:val="center"/>
          </w:tcPr>
          <w:p w14:paraId="7AC4D0B4"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6B878818"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497CE08D"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56BF6759"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07ECB147"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1E59B282"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7221E42A"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193B0F47"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09C5DF8D" w14:textId="77777777" w:rsidR="00376209" w:rsidRPr="0040073F" w:rsidRDefault="00376209" w:rsidP="0040073F">
            <w:pPr>
              <w:spacing w:before="0" w:after="0"/>
              <w:rPr>
                <w:rFonts w:ascii="Arial" w:hAnsi="Arial" w:cs="Arial"/>
                <w:sz w:val="16"/>
                <w:szCs w:val="16"/>
              </w:rPr>
            </w:pPr>
          </w:p>
        </w:tc>
        <w:tc>
          <w:tcPr>
            <w:tcW w:w="0" w:type="auto"/>
            <w:tcBorders>
              <w:top w:val="nil"/>
              <w:left w:val="nil"/>
              <w:bottom w:val="nil"/>
              <w:right w:val="nil"/>
            </w:tcBorders>
            <w:vAlign w:val="center"/>
          </w:tcPr>
          <w:p w14:paraId="071DE603" w14:textId="77777777" w:rsidR="00376209" w:rsidRPr="0040073F" w:rsidRDefault="00376209" w:rsidP="0040073F">
            <w:pPr>
              <w:spacing w:before="0" w:after="0"/>
              <w:rPr>
                <w:rFonts w:ascii="Arial" w:hAnsi="Arial" w:cs="Arial"/>
                <w:sz w:val="16"/>
                <w:szCs w:val="16"/>
              </w:rPr>
            </w:pPr>
          </w:p>
        </w:tc>
      </w:tr>
      <w:tr w:rsidR="00347DFC" w:rsidRPr="0040073F" w14:paraId="2D1E54A8" w14:textId="77777777" w:rsidTr="00347DFC">
        <w:trPr>
          <w:trHeight w:val="260"/>
        </w:trPr>
        <w:tc>
          <w:tcPr>
            <w:tcW w:w="0" w:type="auto"/>
            <w:tcBorders>
              <w:top w:val="nil"/>
              <w:left w:val="nil"/>
              <w:bottom w:val="nil"/>
              <w:right w:val="nil"/>
            </w:tcBorders>
            <w:hideMark/>
          </w:tcPr>
          <w:p w14:paraId="67CF4DC5"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Non-current liabilities</w:t>
            </w:r>
          </w:p>
        </w:tc>
        <w:tc>
          <w:tcPr>
            <w:tcW w:w="0" w:type="auto"/>
            <w:tcBorders>
              <w:top w:val="nil"/>
              <w:left w:val="nil"/>
              <w:bottom w:val="nil"/>
              <w:right w:val="nil"/>
            </w:tcBorders>
            <w:vAlign w:val="center"/>
            <w:hideMark/>
          </w:tcPr>
          <w:p w14:paraId="16E773D5"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 </w:t>
            </w:r>
          </w:p>
        </w:tc>
        <w:tc>
          <w:tcPr>
            <w:tcW w:w="0" w:type="auto"/>
            <w:tcBorders>
              <w:top w:val="nil"/>
              <w:left w:val="nil"/>
              <w:bottom w:val="nil"/>
              <w:right w:val="nil"/>
            </w:tcBorders>
            <w:vAlign w:val="center"/>
            <w:hideMark/>
          </w:tcPr>
          <w:p w14:paraId="4853701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4012283"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A95DFD7"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2B93CA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758D51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5F4C2CE"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9E229A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465F80A"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6E96CD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400C8A7"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47DFC" w:rsidRPr="0040073F" w14:paraId="39658A3D" w14:textId="77777777" w:rsidTr="00347DFC">
        <w:trPr>
          <w:trHeight w:val="260"/>
        </w:trPr>
        <w:tc>
          <w:tcPr>
            <w:tcW w:w="0" w:type="auto"/>
            <w:tcBorders>
              <w:top w:val="nil"/>
              <w:left w:val="nil"/>
              <w:bottom w:val="nil"/>
              <w:right w:val="nil"/>
            </w:tcBorders>
            <w:hideMark/>
          </w:tcPr>
          <w:p w14:paraId="7FA28E63"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Provisions</w:t>
            </w:r>
          </w:p>
        </w:tc>
        <w:tc>
          <w:tcPr>
            <w:tcW w:w="0" w:type="auto"/>
            <w:tcBorders>
              <w:top w:val="nil"/>
              <w:left w:val="nil"/>
              <w:bottom w:val="nil"/>
              <w:right w:val="nil"/>
            </w:tcBorders>
            <w:vAlign w:val="center"/>
            <w:hideMark/>
          </w:tcPr>
          <w:p w14:paraId="1A3D789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7,203</w:t>
            </w:r>
          </w:p>
        </w:tc>
        <w:tc>
          <w:tcPr>
            <w:tcW w:w="0" w:type="auto"/>
            <w:tcBorders>
              <w:top w:val="nil"/>
              <w:left w:val="nil"/>
              <w:bottom w:val="nil"/>
              <w:right w:val="nil"/>
            </w:tcBorders>
            <w:vAlign w:val="center"/>
            <w:hideMark/>
          </w:tcPr>
          <w:p w14:paraId="4348A9E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7,377</w:t>
            </w:r>
          </w:p>
        </w:tc>
        <w:tc>
          <w:tcPr>
            <w:tcW w:w="0" w:type="auto"/>
            <w:tcBorders>
              <w:top w:val="nil"/>
              <w:left w:val="nil"/>
              <w:bottom w:val="nil"/>
              <w:right w:val="nil"/>
            </w:tcBorders>
            <w:vAlign w:val="center"/>
            <w:hideMark/>
          </w:tcPr>
          <w:p w14:paraId="55AAC35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7,550</w:t>
            </w:r>
          </w:p>
        </w:tc>
        <w:tc>
          <w:tcPr>
            <w:tcW w:w="0" w:type="auto"/>
            <w:tcBorders>
              <w:top w:val="nil"/>
              <w:left w:val="nil"/>
              <w:bottom w:val="nil"/>
              <w:right w:val="nil"/>
            </w:tcBorders>
            <w:vAlign w:val="center"/>
            <w:hideMark/>
          </w:tcPr>
          <w:p w14:paraId="13155BF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7,724</w:t>
            </w:r>
          </w:p>
        </w:tc>
        <w:tc>
          <w:tcPr>
            <w:tcW w:w="0" w:type="auto"/>
            <w:tcBorders>
              <w:top w:val="nil"/>
              <w:left w:val="nil"/>
              <w:bottom w:val="nil"/>
              <w:right w:val="nil"/>
            </w:tcBorders>
            <w:vAlign w:val="center"/>
            <w:hideMark/>
          </w:tcPr>
          <w:p w14:paraId="3576E24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7,898</w:t>
            </w:r>
          </w:p>
        </w:tc>
        <w:tc>
          <w:tcPr>
            <w:tcW w:w="0" w:type="auto"/>
            <w:tcBorders>
              <w:top w:val="nil"/>
              <w:left w:val="nil"/>
              <w:bottom w:val="nil"/>
              <w:right w:val="nil"/>
            </w:tcBorders>
            <w:vAlign w:val="center"/>
            <w:hideMark/>
          </w:tcPr>
          <w:p w14:paraId="2CD2E6A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8,071</w:t>
            </w:r>
          </w:p>
        </w:tc>
        <w:tc>
          <w:tcPr>
            <w:tcW w:w="0" w:type="auto"/>
            <w:tcBorders>
              <w:top w:val="nil"/>
              <w:left w:val="nil"/>
              <w:bottom w:val="nil"/>
              <w:right w:val="nil"/>
            </w:tcBorders>
            <w:vAlign w:val="center"/>
            <w:hideMark/>
          </w:tcPr>
          <w:p w14:paraId="31E764F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8,245</w:t>
            </w:r>
          </w:p>
        </w:tc>
        <w:tc>
          <w:tcPr>
            <w:tcW w:w="0" w:type="auto"/>
            <w:tcBorders>
              <w:top w:val="nil"/>
              <w:left w:val="nil"/>
              <w:bottom w:val="nil"/>
              <w:right w:val="nil"/>
            </w:tcBorders>
            <w:vAlign w:val="center"/>
            <w:hideMark/>
          </w:tcPr>
          <w:p w14:paraId="151A335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8,419</w:t>
            </w:r>
          </w:p>
        </w:tc>
        <w:tc>
          <w:tcPr>
            <w:tcW w:w="0" w:type="auto"/>
            <w:tcBorders>
              <w:top w:val="nil"/>
              <w:left w:val="nil"/>
              <w:bottom w:val="nil"/>
              <w:right w:val="nil"/>
            </w:tcBorders>
            <w:vAlign w:val="center"/>
            <w:hideMark/>
          </w:tcPr>
          <w:p w14:paraId="292FC2D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8,592</w:t>
            </w:r>
          </w:p>
        </w:tc>
        <w:tc>
          <w:tcPr>
            <w:tcW w:w="0" w:type="auto"/>
            <w:tcBorders>
              <w:top w:val="nil"/>
              <w:left w:val="nil"/>
              <w:bottom w:val="nil"/>
              <w:right w:val="nil"/>
            </w:tcBorders>
            <w:vAlign w:val="center"/>
            <w:hideMark/>
          </w:tcPr>
          <w:p w14:paraId="28522A6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8,766</w:t>
            </w:r>
          </w:p>
        </w:tc>
        <w:tc>
          <w:tcPr>
            <w:tcW w:w="0" w:type="auto"/>
            <w:tcBorders>
              <w:top w:val="nil"/>
              <w:left w:val="nil"/>
              <w:bottom w:val="nil"/>
              <w:right w:val="nil"/>
            </w:tcBorders>
            <w:vAlign w:val="center"/>
            <w:hideMark/>
          </w:tcPr>
          <w:p w14:paraId="7330FCF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8,940</w:t>
            </w:r>
          </w:p>
        </w:tc>
      </w:tr>
      <w:tr w:rsidR="00347DFC" w:rsidRPr="0040073F" w14:paraId="4E7F4DB3" w14:textId="77777777" w:rsidTr="00347DFC">
        <w:trPr>
          <w:trHeight w:val="260"/>
        </w:trPr>
        <w:tc>
          <w:tcPr>
            <w:tcW w:w="0" w:type="auto"/>
            <w:tcBorders>
              <w:top w:val="nil"/>
              <w:left w:val="nil"/>
              <w:bottom w:val="nil"/>
              <w:right w:val="nil"/>
            </w:tcBorders>
            <w:noWrap/>
            <w:hideMark/>
          </w:tcPr>
          <w:p w14:paraId="07751F67"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Interest-bearing liabilities</w:t>
            </w:r>
          </w:p>
        </w:tc>
        <w:tc>
          <w:tcPr>
            <w:tcW w:w="0" w:type="auto"/>
            <w:tcBorders>
              <w:top w:val="nil"/>
              <w:left w:val="nil"/>
              <w:bottom w:val="nil"/>
              <w:right w:val="nil"/>
            </w:tcBorders>
            <w:vAlign w:val="center"/>
            <w:hideMark/>
          </w:tcPr>
          <w:p w14:paraId="334272B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16,092</w:t>
            </w:r>
          </w:p>
        </w:tc>
        <w:tc>
          <w:tcPr>
            <w:tcW w:w="0" w:type="auto"/>
            <w:tcBorders>
              <w:top w:val="nil"/>
              <w:left w:val="nil"/>
              <w:bottom w:val="nil"/>
              <w:right w:val="nil"/>
            </w:tcBorders>
            <w:vAlign w:val="center"/>
            <w:hideMark/>
          </w:tcPr>
          <w:p w14:paraId="17375DC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30,206</w:t>
            </w:r>
          </w:p>
        </w:tc>
        <w:tc>
          <w:tcPr>
            <w:tcW w:w="0" w:type="auto"/>
            <w:tcBorders>
              <w:top w:val="nil"/>
              <w:left w:val="nil"/>
              <w:bottom w:val="nil"/>
              <w:right w:val="nil"/>
            </w:tcBorders>
            <w:vAlign w:val="center"/>
            <w:hideMark/>
          </w:tcPr>
          <w:p w14:paraId="421459F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46,850</w:t>
            </w:r>
          </w:p>
        </w:tc>
        <w:tc>
          <w:tcPr>
            <w:tcW w:w="0" w:type="auto"/>
            <w:tcBorders>
              <w:top w:val="nil"/>
              <w:left w:val="nil"/>
              <w:bottom w:val="nil"/>
              <w:right w:val="nil"/>
            </w:tcBorders>
            <w:vAlign w:val="center"/>
            <w:hideMark/>
          </w:tcPr>
          <w:p w14:paraId="21CCB3B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60,603</w:t>
            </w:r>
          </w:p>
        </w:tc>
        <w:tc>
          <w:tcPr>
            <w:tcW w:w="0" w:type="auto"/>
            <w:tcBorders>
              <w:top w:val="nil"/>
              <w:left w:val="nil"/>
              <w:bottom w:val="nil"/>
              <w:right w:val="nil"/>
            </w:tcBorders>
            <w:vAlign w:val="center"/>
            <w:hideMark/>
          </w:tcPr>
          <w:p w14:paraId="45187DC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74,235</w:t>
            </w:r>
          </w:p>
        </w:tc>
        <w:tc>
          <w:tcPr>
            <w:tcW w:w="0" w:type="auto"/>
            <w:tcBorders>
              <w:top w:val="nil"/>
              <w:left w:val="nil"/>
              <w:bottom w:val="nil"/>
              <w:right w:val="nil"/>
            </w:tcBorders>
            <w:vAlign w:val="center"/>
            <w:hideMark/>
          </w:tcPr>
          <w:p w14:paraId="579D270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69,721</w:t>
            </w:r>
          </w:p>
        </w:tc>
        <w:tc>
          <w:tcPr>
            <w:tcW w:w="0" w:type="auto"/>
            <w:tcBorders>
              <w:top w:val="nil"/>
              <w:left w:val="nil"/>
              <w:bottom w:val="nil"/>
              <w:right w:val="nil"/>
            </w:tcBorders>
            <w:vAlign w:val="center"/>
            <w:hideMark/>
          </w:tcPr>
          <w:p w14:paraId="42EE660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64,310</w:t>
            </w:r>
          </w:p>
        </w:tc>
        <w:tc>
          <w:tcPr>
            <w:tcW w:w="0" w:type="auto"/>
            <w:tcBorders>
              <w:top w:val="nil"/>
              <w:left w:val="nil"/>
              <w:bottom w:val="nil"/>
              <w:right w:val="nil"/>
            </w:tcBorders>
            <w:vAlign w:val="center"/>
            <w:hideMark/>
          </w:tcPr>
          <w:p w14:paraId="4ECCB60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57,854</w:t>
            </w:r>
          </w:p>
        </w:tc>
        <w:tc>
          <w:tcPr>
            <w:tcW w:w="0" w:type="auto"/>
            <w:tcBorders>
              <w:top w:val="nil"/>
              <w:left w:val="nil"/>
              <w:bottom w:val="nil"/>
              <w:right w:val="nil"/>
            </w:tcBorders>
            <w:vAlign w:val="center"/>
            <w:hideMark/>
          </w:tcPr>
          <w:p w14:paraId="1E7090E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50,412</w:t>
            </w:r>
          </w:p>
        </w:tc>
        <w:tc>
          <w:tcPr>
            <w:tcW w:w="0" w:type="auto"/>
            <w:tcBorders>
              <w:top w:val="nil"/>
              <w:left w:val="nil"/>
              <w:bottom w:val="nil"/>
              <w:right w:val="nil"/>
            </w:tcBorders>
            <w:vAlign w:val="center"/>
            <w:hideMark/>
          </w:tcPr>
          <w:p w14:paraId="5F72A2C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41,965</w:t>
            </w:r>
          </w:p>
        </w:tc>
        <w:tc>
          <w:tcPr>
            <w:tcW w:w="0" w:type="auto"/>
            <w:tcBorders>
              <w:top w:val="nil"/>
              <w:left w:val="nil"/>
              <w:bottom w:val="nil"/>
              <w:right w:val="nil"/>
            </w:tcBorders>
            <w:vAlign w:val="center"/>
            <w:hideMark/>
          </w:tcPr>
          <w:p w14:paraId="4BDBE8D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34,876</w:t>
            </w:r>
          </w:p>
        </w:tc>
      </w:tr>
      <w:tr w:rsidR="00347DFC" w:rsidRPr="0040073F" w14:paraId="416C8AEE" w14:textId="77777777" w:rsidTr="00347DFC">
        <w:trPr>
          <w:trHeight w:val="260"/>
        </w:trPr>
        <w:tc>
          <w:tcPr>
            <w:tcW w:w="0" w:type="auto"/>
            <w:tcBorders>
              <w:top w:val="nil"/>
              <w:left w:val="nil"/>
              <w:bottom w:val="nil"/>
              <w:right w:val="nil"/>
            </w:tcBorders>
            <w:noWrap/>
            <w:hideMark/>
          </w:tcPr>
          <w:p w14:paraId="04D4B99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Lease liabilities</w:t>
            </w:r>
          </w:p>
        </w:tc>
        <w:tc>
          <w:tcPr>
            <w:tcW w:w="0" w:type="auto"/>
            <w:tcBorders>
              <w:top w:val="nil"/>
              <w:left w:val="nil"/>
              <w:bottom w:val="nil"/>
              <w:right w:val="nil"/>
            </w:tcBorders>
            <w:vAlign w:val="center"/>
            <w:hideMark/>
          </w:tcPr>
          <w:p w14:paraId="6FE0054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1,805</w:t>
            </w:r>
          </w:p>
        </w:tc>
        <w:tc>
          <w:tcPr>
            <w:tcW w:w="0" w:type="auto"/>
            <w:tcBorders>
              <w:top w:val="nil"/>
              <w:left w:val="nil"/>
              <w:bottom w:val="nil"/>
              <w:right w:val="nil"/>
            </w:tcBorders>
            <w:vAlign w:val="center"/>
            <w:hideMark/>
          </w:tcPr>
          <w:p w14:paraId="0038776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1,170</w:t>
            </w:r>
          </w:p>
        </w:tc>
        <w:tc>
          <w:tcPr>
            <w:tcW w:w="0" w:type="auto"/>
            <w:tcBorders>
              <w:top w:val="nil"/>
              <w:left w:val="nil"/>
              <w:bottom w:val="nil"/>
              <w:right w:val="nil"/>
            </w:tcBorders>
            <w:vAlign w:val="center"/>
            <w:hideMark/>
          </w:tcPr>
          <w:p w14:paraId="114A4E4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600</w:t>
            </w:r>
          </w:p>
        </w:tc>
        <w:tc>
          <w:tcPr>
            <w:tcW w:w="0" w:type="auto"/>
            <w:tcBorders>
              <w:top w:val="nil"/>
              <w:left w:val="nil"/>
              <w:bottom w:val="nil"/>
              <w:right w:val="nil"/>
            </w:tcBorders>
            <w:vAlign w:val="center"/>
            <w:hideMark/>
          </w:tcPr>
          <w:p w14:paraId="6AA94CF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7BFB564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742A32C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11EA79F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6B56072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5E5DE1EC"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52B10AC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c>
          <w:tcPr>
            <w:tcW w:w="0" w:type="auto"/>
            <w:tcBorders>
              <w:top w:val="nil"/>
              <w:left w:val="nil"/>
              <w:bottom w:val="nil"/>
              <w:right w:val="nil"/>
            </w:tcBorders>
            <w:vAlign w:val="center"/>
            <w:hideMark/>
          </w:tcPr>
          <w:p w14:paraId="6CF656C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w:t>
            </w:r>
          </w:p>
        </w:tc>
      </w:tr>
      <w:tr w:rsidR="00347DFC" w:rsidRPr="0040073F" w14:paraId="53452B5E" w14:textId="77777777" w:rsidTr="00347DFC">
        <w:trPr>
          <w:trHeight w:val="260"/>
        </w:trPr>
        <w:tc>
          <w:tcPr>
            <w:tcW w:w="0" w:type="auto"/>
            <w:tcBorders>
              <w:top w:val="nil"/>
              <w:left w:val="nil"/>
              <w:bottom w:val="nil"/>
              <w:right w:val="nil"/>
            </w:tcBorders>
            <w:hideMark/>
          </w:tcPr>
          <w:p w14:paraId="7C1A9690"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Total non-current liabilities</w:t>
            </w:r>
          </w:p>
        </w:tc>
        <w:tc>
          <w:tcPr>
            <w:tcW w:w="0" w:type="auto"/>
            <w:tcBorders>
              <w:top w:val="nil"/>
              <w:left w:val="nil"/>
              <w:bottom w:val="single" w:sz="4" w:space="0" w:color="auto"/>
              <w:right w:val="nil"/>
            </w:tcBorders>
            <w:vAlign w:val="center"/>
            <w:hideMark/>
          </w:tcPr>
          <w:p w14:paraId="230F04C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25,100</w:t>
            </w:r>
          </w:p>
        </w:tc>
        <w:tc>
          <w:tcPr>
            <w:tcW w:w="0" w:type="auto"/>
            <w:tcBorders>
              <w:top w:val="nil"/>
              <w:left w:val="nil"/>
              <w:bottom w:val="single" w:sz="4" w:space="0" w:color="auto"/>
              <w:right w:val="nil"/>
            </w:tcBorders>
            <w:vAlign w:val="center"/>
            <w:hideMark/>
          </w:tcPr>
          <w:p w14:paraId="12381B4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38,753</w:t>
            </w:r>
          </w:p>
        </w:tc>
        <w:tc>
          <w:tcPr>
            <w:tcW w:w="0" w:type="auto"/>
            <w:tcBorders>
              <w:top w:val="nil"/>
              <w:left w:val="nil"/>
              <w:bottom w:val="single" w:sz="4" w:space="0" w:color="auto"/>
              <w:right w:val="nil"/>
            </w:tcBorders>
            <w:vAlign w:val="center"/>
            <w:hideMark/>
          </w:tcPr>
          <w:p w14:paraId="0D7BD88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55,000</w:t>
            </w:r>
          </w:p>
        </w:tc>
        <w:tc>
          <w:tcPr>
            <w:tcW w:w="0" w:type="auto"/>
            <w:tcBorders>
              <w:top w:val="nil"/>
              <w:left w:val="nil"/>
              <w:bottom w:val="single" w:sz="4" w:space="0" w:color="auto"/>
              <w:right w:val="nil"/>
            </w:tcBorders>
            <w:vAlign w:val="center"/>
            <w:hideMark/>
          </w:tcPr>
          <w:p w14:paraId="632E631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68,327</w:t>
            </w:r>
          </w:p>
        </w:tc>
        <w:tc>
          <w:tcPr>
            <w:tcW w:w="0" w:type="auto"/>
            <w:tcBorders>
              <w:top w:val="nil"/>
              <w:left w:val="nil"/>
              <w:bottom w:val="single" w:sz="4" w:space="0" w:color="auto"/>
              <w:right w:val="nil"/>
            </w:tcBorders>
            <w:vAlign w:val="center"/>
            <w:hideMark/>
          </w:tcPr>
          <w:p w14:paraId="059B93F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82,132</w:t>
            </w:r>
          </w:p>
        </w:tc>
        <w:tc>
          <w:tcPr>
            <w:tcW w:w="0" w:type="auto"/>
            <w:tcBorders>
              <w:top w:val="nil"/>
              <w:left w:val="nil"/>
              <w:bottom w:val="single" w:sz="4" w:space="0" w:color="auto"/>
              <w:right w:val="nil"/>
            </w:tcBorders>
            <w:vAlign w:val="center"/>
            <w:hideMark/>
          </w:tcPr>
          <w:p w14:paraId="3C87355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77,792</w:t>
            </w:r>
          </w:p>
        </w:tc>
        <w:tc>
          <w:tcPr>
            <w:tcW w:w="0" w:type="auto"/>
            <w:tcBorders>
              <w:top w:val="nil"/>
              <w:left w:val="nil"/>
              <w:bottom w:val="single" w:sz="4" w:space="0" w:color="auto"/>
              <w:right w:val="nil"/>
            </w:tcBorders>
            <w:vAlign w:val="center"/>
            <w:hideMark/>
          </w:tcPr>
          <w:p w14:paraId="2A15BAD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72,555</w:t>
            </w:r>
          </w:p>
        </w:tc>
        <w:tc>
          <w:tcPr>
            <w:tcW w:w="0" w:type="auto"/>
            <w:tcBorders>
              <w:top w:val="nil"/>
              <w:left w:val="nil"/>
              <w:bottom w:val="single" w:sz="4" w:space="0" w:color="auto"/>
              <w:right w:val="nil"/>
            </w:tcBorders>
            <w:vAlign w:val="center"/>
            <w:hideMark/>
          </w:tcPr>
          <w:p w14:paraId="1EAED14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66,273</w:t>
            </w:r>
          </w:p>
        </w:tc>
        <w:tc>
          <w:tcPr>
            <w:tcW w:w="0" w:type="auto"/>
            <w:tcBorders>
              <w:top w:val="nil"/>
              <w:left w:val="nil"/>
              <w:bottom w:val="single" w:sz="4" w:space="0" w:color="auto"/>
              <w:right w:val="nil"/>
            </w:tcBorders>
            <w:vAlign w:val="center"/>
            <w:hideMark/>
          </w:tcPr>
          <w:p w14:paraId="33A08470"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59,004</w:t>
            </w:r>
          </w:p>
        </w:tc>
        <w:tc>
          <w:tcPr>
            <w:tcW w:w="0" w:type="auto"/>
            <w:tcBorders>
              <w:top w:val="nil"/>
              <w:left w:val="nil"/>
              <w:bottom w:val="single" w:sz="4" w:space="0" w:color="auto"/>
              <w:right w:val="nil"/>
            </w:tcBorders>
            <w:vAlign w:val="center"/>
            <w:hideMark/>
          </w:tcPr>
          <w:p w14:paraId="3005942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50,731</w:t>
            </w:r>
          </w:p>
        </w:tc>
        <w:tc>
          <w:tcPr>
            <w:tcW w:w="0" w:type="auto"/>
            <w:tcBorders>
              <w:top w:val="nil"/>
              <w:left w:val="nil"/>
              <w:bottom w:val="single" w:sz="4" w:space="0" w:color="auto"/>
              <w:right w:val="nil"/>
            </w:tcBorders>
            <w:vAlign w:val="center"/>
            <w:hideMark/>
          </w:tcPr>
          <w:p w14:paraId="61108ED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43,816</w:t>
            </w:r>
          </w:p>
        </w:tc>
      </w:tr>
      <w:tr w:rsidR="00347DFC" w:rsidRPr="0040073F" w14:paraId="048066E9" w14:textId="77777777" w:rsidTr="00347DFC">
        <w:trPr>
          <w:trHeight w:val="260"/>
        </w:trPr>
        <w:tc>
          <w:tcPr>
            <w:tcW w:w="0" w:type="auto"/>
            <w:tcBorders>
              <w:top w:val="nil"/>
              <w:left w:val="nil"/>
              <w:bottom w:val="nil"/>
              <w:right w:val="nil"/>
            </w:tcBorders>
            <w:hideMark/>
          </w:tcPr>
          <w:p w14:paraId="1F9D9DC0"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Total liabilities</w:t>
            </w:r>
          </w:p>
        </w:tc>
        <w:tc>
          <w:tcPr>
            <w:tcW w:w="0" w:type="auto"/>
            <w:tcBorders>
              <w:top w:val="nil"/>
              <w:left w:val="nil"/>
              <w:bottom w:val="single" w:sz="4" w:space="0" w:color="auto"/>
              <w:right w:val="nil"/>
            </w:tcBorders>
            <w:vAlign w:val="center"/>
            <w:hideMark/>
          </w:tcPr>
          <w:p w14:paraId="7CB9981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87,973</w:t>
            </w:r>
          </w:p>
        </w:tc>
        <w:tc>
          <w:tcPr>
            <w:tcW w:w="0" w:type="auto"/>
            <w:tcBorders>
              <w:top w:val="nil"/>
              <w:left w:val="nil"/>
              <w:bottom w:val="single" w:sz="4" w:space="0" w:color="auto"/>
              <w:right w:val="nil"/>
            </w:tcBorders>
            <w:vAlign w:val="center"/>
            <w:hideMark/>
          </w:tcPr>
          <w:p w14:paraId="770D16F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93,879</w:t>
            </w:r>
          </w:p>
        </w:tc>
        <w:tc>
          <w:tcPr>
            <w:tcW w:w="0" w:type="auto"/>
            <w:tcBorders>
              <w:top w:val="nil"/>
              <w:left w:val="nil"/>
              <w:bottom w:val="single" w:sz="4" w:space="0" w:color="auto"/>
              <w:right w:val="nil"/>
            </w:tcBorders>
            <w:vAlign w:val="center"/>
            <w:hideMark/>
          </w:tcPr>
          <w:p w14:paraId="4C3766A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106,913</w:t>
            </w:r>
          </w:p>
        </w:tc>
        <w:tc>
          <w:tcPr>
            <w:tcW w:w="0" w:type="auto"/>
            <w:tcBorders>
              <w:top w:val="nil"/>
              <w:left w:val="nil"/>
              <w:bottom w:val="single" w:sz="4" w:space="0" w:color="auto"/>
              <w:right w:val="nil"/>
            </w:tcBorders>
            <w:vAlign w:val="center"/>
            <w:hideMark/>
          </w:tcPr>
          <w:p w14:paraId="046951C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116,621</w:t>
            </w:r>
          </w:p>
        </w:tc>
        <w:tc>
          <w:tcPr>
            <w:tcW w:w="0" w:type="auto"/>
            <w:tcBorders>
              <w:top w:val="nil"/>
              <w:left w:val="nil"/>
              <w:bottom w:val="single" w:sz="4" w:space="0" w:color="auto"/>
              <w:right w:val="nil"/>
            </w:tcBorders>
            <w:vAlign w:val="center"/>
            <w:hideMark/>
          </w:tcPr>
          <w:p w14:paraId="5772517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133,419</w:t>
            </w:r>
          </w:p>
        </w:tc>
        <w:tc>
          <w:tcPr>
            <w:tcW w:w="0" w:type="auto"/>
            <w:tcBorders>
              <w:top w:val="nil"/>
              <w:left w:val="nil"/>
              <w:bottom w:val="single" w:sz="4" w:space="0" w:color="auto"/>
              <w:right w:val="nil"/>
            </w:tcBorders>
            <w:vAlign w:val="center"/>
            <w:hideMark/>
          </w:tcPr>
          <w:p w14:paraId="57AB77A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131,124</w:t>
            </w:r>
          </w:p>
        </w:tc>
        <w:tc>
          <w:tcPr>
            <w:tcW w:w="0" w:type="auto"/>
            <w:tcBorders>
              <w:top w:val="nil"/>
              <w:left w:val="nil"/>
              <w:bottom w:val="single" w:sz="4" w:space="0" w:color="auto"/>
              <w:right w:val="nil"/>
            </w:tcBorders>
            <w:vAlign w:val="center"/>
            <w:hideMark/>
          </w:tcPr>
          <w:p w14:paraId="681B0BF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128,043</w:t>
            </w:r>
          </w:p>
        </w:tc>
        <w:tc>
          <w:tcPr>
            <w:tcW w:w="0" w:type="auto"/>
            <w:tcBorders>
              <w:top w:val="nil"/>
              <w:left w:val="nil"/>
              <w:bottom w:val="single" w:sz="4" w:space="0" w:color="auto"/>
              <w:right w:val="nil"/>
            </w:tcBorders>
            <w:vAlign w:val="center"/>
            <w:hideMark/>
          </w:tcPr>
          <w:p w14:paraId="70A65CE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124,138</w:t>
            </w:r>
          </w:p>
        </w:tc>
        <w:tc>
          <w:tcPr>
            <w:tcW w:w="0" w:type="auto"/>
            <w:tcBorders>
              <w:top w:val="nil"/>
              <w:left w:val="nil"/>
              <w:bottom w:val="single" w:sz="4" w:space="0" w:color="auto"/>
              <w:right w:val="nil"/>
            </w:tcBorders>
            <w:vAlign w:val="center"/>
            <w:hideMark/>
          </w:tcPr>
          <w:p w14:paraId="39467B1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119,047</w:t>
            </w:r>
          </w:p>
        </w:tc>
        <w:tc>
          <w:tcPr>
            <w:tcW w:w="0" w:type="auto"/>
            <w:tcBorders>
              <w:top w:val="nil"/>
              <w:left w:val="nil"/>
              <w:bottom w:val="single" w:sz="4" w:space="0" w:color="auto"/>
              <w:right w:val="nil"/>
            </w:tcBorders>
            <w:vAlign w:val="center"/>
            <w:hideMark/>
          </w:tcPr>
          <w:p w14:paraId="5FECAFF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120,440</w:t>
            </w:r>
          </w:p>
        </w:tc>
        <w:tc>
          <w:tcPr>
            <w:tcW w:w="0" w:type="auto"/>
            <w:tcBorders>
              <w:top w:val="nil"/>
              <w:left w:val="nil"/>
              <w:bottom w:val="single" w:sz="4" w:space="0" w:color="auto"/>
              <w:right w:val="nil"/>
            </w:tcBorders>
            <w:vAlign w:val="center"/>
            <w:hideMark/>
          </w:tcPr>
          <w:p w14:paraId="162780AF"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113,971</w:t>
            </w:r>
          </w:p>
        </w:tc>
      </w:tr>
      <w:tr w:rsidR="00347DFC" w:rsidRPr="0040073F" w14:paraId="68C963BF" w14:textId="77777777" w:rsidTr="00347DFC">
        <w:trPr>
          <w:trHeight w:val="270"/>
        </w:trPr>
        <w:tc>
          <w:tcPr>
            <w:tcW w:w="0" w:type="auto"/>
            <w:tcBorders>
              <w:top w:val="nil"/>
              <w:left w:val="nil"/>
              <w:bottom w:val="nil"/>
              <w:right w:val="nil"/>
            </w:tcBorders>
            <w:hideMark/>
          </w:tcPr>
          <w:p w14:paraId="4CF8A800"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Net assets</w:t>
            </w:r>
          </w:p>
        </w:tc>
        <w:tc>
          <w:tcPr>
            <w:tcW w:w="0" w:type="auto"/>
            <w:tcBorders>
              <w:top w:val="nil"/>
              <w:left w:val="nil"/>
              <w:bottom w:val="double" w:sz="6" w:space="0" w:color="auto"/>
              <w:right w:val="nil"/>
            </w:tcBorders>
            <w:vAlign w:val="center"/>
            <w:hideMark/>
          </w:tcPr>
          <w:p w14:paraId="7A51DA0B"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3,456,788</w:t>
            </w:r>
          </w:p>
        </w:tc>
        <w:tc>
          <w:tcPr>
            <w:tcW w:w="0" w:type="auto"/>
            <w:tcBorders>
              <w:top w:val="nil"/>
              <w:left w:val="nil"/>
              <w:bottom w:val="double" w:sz="6" w:space="0" w:color="auto"/>
              <w:right w:val="nil"/>
            </w:tcBorders>
            <w:vAlign w:val="center"/>
            <w:hideMark/>
          </w:tcPr>
          <w:p w14:paraId="3126D43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3,565,565</w:t>
            </w:r>
          </w:p>
        </w:tc>
        <w:tc>
          <w:tcPr>
            <w:tcW w:w="0" w:type="auto"/>
            <w:tcBorders>
              <w:top w:val="nil"/>
              <w:left w:val="nil"/>
              <w:bottom w:val="double" w:sz="6" w:space="0" w:color="auto"/>
              <w:right w:val="nil"/>
            </w:tcBorders>
            <w:vAlign w:val="center"/>
            <w:hideMark/>
          </w:tcPr>
          <w:p w14:paraId="39A8953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3,638,925</w:t>
            </w:r>
          </w:p>
        </w:tc>
        <w:tc>
          <w:tcPr>
            <w:tcW w:w="0" w:type="auto"/>
            <w:tcBorders>
              <w:top w:val="nil"/>
              <w:left w:val="nil"/>
              <w:bottom w:val="double" w:sz="6" w:space="0" w:color="auto"/>
              <w:right w:val="nil"/>
            </w:tcBorders>
            <w:vAlign w:val="center"/>
            <w:hideMark/>
          </w:tcPr>
          <w:p w14:paraId="1370C77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3,716,934</w:t>
            </w:r>
          </w:p>
        </w:tc>
        <w:tc>
          <w:tcPr>
            <w:tcW w:w="0" w:type="auto"/>
            <w:tcBorders>
              <w:top w:val="nil"/>
              <w:left w:val="nil"/>
              <w:bottom w:val="double" w:sz="6" w:space="0" w:color="auto"/>
              <w:right w:val="nil"/>
            </w:tcBorders>
            <w:vAlign w:val="center"/>
            <w:hideMark/>
          </w:tcPr>
          <w:p w14:paraId="68A085A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3,783,556</w:t>
            </w:r>
          </w:p>
        </w:tc>
        <w:tc>
          <w:tcPr>
            <w:tcW w:w="0" w:type="auto"/>
            <w:tcBorders>
              <w:top w:val="nil"/>
              <w:left w:val="nil"/>
              <w:bottom w:val="double" w:sz="6" w:space="0" w:color="auto"/>
              <w:right w:val="nil"/>
            </w:tcBorders>
            <w:vAlign w:val="center"/>
            <w:hideMark/>
          </w:tcPr>
          <w:p w14:paraId="71335F2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3,855,583</w:t>
            </w:r>
          </w:p>
        </w:tc>
        <w:tc>
          <w:tcPr>
            <w:tcW w:w="0" w:type="auto"/>
            <w:tcBorders>
              <w:top w:val="nil"/>
              <w:left w:val="nil"/>
              <w:bottom w:val="double" w:sz="6" w:space="0" w:color="auto"/>
              <w:right w:val="nil"/>
            </w:tcBorders>
            <w:vAlign w:val="center"/>
            <w:hideMark/>
          </w:tcPr>
          <w:p w14:paraId="5AD764E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3,913,171</w:t>
            </w:r>
          </w:p>
        </w:tc>
        <w:tc>
          <w:tcPr>
            <w:tcW w:w="0" w:type="auto"/>
            <w:tcBorders>
              <w:top w:val="nil"/>
              <w:left w:val="nil"/>
              <w:bottom w:val="double" w:sz="6" w:space="0" w:color="auto"/>
              <w:right w:val="nil"/>
            </w:tcBorders>
            <w:vAlign w:val="center"/>
            <w:hideMark/>
          </w:tcPr>
          <w:p w14:paraId="144752E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3,972,385</w:t>
            </w:r>
          </w:p>
        </w:tc>
        <w:tc>
          <w:tcPr>
            <w:tcW w:w="0" w:type="auto"/>
            <w:tcBorders>
              <w:top w:val="nil"/>
              <w:left w:val="nil"/>
              <w:bottom w:val="double" w:sz="6" w:space="0" w:color="auto"/>
              <w:right w:val="nil"/>
            </w:tcBorders>
            <w:vAlign w:val="center"/>
            <w:hideMark/>
          </w:tcPr>
          <w:p w14:paraId="0F4539D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4,034,025</w:t>
            </w:r>
          </w:p>
        </w:tc>
        <w:tc>
          <w:tcPr>
            <w:tcW w:w="0" w:type="auto"/>
            <w:tcBorders>
              <w:top w:val="nil"/>
              <w:left w:val="nil"/>
              <w:bottom w:val="double" w:sz="6" w:space="0" w:color="auto"/>
              <w:right w:val="nil"/>
            </w:tcBorders>
            <w:vAlign w:val="center"/>
            <w:hideMark/>
          </w:tcPr>
          <w:p w14:paraId="6DC8F4F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4,100,617</w:t>
            </w:r>
          </w:p>
        </w:tc>
        <w:tc>
          <w:tcPr>
            <w:tcW w:w="0" w:type="auto"/>
            <w:tcBorders>
              <w:top w:val="nil"/>
              <w:left w:val="nil"/>
              <w:bottom w:val="double" w:sz="6" w:space="0" w:color="auto"/>
              <w:right w:val="nil"/>
            </w:tcBorders>
            <w:vAlign w:val="center"/>
            <w:hideMark/>
          </w:tcPr>
          <w:p w14:paraId="5169F42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4,167,257</w:t>
            </w:r>
          </w:p>
        </w:tc>
      </w:tr>
      <w:tr w:rsidR="00347DFC" w:rsidRPr="0040073F" w14:paraId="49D25131" w14:textId="77777777" w:rsidTr="00347DFC">
        <w:trPr>
          <w:trHeight w:val="270"/>
        </w:trPr>
        <w:tc>
          <w:tcPr>
            <w:tcW w:w="0" w:type="auto"/>
            <w:tcBorders>
              <w:top w:val="nil"/>
              <w:left w:val="nil"/>
              <w:bottom w:val="nil"/>
              <w:right w:val="nil"/>
            </w:tcBorders>
            <w:hideMark/>
          </w:tcPr>
          <w:p w14:paraId="11048AD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64EA4D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2165399"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D91F4B6"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365EC0C"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81D3AA3"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45F547C"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838E7A5"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A1B9389"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EF7CC81"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136D539F"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42DBDAC"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47DFC" w:rsidRPr="0040073F" w14:paraId="6B5F05DD" w14:textId="77777777" w:rsidTr="00347DFC">
        <w:trPr>
          <w:trHeight w:val="260"/>
        </w:trPr>
        <w:tc>
          <w:tcPr>
            <w:tcW w:w="0" w:type="auto"/>
            <w:tcBorders>
              <w:top w:val="nil"/>
              <w:left w:val="nil"/>
              <w:bottom w:val="nil"/>
              <w:right w:val="nil"/>
            </w:tcBorders>
            <w:hideMark/>
          </w:tcPr>
          <w:p w14:paraId="2481993F"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Equity</w:t>
            </w:r>
          </w:p>
        </w:tc>
        <w:tc>
          <w:tcPr>
            <w:tcW w:w="0" w:type="auto"/>
            <w:tcBorders>
              <w:top w:val="nil"/>
              <w:left w:val="nil"/>
              <w:bottom w:val="nil"/>
              <w:right w:val="nil"/>
            </w:tcBorders>
            <w:vAlign w:val="center"/>
            <w:hideMark/>
          </w:tcPr>
          <w:p w14:paraId="1AE0D490"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E476783"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45AE63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3E3E3C05"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74917191"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0ABEBB25"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21E2A78"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6A5027F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201B126B"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499E4FDD"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c>
          <w:tcPr>
            <w:tcW w:w="0" w:type="auto"/>
            <w:tcBorders>
              <w:top w:val="nil"/>
              <w:left w:val="nil"/>
              <w:bottom w:val="nil"/>
              <w:right w:val="nil"/>
            </w:tcBorders>
            <w:vAlign w:val="center"/>
            <w:hideMark/>
          </w:tcPr>
          <w:p w14:paraId="596AA594"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 </w:t>
            </w:r>
          </w:p>
        </w:tc>
      </w:tr>
      <w:tr w:rsidR="00347DFC" w:rsidRPr="0040073F" w14:paraId="116591A2" w14:textId="77777777" w:rsidTr="00347DFC">
        <w:trPr>
          <w:trHeight w:val="260"/>
        </w:trPr>
        <w:tc>
          <w:tcPr>
            <w:tcW w:w="0" w:type="auto"/>
            <w:tcBorders>
              <w:top w:val="nil"/>
              <w:left w:val="nil"/>
              <w:bottom w:val="nil"/>
              <w:right w:val="nil"/>
            </w:tcBorders>
            <w:hideMark/>
          </w:tcPr>
          <w:p w14:paraId="3770ED17"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Accumulated surplus</w:t>
            </w:r>
          </w:p>
        </w:tc>
        <w:tc>
          <w:tcPr>
            <w:tcW w:w="0" w:type="auto"/>
            <w:tcBorders>
              <w:top w:val="nil"/>
              <w:left w:val="nil"/>
              <w:bottom w:val="nil"/>
              <w:right w:val="nil"/>
            </w:tcBorders>
            <w:vAlign w:val="center"/>
            <w:hideMark/>
          </w:tcPr>
          <w:p w14:paraId="0244644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1,496,789</w:t>
            </w:r>
          </w:p>
        </w:tc>
        <w:tc>
          <w:tcPr>
            <w:tcW w:w="0" w:type="auto"/>
            <w:tcBorders>
              <w:top w:val="nil"/>
              <w:left w:val="nil"/>
              <w:bottom w:val="nil"/>
              <w:right w:val="nil"/>
            </w:tcBorders>
            <w:vAlign w:val="center"/>
            <w:hideMark/>
          </w:tcPr>
          <w:p w14:paraId="14C8826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1,567,142</w:t>
            </w:r>
          </w:p>
        </w:tc>
        <w:tc>
          <w:tcPr>
            <w:tcW w:w="0" w:type="auto"/>
            <w:tcBorders>
              <w:top w:val="nil"/>
              <w:left w:val="nil"/>
              <w:bottom w:val="nil"/>
              <w:right w:val="nil"/>
            </w:tcBorders>
            <w:vAlign w:val="center"/>
            <w:hideMark/>
          </w:tcPr>
          <w:p w14:paraId="6B3EF47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1,632,204</w:t>
            </w:r>
          </w:p>
        </w:tc>
        <w:tc>
          <w:tcPr>
            <w:tcW w:w="0" w:type="auto"/>
            <w:tcBorders>
              <w:top w:val="nil"/>
              <w:left w:val="nil"/>
              <w:bottom w:val="nil"/>
              <w:right w:val="nil"/>
            </w:tcBorders>
            <w:vAlign w:val="center"/>
            <w:hideMark/>
          </w:tcPr>
          <w:p w14:paraId="69349A2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1,702,227</w:t>
            </w:r>
          </w:p>
        </w:tc>
        <w:tc>
          <w:tcPr>
            <w:tcW w:w="0" w:type="auto"/>
            <w:tcBorders>
              <w:top w:val="nil"/>
              <w:left w:val="nil"/>
              <w:bottom w:val="nil"/>
              <w:right w:val="nil"/>
            </w:tcBorders>
            <w:vAlign w:val="center"/>
            <w:hideMark/>
          </w:tcPr>
          <w:p w14:paraId="220A6A77"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1,778,549</w:t>
            </w:r>
          </w:p>
        </w:tc>
        <w:tc>
          <w:tcPr>
            <w:tcW w:w="0" w:type="auto"/>
            <w:tcBorders>
              <w:top w:val="nil"/>
              <w:left w:val="nil"/>
              <w:bottom w:val="nil"/>
              <w:right w:val="nil"/>
            </w:tcBorders>
            <w:vAlign w:val="center"/>
            <w:hideMark/>
          </w:tcPr>
          <w:p w14:paraId="04A315B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1,853,385</w:t>
            </w:r>
          </w:p>
        </w:tc>
        <w:tc>
          <w:tcPr>
            <w:tcW w:w="0" w:type="auto"/>
            <w:tcBorders>
              <w:top w:val="nil"/>
              <w:left w:val="nil"/>
              <w:bottom w:val="nil"/>
              <w:right w:val="nil"/>
            </w:tcBorders>
            <w:vAlign w:val="center"/>
            <w:hideMark/>
          </w:tcPr>
          <w:p w14:paraId="7F85206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1,927,192</w:t>
            </w:r>
          </w:p>
        </w:tc>
        <w:tc>
          <w:tcPr>
            <w:tcW w:w="0" w:type="auto"/>
            <w:tcBorders>
              <w:top w:val="nil"/>
              <w:left w:val="nil"/>
              <w:bottom w:val="nil"/>
              <w:right w:val="nil"/>
            </w:tcBorders>
            <w:vAlign w:val="center"/>
            <w:hideMark/>
          </w:tcPr>
          <w:p w14:paraId="313963E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1,998,973</w:t>
            </w:r>
          </w:p>
        </w:tc>
        <w:tc>
          <w:tcPr>
            <w:tcW w:w="0" w:type="auto"/>
            <w:tcBorders>
              <w:top w:val="nil"/>
              <w:left w:val="nil"/>
              <w:bottom w:val="nil"/>
              <w:right w:val="nil"/>
            </w:tcBorders>
            <w:vAlign w:val="center"/>
            <w:hideMark/>
          </w:tcPr>
          <w:p w14:paraId="01BAE6F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2,069,460</w:t>
            </w:r>
          </w:p>
        </w:tc>
        <w:tc>
          <w:tcPr>
            <w:tcW w:w="0" w:type="auto"/>
            <w:tcBorders>
              <w:top w:val="nil"/>
              <w:left w:val="nil"/>
              <w:bottom w:val="nil"/>
              <w:right w:val="nil"/>
            </w:tcBorders>
            <w:vAlign w:val="center"/>
            <w:hideMark/>
          </w:tcPr>
          <w:p w14:paraId="7A3A8AB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2,140,099</w:t>
            </w:r>
          </w:p>
        </w:tc>
        <w:tc>
          <w:tcPr>
            <w:tcW w:w="0" w:type="auto"/>
            <w:tcBorders>
              <w:top w:val="nil"/>
              <w:left w:val="nil"/>
              <w:bottom w:val="nil"/>
              <w:right w:val="nil"/>
            </w:tcBorders>
            <w:vAlign w:val="center"/>
            <w:hideMark/>
          </w:tcPr>
          <w:p w14:paraId="32E835D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2,210,225</w:t>
            </w:r>
          </w:p>
        </w:tc>
      </w:tr>
      <w:tr w:rsidR="00347DFC" w:rsidRPr="0040073F" w14:paraId="0EDDC8FB" w14:textId="77777777" w:rsidTr="00347DFC">
        <w:trPr>
          <w:trHeight w:val="260"/>
        </w:trPr>
        <w:tc>
          <w:tcPr>
            <w:tcW w:w="0" w:type="auto"/>
            <w:tcBorders>
              <w:top w:val="nil"/>
              <w:left w:val="nil"/>
              <w:bottom w:val="nil"/>
              <w:right w:val="nil"/>
            </w:tcBorders>
            <w:hideMark/>
          </w:tcPr>
          <w:p w14:paraId="0090AD40" w14:textId="77777777" w:rsidR="0040073F" w:rsidRPr="0040073F" w:rsidRDefault="0040073F" w:rsidP="0040073F">
            <w:pPr>
              <w:spacing w:before="0" w:after="0"/>
              <w:rPr>
                <w:rFonts w:ascii="Arial" w:hAnsi="Arial" w:cs="Arial"/>
                <w:sz w:val="16"/>
                <w:szCs w:val="16"/>
              </w:rPr>
            </w:pPr>
            <w:r w:rsidRPr="0040073F">
              <w:rPr>
                <w:rFonts w:ascii="Arial" w:hAnsi="Arial" w:cs="Arial"/>
                <w:sz w:val="16"/>
                <w:szCs w:val="16"/>
              </w:rPr>
              <w:t>Reserves</w:t>
            </w:r>
          </w:p>
        </w:tc>
        <w:tc>
          <w:tcPr>
            <w:tcW w:w="0" w:type="auto"/>
            <w:tcBorders>
              <w:top w:val="nil"/>
              <w:left w:val="nil"/>
              <w:bottom w:val="nil"/>
              <w:right w:val="nil"/>
            </w:tcBorders>
            <w:vAlign w:val="center"/>
            <w:hideMark/>
          </w:tcPr>
          <w:p w14:paraId="495328F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1,959,999</w:t>
            </w:r>
          </w:p>
        </w:tc>
        <w:tc>
          <w:tcPr>
            <w:tcW w:w="0" w:type="auto"/>
            <w:tcBorders>
              <w:top w:val="nil"/>
              <w:left w:val="nil"/>
              <w:bottom w:val="nil"/>
              <w:right w:val="nil"/>
            </w:tcBorders>
            <w:vAlign w:val="center"/>
            <w:hideMark/>
          </w:tcPr>
          <w:p w14:paraId="16579F32"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1,998,423</w:t>
            </w:r>
          </w:p>
        </w:tc>
        <w:tc>
          <w:tcPr>
            <w:tcW w:w="0" w:type="auto"/>
            <w:tcBorders>
              <w:top w:val="nil"/>
              <w:left w:val="nil"/>
              <w:bottom w:val="nil"/>
              <w:right w:val="nil"/>
            </w:tcBorders>
            <w:vAlign w:val="center"/>
            <w:hideMark/>
          </w:tcPr>
          <w:p w14:paraId="3A82EBB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2,006,721</w:t>
            </w:r>
          </w:p>
        </w:tc>
        <w:tc>
          <w:tcPr>
            <w:tcW w:w="0" w:type="auto"/>
            <w:tcBorders>
              <w:top w:val="nil"/>
              <w:left w:val="nil"/>
              <w:bottom w:val="nil"/>
              <w:right w:val="nil"/>
            </w:tcBorders>
            <w:vAlign w:val="center"/>
            <w:hideMark/>
          </w:tcPr>
          <w:p w14:paraId="4B99F8A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2,014,707</w:t>
            </w:r>
          </w:p>
        </w:tc>
        <w:tc>
          <w:tcPr>
            <w:tcW w:w="0" w:type="auto"/>
            <w:tcBorders>
              <w:top w:val="nil"/>
              <w:left w:val="nil"/>
              <w:bottom w:val="nil"/>
              <w:right w:val="nil"/>
            </w:tcBorders>
            <w:vAlign w:val="center"/>
            <w:hideMark/>
          </w:tcPr>
          <w:p w14:paraId="6CE47CA6"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2,005,007</w:t>
            </w:r>
          </w:p>
        </w:tc>
        <w:tc>
          <w:tcPr>
            <w:tcW w:w="0" w:type="auto"/>
            <w:tcBorders>
              <w:top w:val="nil"/>
              <w:left w:val="nil"/>
              <w:bottom w:val="nil"/>
              <w:right w:val="nil"/>
            </w:tcBorders>
            <w:vAlign w:val="center"/>
            <w:hideMark/>
          </w:tcPr>
          <w:p w14:paraId="148EDAA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2,002,198</w:t>
            </w:r>
          </w:p>
        </w:tc>
        <w:tc>
          <w:tcPr>
            <w:tcW w:w="0" w:type="auto"/>
            <w:tcBorders>
              <w:top w:val="nil"/>
              <w:left w:val="nil"/>
              <w:bottom w:val="nil"/>
              <w:right w:val="nil"/>
            </w:tcBorders>
            <w:vAlign w:val="center"/>
            <w:hideMark/>
          </w:tcPr>
          <w:p w14:paraId="4767E7C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1,985,979</w:t>
            </w:r>
          </w:p>
        </w:tc>
        <w:tc>
          <w:tcPr>
            <w:tcW w:w="0" w:type="auto"/>
            <w:tcBorders>
              <w:top w:val="nil"/>
              <w:left w:val="nil"/>
              <w:bottom w:val="nil"/>
              <w:right w:val="nil"/>
            </w:tcBorders>
            <w:vAlign w:val="center"/>
            <w:hideMark/>
          </w:tcPr>
          <w:p w14:paraId="7832A6D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1,973,412</w:t>
            </w:r>
          </w:p>
        </w:tc>
        <w:tc>
          <w:tcPr>
            <w:tcW w:w="0" w:type="auto"/>
            <w:tcBorders>
              <w:top w:val="nil"/>
              <w:left w:val="nil"/>
              <w:bottom w:val="nil"/>
              <w:right w:val="nil"/>
            </w:tcBorders>
            <w:vAlign w:val="center"/>
            <w:hideMark/>
          </w:tcPr>
          <w:p w14:paraId="4A3743C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1,964,565</w:t>
            </w:r>
          </w:p>
        </w:tc>
        <w:tc>
          <w:tcPr>
            <w:tcW w:w="0" w:type="auto"/>
            <w:tcBorders>
              <w:top w:val="nil"/>
              <w:left w:val="nil"/>
              <w:bottom w:val="nil"/>
              <w:right w:val="nil"/>
            </w:tcBorders>
            <w:vAlign w:val="center"/>
            <w:hideMark/>
          </w:tcPr>
          <w:p w14:paraId="452FC94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1,960,518</w:t>
            </w:r>
          </w:p>
        </w:tc>
        <w:tc>
          <w:tcPr>
            <w:tcW w:w="0" w:type="auto"/>
            <w:tcBorders>
              <w:top w:val="nil"/>
              <w:left w:val="nil"/>
              <w:bottom w:val="nil"/>
              <w:right w:val="nil"/>
            </w:tcBorders>
            <w:vAlign w:val="center"/>
            <w:hideMark/>
          </w:tcPr>
          <w:p w14:paraId="5549E4DD"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1,957,032</w:t>
            </w:r>
          </w:p>
        </w:tc>
      </w:tr>
      <w:tr w:rsidR="00347DFC" w:rsidRPr="0040073F" w14:paraId="68B61FC6" w14:textId="77777777" w:rsidTr="00347DFC">
        <w:trPr>
          <w:trHeight w:val="270"/>
        </w:trPr>
        <w:tc>
          <w:tcPr>
            <w:tcW w:w="0" w:type="auto"/>
            <w:tcBorders>
              <w:top w:val="nil"/>
              <w:left w:val="nil"/>
              <w:bottom w:val="nil"/>
              <w:right w:val="nil"/>
            </w:tcBorders>
            <w:hideMark/>
          </w:tcPr>
          <w:p w14:paraId="6D73FEBA" w14:textId="77777777" w:rsidR="0040073F" w:rsidRPr="0040073F" w:rsidRDefault="0040073F" w:rsidP="0040073F">
            <w:pPr>
              <w:spacing w:before="0" w:after="0"/>
              <w:rPr>
                <w:rFonts w:ascii="Arial" w:hAnsi="Arial" w:cs="Arial"/>
                <w:b/>
                <w:bCs/>
                <w:sz w:val="16"/>
                <w:szCs w:val="16"/>
              </w:rPr>
            </w:pPr>
            <w:r w:rsidRPr="0040073F">
              <w:rPr>
                <w:rFonts w:ascii="Arial" w:hAnsi="Arial" w:cs="Arial"/>
                <w:b/>
                <w:bCs/>
                <w:sz w:val="16"/>
                <w:szCs w:val="16"/>
              </w:rPr>
              <w:t>Total equity</w:t>
            </w:r>
          </w:p>
        </w:tc>
        <w:tc>
          <w:tcPr>
            <w:tcW w:w="0" w:type="auto"/>
            <w:tcBorders>
              <w:top w:val="single" w:sz="4" w:space="0" w:color="auto"/>
              <w:left w:val="nil"/>
              <w:bottom w:val="double" w:sz="6" w:space="0" w:color="auto"/>
              <w:right w:val="nil"/>
            </w:tcBorders>
            <w:vAlign w:val="center"/>
            <w:hideMark/>
          </w:tcPr>
          <w:p w14:paraId="16001298"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3,456,788</w:t>
            </w:r>
          </w:p>
        </w:tc>
        <w:tc>
          <w:tcPr>
            <w:tcW w:w="0" w:type="auto"/>
            <w:tcBorders>
              <w:top w:val="single" w:sz="4" w:space="0" w:color="auto"/>
              <w:left w:val="nil"/>
              <w:bottom w:val="double" w:sz="6" w:space="0" w:color="auto"/>
              <w:right w:val="nil"/>
            </w:tcBorders>
            <w:vAlign w:val="center"/>
            <w:hideMark/>
          </w:tcPr>
          <w:p w14:paraId="1BD60FC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3,565,565</w:t>
            </w:r>
          </w:p>
        </w:tc>
        <w:tc>
          <w:tcPr>
            <w:tcW w:w="0" w:type="auto"/>
            <w:tcBorders>
              <w:top w:val="single" w:sz="4" w:space="0" w:color="auto"/>
              <w:left w:val="nil"/>
              <w:bottom w:val="double" w:sz="6" w:space="0" w:color="auto"/>
              <w:right w:val="nil"/>
            </w:tcBorders>
            <w:vAlign w:val="center"/>
            <w:hideMark/>
          </w:tcPr>
          <w:p w14:paraId="7E285F31"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3,638,925</w:t>
            </w:r>
          </w:p>
        </w:tc>
        <w:tc>
          <w:tcPr>
            <w:tcW w:w="0" w:type="auto"/>
            <w:tcBorders>
              <w:top w:val="single" w:sz="4" w:space="0" w:color="auto"/>
              <w:left w:val="nil"/>
              <w:bottom w:val="double" w:sz="6" w:space="0" w:color="auto"/>
              <w:right w:val="nil"/>
            </w:tcBorders>
            <w:vAlign w:val="center"/>
            <w:hideMark/>
          </w:tcPr>
          <w:p w14:paraId="6DD8DE7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3,716,934</w:t>
            </w:r>
          </w:p>
        </w:tc>
        <w:tc>
          <w:tcPr>
            <w:tcW w:w="0" w:type="auto"/>
            <w:tcBorders>
              <w:top w:val="single" w:sz="4" w:space="0" w:color="auto"/>
              <w:left w:val="nil"/>
              <w:bottom w:val="double" w:sz="6" w:space="0" w:color="auto"/>
              <w:right w:val="nil"/>
            </w:tcBorders>
            <w:vAlign w:val="center"/>
            <w:hideMark/>
          </w:tcPr>
          <w:p w14:paraId="33DAC12A"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3,783,556</w:t>
            </w:r>
          </w:p>
        </w:tc>
        <w:tc>
          <w:tcPr>
            <w:tcW w:w="0" w:type="auto"/>
            <w:tcBorders>
              <w:top w:val="single" w:sz="4" w:space="0" w:color="auto"/>
              <w:left w:val="nil"/>
              <w:bottom w:val="double" w:sz="6" w:space="0" w:color="auto"/>
              <w:right w:val="nil"/>
            </w:tcBorders>
            <w:vAlign w:val="center"/>
            <w:hideMark/>
          </w:tcPr>
          <w:p w14:paraId="6A312493"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3,855,583</w:t>
            </w:r>
          </w:p>
        </w:tc>
        <w:tc>
          <w:tcPr>
            <w:tcW w:w="0" w:type="auto"/>
            <w:tcBorders>
              <w:top w:val="single" w:sz="4" w:space="0" w:color="auto"/>
              <w:left w:val="nil"/>
              <w:bottom w:val="double" w:sz="6" w:space="0" w:color="auto"/>
              <w:right w:val="nil"/>
            </w:tcBorders>
            <w:vAlign w:val="center"/>
            <w:hideMark/>
          </w:tcPr>
          <w:p w14:paraId="7A54FDB4"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3,913,171</w:t>
            </w:r>
          </w:p>
        </w:tc>
        <w:tc>
          <w:tcPr>
            <w:tcW w:w="0" w:type="auto"/>
            <w:tcBorders>
              <w:top w:val="single" w:sz="4" w:space="0" w:color="auto"/>
              <w:left w:val="nil"/>
              <w:bottom w:val="double" w:sz="6" w:space="0" w:color="auto"/>
              <w:right w:val="nil"/>
            </w:tcBorders>
            <w:vAlign w:val="center"/>
            <w:hideMark/>
          </w:tcPr>
          <w:p w14:paraId="2995EE9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3,972,385</w:t>
            </w:r>
          </w:p>
        </w:tc>
        <w:tc>
          <w:tcPr>
            <w:tcW w:w="0" w:type="auto"/>
            <w:tcBorders>
              <w:top w:val="single" w:sz="4" w:space="0" w:color="auto"/>
              <w:left w:val="nil"/>
              <w:bottom w:val="double" w:sz="6" w:space="0" w:color="auto"/>
              <w:right w:val="nil"/>
            </w:tcBorders>
            <w:vAlign w:val="center"/>
            <w:hideMark/>
          </w:tcPr>
          <w:p w14:paraId="77EE9E45"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4,034,025</w:t>
            </w:r>
          </w:p>
        </w:tc>
        <w:tc>
          <w:tcPr>
            <w:tcW w:w="0" w:type="auto"/>
            <w:tcBorders>
              <w:top w:val="single" w:sz="4" w:space="0" w:color="auto"/>
              <w:left w:val="nil"/>
              <w:bottom w:val="double" w:sz="6" w:space="0" w:color="auto"/>
              <w:right w:val="nil"/>
            </w:tcBorders>
            <w:vAlign w:val="center"/>
            <w:hideMark/>
          </w:tcPr>
          <w:p w14:paraId="183ABC99"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4,100,617</w:t>
            </w:r>
          </w:p>
        </w:tc>
        <w:tc>
          <w:tcPr>
            <w:tcW w:w="0" w:type="auto"/>
            <w:tcBorders>
              <w:top w:val="single" w:sz="4" w:space="0" w:color="auto"/>
              <w:left w:val="nil"/>
              <w:bottom w:val="double" w:sz="6" w:space="0" w:color="auto"/>
              <w:right w:val="nil"/>
            </w:tcBorders>
            <w:vAlign w:val="center"/>
            <w:hideMark/>
          </w:tcPr>
          <w:p w14:paraId="2061F30E" w14:textId="77777777" w:rsidR="0040073F" w:rsidRPr="0040073F" w:rsidRDefault="0040073F" w:rsidP="0040073F">
            <w:pPr>
              <w:spacing w:before="0" w:after="0"/>
              <w:jc w:val="right"/>
              <w:rPr>
                <w:rFonts w:ascii="Arial" w:hAnsi="Arial" w:cs="Arial"/>
                <w:sz w:val="16"/>
                <w:szCs w:val="16"/>
              </w:rPr>
            </w:pPr>
            <w:r w:rsidRPr="0040073F">
              <w:rPr>
                <w:rFonts w:ascii="Arial" w:hAnsi="Arial" w:cs="Arial"/>
                <w:sz w:val="16"/>
                <w:szCs w:val="16"/>
              </w:rPr>
              <w:t>4,167,257</w:t>
            </w:r>
          </w:p>
        </w:tc>
      </w:tr>
    </w:tbl>
    <w:p w14:paraId="6B81F4AC" w14:textId="77777777" w:rsidR="00A82C0D" w:rsidRDefault="00A82C0D">
      <w:pPr>
        <w:rPr>
          <w:rFonts w:ascii="Franklin Gothic Demi" w:eastAsiaTheme="majorEastAsia" w:hAnsi="Franklin Gothic Demi" w:cstheme="majorBidi"/>
          <w:i/>
          <w:sz w:val="28"/>
          <w:lang w:eastAsia="en-US"/>
        </w:rPr>
      </w:pPr>
      <w:r>
        <w:br w:type="page"/>
      </w:r>
    </w:p>
    <w:p w14:paraId="7AF89379" w14:textId="5BC48127" w:rsidR="0022670C" w:rsidRDefault="0022670C" w:rsidP="0022670C">
      <w:pPr>
        <w:pStyle w:val="Heading2"/>
      </w:pPr>
      <w:bookmarkStart w:id="49" w:name="_Ref205284744"/>
      <w:bookmarkStart w:id="50" w:name="_Toc210205640"/>
      <w:bookmarkStart w:id="51" w:name="_Toc211874594"/>
      <w:r>
        <w:lastRenderedPageBreak/>
        <w:t xml:space="preserve">6.3 </w:t>
      </w:r>
      <w:r w:rsidR="00A82C0D">
        <w:t>Statement in Changes in Equity</w:t>
      </w:r>
      <w:bookmarkEnd w:id="49"/>
      <w:bookmarkEnd w:id="50"/>
      <w:bookmarkEnd w:id="51"/>
    </w:p>
    <w:p w14:paraId="589FD5F6" w14:textId="77777777" w:rsidR="0022670C" w:rsidRPr="0022670C" w:rsidRDefault="0022670C" w:rsidP="0022670C">
      <w:pPr>
        <w:spacing w:before="0" w:after="0"/>
        <w:rPr>
          <w:lang w:eastAsia="en-US"/>
        </w:rPr>
      </w:pPr>
    </w:p>
    <w:tbl>
      <w:tblPr>
        <w:tblW w:w="5000" w:type="pct"/>
        <w:tblLook w:val="04A0" w:firstRow="1" w:lastRow="0" w:firstColumn="1" w:lastColumn="0" w:noHBand="0" w:noVBand="1"/>
      </w:tblPr>
      <w:tblGrid>
        <w:gridCol w:w="4524"/>
        <w:gridCol w:w="1336"/>
        <w:gridCol w:w="2679"/>
        <w:gridCol w:w="2579"/>
        <w:gridCol w:w="2012"/>
      </w:tblGrid>
      <w:tr w:rsidR="000E25EA" w:rsidRPr="000E25EA" w14:paraId="1743C1D2" w14:textId="77777777" w:rsidTr="00354ABF">
        <w:trPr>
          <w:trHeight w:val="885"/>
          <w:tblHeader/>
        </w:trPr>
        <w:tc>
          <w:tcPr>
            <w:tcW w:w="1723" w:type="pct"/>
            <w:tcBorders>
              <w:top w:val="nil"/>
              <w:left w:val="nil"/>
              <w:bottom w:val="nil"/>
              <w:right w:val="nil"/>
            </w:tcBorders>
            <w:shd w:val="clear" w:color="000000" w:fill="002060"/>
            <w:vAlign w:val="center"/>
            <w:hideMark/>
          </w:tcPr>
          <w:p w14:paraId="61B32AC5" w14:textId="77777777" w:rsidR="000E25EA" w:rsidRPr="000E25EA" w:rsidRDefault="000E25EA" w:rsidP="000E25EA">
            <w:pPr>
              <w:spacing w:before="0" w:after="0"/>
              <w:jc w:val="center"/>
              <w:rPr>
                <w:rFonts w:ascii="Arial" w:hAnsi="Arial" w:cs="Arial"/>
                <w:color w:val="FFFFFF"/>
                <w:sz w:val="16"/>
                <w:szCs w:val="16"/>
              </w:rPr>
            </w:pPr>
            <w:r w:rsidRPr="000E25EA">
              <w:rPr>
                <w:rFonts w:ascii="Arial" w:hAnsi="Arial" w:cs="Arial"/>
                <w:color w:val="FFFFFF"/>
                <w:sz w:val="16"/>
                <w:szCs w:val="16"/>
              </w:rPr>
              <w:t> </w:t>
            </w:r>
          </w:p>
        </w:tc>
        <w:tc>
          <w:tcPr>
            <w:tcW w:w="509" w:type="pct"/>
            <w:tcBorders>
              <w:top w:val="nil"/>
              <w:left w:val="nil"/>
              <w:bottom w:val="nil"/>
              <w:right w:val="nil"/>
            </w:tcBorders>
            <w:shd w:val="clear" w:color="000000" w:fill="002060"/>
            <w:vAlign w:val="center"/>
            <w:hideMark/>
          </w:tcPr>
          <w:p w14:paraId="1742CDB2" w14:textId="77777777" w:rsidR="000E25EA" w:rsidRPr="000E25EA" w:rsidRDefault="000E25EA" w:rsidP="000E25EA">
            <w:pPr>
              <w:spacing w:before="0" w:after="0"/>
              <w:jc w:val="center"/>
              <w:rPr>
                <w:rFonts w:ascii="Arial" w:hAnsi="Arial" w:cs="Arial"/>
                <w:b/>
                <w:bCs/>
                <w:color w:val="FFFFFF"/>
                <w:sz w:val="16"/>
                <w:szCs w:val="16"/>
              </w:rPr>
            </w:pPr>
            <w:r w:rsidRPr="000E25EA">
              <w:rPr>
                <w:rFonts w:ascii="Arial" w:hAnsi="Arial" w:cs="Arial"/>
                <w:b/>
                <w:bCs/>
                <w:color w:val="FFFFFF"/>
                <w:sz w:val="16"/>
                <w:szCs w:val="16"/>
              </w:rPr>
              <w:t>Total</w:t>
            </w:r>
          </w:p>
        </w:tc>
        <w:tc>
          <w:tcPr>
            <w:tcW w:w="1020" w:type="pct"/>
            <w:tcBorders>
              <w:top w:val="nil"/>
              <w:left w:val="nil"/>
              <w:bottom w:val="nil"/>
              <w:right w:val="nil"/>
            </w:tcBorders>
            <w:shd w:val="clear" w:color="000000" w:fill="002060"/>
            <w:vAlign w:val="center"/>
            <w:hideMark/>
          </w:tcPr>
          <w:p w14:paraId="78D9DC49" w14:textId="77777777" w:rsidR="000E25EA" w:rsidRPr="000E25EA" w:rsidRDefault="000E25EA" w:rsidP="000E25EA">
            <w:pPr>
              <w:spacing w:before="0" w:after="0"/>
              <w:jc w:val="center"/>
              <w:rPr>
                <w:rFonts w:ascii="Arial" w:hAnsi="Arial" w:cs="Arial"/>
                <w:b/>
                <w:bCs/>
                <w:color w:val="FFFFFF"/>
                <w:sz w:val="16"/>
                <w:szCs w:val="16"/>
              </w:rPr>
            </w:pPr>
            <w:r w:rsidRPr="000E25EA">
              <w:rPr>
                <w:rFonts w:ascii="Arial" w:hAnsi="Arial" w:cs="Arial"/>
                <w:b/>
                <w:bCs/>
                <w:color w:val="FFFFFF"/>
                <w:sz w:val="16"/>
                <w:szCs w:val="16"/>
              </w:rPr>
              <w:t>Accumulated Surplus</w:t>
            </w:r>
          </w:p>
        </w:tc>
        <w:tc>
          <w:tcPr>
            <w:tcW w:w="982" w:type="pct"/>
            <w:tcBorders>
              <w:top w:val="nil"/>
              <w:left w:val="nil"/>
              <w:bottom w:val="nil"/>
              <w:right w:val="nil"/>
            </w:tcBorders>
            <w:shd w:val="clear" w:color="000000" w:fill="002060"/>
            <w:vAlign w:val="center"/>
            <w:hideMark/>
          </w:tcPr>
          <w:p w14:paraId="58E4C651" w14:textId="77777777" w:rsidR="000E25EA" w:rsidRPr="000E25EA" w:rsidRDefault="000E25EA" w:rsidP="000E25EA">
            <w:pPr>
              <w:spacing w:before="0" w:after="0"/>
              <w:jc w:val="center"/>
              <w:rPr>
                <w:rFonts w:ascii="Arial" w:hAnsi="Arial" w:cs="Arial"/>
                <w:b/>
                <w:bCs/>
                <w:color w:val="FFFFFF"/>
                <w:sz w:val="16"/>
                <w:szCs w:val="16"/>
              </w:rPr>
            </w:pPr>
            <w:r w:rsidRPr="000E25EA">
              <w:rPr>
                <w:rFonts w:ascii="Arial" w:hAnsi="Arial" w:cs="Arial"/>
                <w:b/>
                <w:bCs/>
                <w:color w:val="FFFFFF"/>
                <w:sz w:val="16"/>
                <w:szCs w:val="16"/>
              </w:rPr>
              <w:t>Revaluation Reserve</w:t>
            </w:r>
          </w:p>
        </w:tc>
        <w:tc>
          <w:tcPr>
            <w:tcW w:w="766" w:type="pct"/>
            <w:tcBorders>
              <w:top w:val="nil"/>
              <w:left w:val="nil"/>
              <w:bottom w:val="nil"/>
              <w:right w:val="nil"/>
            </w:tcBorders>
            <w:shd w:val="clear" w:color="000000" w:fill="002060"/>
            <w:vAlign w:val="center"/>
            <w:hideMark/>
          </w:tcPr>
          <w:p w14:paraId="5B98FD8C" w14:textId="77777777" w:rsidR="000E25EA" w:rsidRPr="000E25EA" w:rsidRDefault="000E25EA" w:rsidP="000E25EA">
            <w:pPr>
              <w:spacing w:before="0" w:after="0"/>
              <w:jc w:val="center"/>
              <w:rPr>
                <w:rFonts w:ascii="Arial" w:hAnsi="Arial" w:cs="Arial"/>
                <w:b/>
                <w:bCs/>
                <w:color w:val="FFFFFF"/>
                <w:sz w:val="16"/>
                <w:szCs w:val="16"/>
              </w:rPr>
            </w:pPr>
            <w:r w:rsidRPr="000E25EA">
              <w:rPr>
                <w:rFonts w:ascii="Arial" w:hAnsi="Arial" w:cs="Arial"/>
                <w:b/>
                <w:bCs/>
                <w:color w:val="FFFFFF"/>
                <w:sz w:val="16"/>
                <w:szCs w:val="16"/>
              </w:rPr>
              <w:t>Other Reserves</w:t>
            </w:r>
          </w:p>
        </w:tc>
      </w:tr>
      <w:tr w:rsidR="000E25EA" w:rsidRPr="000E25EA" w14:paraId="4EE720DC" w14:textId="77777777" w:rsidTr="00354ABF">
        <w:trPr>
          <w:trHeight w:val="260"/>
          <w:tblHeader/>
        </w:trPr>
        <w:tc>
          <w:tcPr>
            <w:tcW w:w="1723" w:type="pct"/>
            <w:tcBorders>
              <w:top w:val="nil"/>
              <w:left w:val="nil"/>
              <w:bottom w:val="nil"/>
              <w:right w:val="nil"/>
            </w:tcBorders>
            <w:shd w:val="clear" w:color="000000" w:fill="002060"/>
            <w:vAlign w:val="center"/>
            <w:hideMark/>
          </w:tcPr>
          <w:p w14:paraId="1D6F6697" w14:textId="77777777" w:rsidR="000E25EA" w:rsidRPr="000E25EA" w:rsidRDefault="000E25EA" w:rsidP="000E25EA">
            <w:pPr>
              <w:spacing w:before="0" w:after="0"/>
              <w:jc w:val="center"/>
              <w:rPr>
                <w:rFonts w:ascii="Arial" w:hAnsi="Arial" w:cs="Arial"/>
                <w:color w:val="FFFFFF"/>
                <w:sz w:val="16"/>
                <w:szCs w:val="16"/>
              </w:rPr>
            </w:pPr>
            <w:r w:rsidRPr="000E25EA">
              <w:rPr>
                <w:rFonts w:ascii="Arial" w:hAnsi="Arial" w:cs="Arial"/>
                <w:color w:val="FFFFFF"/>
                <w:sz w:val="16"/>
                <w:szCs w:val="16"/>
              </w:rPr>
              <w:t> </w:t>
            </w:r>
          </w:p>
        </w:tc>
        <w:tc>
          <w:tcPr>
            <w:tcW w:w="509" w:type="pct"/>
            <w:tcBorders>
              <w:top w:val="nil"/>
              <w:left w:val="nil"/>
              <w:bottom w:val="nil"/>
              <w:right w:val="nil"/>
            </w:tcBorders>
            <w:shd w:val="clear" w:color="000000" w:fill="002060"/>
            <w:vAlign w:val="center"/>
            <w:hideMark/>
          </w:tcPr>
          <w:p w14:paraId="2AA20340" w14:textId="77777777" w:rsidR="000E25EA" w:rsidRPr="000E25EA" w:rsidRDefault="000E25EA" w:rsidP="000E25EA">
            <w:pPr>
              <w:spacing w:before="0" w:after="0"/>
              <w:jc w:val="center"/>
              <w:rPr>
                <w:rFonts w:ascii="Arial" w:hAnsi="Arial" w:cs="Arial"/>
                <w:b/>
                <w:bCs/>
                <w:color w:val="FFFFFF"/>
                <w:sz w:val="16"/>
                <w:szCs w:val="16"/>
              </w:rPr>
            </w:pPr>
            <w:r w:rsidRPr="000E25EA">
              <w:rPr>
                <w:rFonts w:ascii="Arial" w:hAnsi="Arial" w:cs="Arial"/>
                <w:b/>
                <w:bCs/>
                <w:color w:val="FFFFFF"/>
                <w:sz w:val="16"/>
                <w:szCs w:val="16"/>
              </w:rPr>
              <w:t>$’000</w:t>
            </w:r>
          </w:p>
        </w:tc>
        <w:tc>
          <w:tcPr>
            <w:tcW w:w="1020" w:type="pct"/>
            <w:tcBorders>
              <w:top w:val="nil"/>
              <w:left w:val="nil"/>
              <w:bottom w:val="nil"/>
              <w:right w:val="nil"/>
            </w:tcBorders>
            <w:shd w:val="clear" w:color="000000" w:fill="002060"/>
            <w:vAlign w:val="center"/>
            <w:hideMark/>
          </w:tcPr>
          <w:p w14:paraId="24637822" w14:textId="77777777" w:rsidR="000E25EA" w:rsidRPr="000E25EA" w:rsidRDefault="000E25EA" w:rsidP="000E25EA">
            <w:pPr>
              <w:spacing w:before="0" w:after="0"/>
              <w:jc w:val="center"/>
              <w:rPr>
                <w:rFonts w:ascii="Arial" w:hAnsi="Arial" w:cs="Arial"/>
                <w:b/>
                <w:bCs/>
                <w:color w:val="FFFFFF"/>
                <w:sz w:val="16"/>
                <w:szCs w:val="16"/>
              </w:rPr>
            </w:pPr>
            <w:r w:rsidRPr="000E25EA">
              <w:rPr>
                <w:rFonts w:ascii="Arial" w:hAnsi="Arial" w:cs="Arial"/>
                <w:b/>
                <w:bCs/>
                <w:color w:val="FFFFFF"/>
                <w:sz w:val="16"/>
                <w:szCs w:val="16"/>
              </w:rPr>
              <w:t>$’000</w:t>
            </w:r>
          </w:p>
        </w:tc>
        <w:tc>
          <w:tcPr>
            <w:tcW w:w="982" w:type="pct"/>
            <w:tcBorders>
              <w:top w:val="nil"/>
              <w:left w:val="nil"/>
              <w:bottom w:val="nil"/>
              <w:right w:val="nil"/>
            </w:tcBorders>
            <w:shd w:val="clear" w:color="000000" w:fill="002060"/>
            <w:vAlign w:val="center"/>
            <w:hideMark/>
          </w:tcPr>
          <w:p w14:paraId="17046794" w14:textId="77777777" w:rsidR="000E25EA" w:rsidRPr="000E25EA" w:rsidRDefault="000E25EA" w:rsidP="000E25EA">
            <w:pPr>
              <w:spacing w:before="0" w:after="0"/>
              <w:jc w:val="center"/>
              <w:rPr>
                <w:rFonts w:ascii="Arial" w:hAnsi="Arial" w:cs="Arial"/>
                <w:b/>
                <w:bCs/>
                <w:color w:val="FFFFFF"/>
                <w:sz w:val="16"/>
                <w:szCs w:val="16"/>
              </w:rPr>
            </w:pPr>
            <w:r w:rsidRPr="000E25EA">
              <w:rPr>
                <w:rFonts w:ascii="Arial" w:hAnsi="Arial" w:cs="Arial"/>
                <w:b/>
                <w:bCs/>
                <w:color w:val="FFFFFF"/>
                <w:sz w:val="16"/>
                <w:szCs w:val="16"/>
              </w:rPr>
              <w:t>$’000</w:t>
            </w:r>
          </w:p>
        </w:tc>
        <w:tc>
          <w:tcPr>
            <w:tcW w:w="766" w:type="pct"/>
            <w:tcBorders>
              <w:top w:val="nil"/>
              <w:left w:val="nil"/>
              <w:bottom w:val="nil"/>
              <w:right w:val="nil"/>
            </w:tcBorders>
            <w:shd w:val="clear" w:color="000000" w:fill="002060"/>
            <w:vAlign w:val="center"/>
            <w:hideMark/>
          </w:tcPr>
          <w:p w14:paraId="1F064739" w14:textId="77777777" w:rsidR="000E25EA" w:rsidRPr="000E25EA" w:rsidRDefault="000E25EA" w:rsidP="000E25EA">
            <w:pPr>
              <w:spacing w:before="0" w:after="0"/>
              <w:jc w:val="center"/>
              <w:rPr>
                <w:rFonts w:ascii="Arial" w:hAnsi="Arial" w:cs="Arial"/>
                <w:b/>
                <w:bCs/>
                <w:color w:val="FFFFFF"/>
                <w:sz w:val="16"/>
                <w:szCs w:val="16"/>
              </w:rPr>
            </w:pPr>
            <w:r w:rsidRPr="000E25EA">
              <w:rPr>
                <w:rFonts w:ascii="Arial" w:hAnsi="Arial" w:cs="Arial"/>
                <w:b/>
                <w:bCs/>
                <w:color w:val="FFFFFF"/>
                <w:sz w:val="16"/>
                <w:szCs w:val="16"/>
              </w:rPr>
              <w:t>$’000</w:t>
            </w:r>
          </w:p>
        </w:tc>
      </w:tr>
      <w:tr w:rsidR="000E25EA" w:rsidRPr="000E25EA" w14:paraId="6492E2F6" w14:textId="77777777" w:rsidTr="00354ABF">
        <w:trPr>
          <w:trHeight w:val="260"/>
        </w:trPr>
        <w:tc>
          <w:tcPr>
            <w:tcW w:w="1723" w:type="pct"/>
            <w:tcBorders>
              <w:top w:val="nil"/>
              <w:left w:val="nil"/>
              <w:bottom w:val="nil"/>
              <w:right w:val="nil"/>
            </w:tcBorders>
            <w:vAlign w:val="center"/>
            <w:hideMark/>
          </w:tcPr>
          <w:p w14:paraId="13E478E2"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2025 Actual</w:t>
            </w:r>
          </w:p>
        </w:tc>
        <w:tc>
          <w:tcPr>
            <w:tcW w:w="509" w:type="pct"/>
            <w:tcBorders>
              <w:top w:val="nil"/>
              <w:left w:val="nil"/>
              <w:bottom w:val="nil"/>
              <w:right w:val="nil"/>
            </w:tcBorders>
            <w:vAlign w:val="center"/>
            <w:hideMark/>
          </w:tcPr>
          <w:p w14:paraId="37CD2198" w14:textId="07646EF6" w:rsidR="000E25EA" w:rsidRPr="000E25EA" w:rsidRDefault="000E25EA" w:rsidP="00E34FD9">
            <w:pPr>
              <w:spacing w:before="0" w:after="0"/>
              <w:jc w:val="right"/>
              <w:rPr>
                <w:rFonts w:ascii="Arial" w:hAnsi="Arial" w:cs="Arial"/>
                <w:b/>
                <w:bCs/>
                <w:sz w:val="16"/>
                <w:szCs w:val="16"/>
              </w:rPr>
            </w:pPr>
          </w:p>
        </w:tc>
        <w:tc>
          <w:tcPr>
            <w:tcW w:w="1020" w:type="pct"/>
            <w:tcBorders>
              <w:top w:val="nil"/>
              <w:left w:val="nil"/>
              <w:bottom w:val="nil"/>
              <w:right w:val="nil"/>
            </w:tcBorders>
            <w:vAlign w:val="center"/>
            <w:hideMark/>
          </w:tcPr>
          <w:p w14:paraId="538E8FAC" w14:textId="3301892B" w:rsidR="000E25EA" w:rsidRPr="000E25EA" w:rsidRDefault="000E25EA" w:rsidP="00E34FD9">
            <w:pPr>
              <w:spacing w:before="0" w:after="0"/>
              <w:jc w:val="right"/>
              <w:rPr>
                <w:rFonts w:ascii="Arial" w:hAnsi="Arial" w:cs="Arial"/>
                <w:sz w:val="16"/>
                <w:szCs w:val="16"/>
              </w:rPr>
            </w:pPr>
          </w:p>
        </w:tc>
        <w:tc>
          <w:tcPr>
            <w:tcW w:w="982" w:type="pct"/>
            <w:tcBorders>
              <w:top w:val="nil"/>
              <w:left w:val="nil"/>
              <w:bottom w:val="nil"/>
              <w:right w:val="nil"/>
            </w:tcBorders>
            <w:vAlign w:val="center"/>
            <w:hideMark/>
          </w:tcPr>
          <w:p w14:paraId="1F2A8FF4" w14:textId="5CF7FA21" w:rsidR="000E25EA" w:rsidRPr="000E25EA" w:rsidRDefault="000E25EA" w:rsidP="00E34FD9">
            <w:pPr>
              <w:spacing w:before="0" w:after="0"/>
              <w:jc w:val="right"/>
              <w:rPr>
                <w:rFonts w:ascii="Arial" w:hAnsi="Arial" w:cs="Arial"/>
                <w:sz w:val="16"/>
                <w:szCs w:val="16"/>
              </w:rPr>
            </w:pPr>
          </w:p>
        </w:tc>
        <w:tc>
          <w:tcPr>
            <w:tcW w:w="766" w:type="pct"/>
            <w:tcBorders>
              <w:top w:val="nil"/>
              <w:left w:val="nil"/>
              <w:bottom w:val="nil"/>
              <w:right w:val="nil"/>
            </w:tcBorders>
            <w:vAlign w:val="center"/>
            <w:hideMark/>
          </w:tcPr>
          <w:p w14:paraId="3EE14EA5" w14:textId="3043B714" w:rsidR="000E25EA" w:rsidRPr="000E25EA" w:rsidRDefault="000E25EA" w:rsidP="00E34FD9">
            <w:pPr>
              <w:spacing w:before="0" w:after="0"/>
              <w:jc w:val="right"/>
              <w:rPr>
                <w:rFonts w:ascii="Arial" w:hAnsi="Arial" w:cs="Arial"/>
                <w:sz w:val="16"/>
                <w:szCs w:val="16"/>
              </w:rPr>
            </w:pPr>
          </w:p>
        </w:tc>
      </w:tr>
      <w:tr w:rsidR="000E25EA" w:rsidRPr="000E25EA" w14:paraId="175E1D55" w14:textId="77777777" w:rsidTr="00354ABF">
        <w:trPr>
          <w:trHeight w:val="260"/>
        </w:trPr>
        <w:tc>
          <w:tcPr>
            <w:tcW w:w="1723" w:type="pct"/>
            <w:tcBorders>
              <w:top w:val="nil"/>
              <w:left w:val="nil"/>
              <w:bottom w:val="nil"/>
              <w:right w:val="nil"/>
            </w:tcBorders>
            <w:noWrap/>
            <w:vAlign w:val="center"/>
            <w:hideMark/>
          </w:tcPr>
          <w:p w14:paraId="7219DB18"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77678A3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3,192,385</w:t>
            </w:r>
          </w:p>
        </w:tc>
        <w:tc>
          <w:tcPr>
            <w:tcW w:w="1020" w:type="pct"/>
            <w:tcBorders>
              <w:top w:val="nil"/>
              <w:left w:val="nil"/>
              <w:bottom w:val="nil"/>
              <w:right w:val="nil"/>
            </w:tcBorders>
            <w:vAlign w:val="center"/>
            <w:hideMark/>
          </w:tcPr>
          <w:p w14:paraId="5A2DD42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1,390,596</w:t>
            </w:r>
          </w:p>
        </w:tc>
        <w:tc>
          <w:tcPr>
            <w:tcW w:w="982" w:type="pct"/>
            <w:tcBorders>
              <w:top w:val="nil"/>
              <w:left w:val="nil"/>
              <w:bottom w:val="nil"/>
              <w:right w:val="nil"/>
            </w:tcBorders>
            <w:vAlign w:val="center"/>
            <w:hideMark/>
          </w:tcPr>
          <w:p w14:paraId="2B304E9C"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1,706,516</w:t>
            </w:r>
          </w:p>
        </w:tc>
        <w:tc>
          <w:tcPr>
            <w:tcW w:w="766" w:type="pct"/>
            <w:tcBorders>
              <w:top w:val="nil"/>
              <w:left w:val="nil"/>
              <w:bottom w:val="nil"/>
              <w:right w:val="nil"/>
            </w:tcBorders>
            <w:vAlign w:val="center"/>
            <w:hideMark/>
          </w:tcPr>
          <w:p w14:paraId="77446ED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95,273</w:t>
            </w:r>
          </w:p>
        </w:tc>
      </w:tr>
      <w:tr w:rsidR="000E25EA" w:rsidRPr="000E25EA" w14:paraId="0155B787" w14:textId="77777777" w:rsidTr="00354ABF">
        <w:trPr>
          <w:trHeight w:val="260"/>
        </w:trPr>
        <w:tc>
          <w:tcPr>
            <w:tcW w:w="1723" w:type="pct"/>
            <w:tcBorders>
              <w:top w:val="nil"/>
              <w:left w:val="nil"/>
              <w:bottom w:val="nil"/>
              <w:right w:val="nil"/>
            </w:tcBorders>
            <w:noWrap/>
            <w:vAlign w:val="center"/>
            <w:hideMark/>
          </w:tcPr>
          <w:p w14:paraId="109801E6"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7D7FABD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123,982</w:t>
            </w:r>
          </w:p>
        </w:tc>
        <w:tc>
          <w:tcPr>
            <w:tcW w:w="1020" w:type="pct"/>
            <w:tcBorders>
              <w:top w:val="nil"/>
              <w:left w:val="nil"/>
              <w:bottom w:val="nil"/>
              <w:right w:val="nil"/>
            </w:tcBorders>
            <w:vAlign w:val="center"/>
            <w:hideMark/>
          </w:tcPr>
          <w:p w14:paraId="25F0E97F"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123,982</w:t>
            </w:r>
          </w:p>
        </w:tc>
        <w:tc>
          <w:tcPr>
            <w:tcW w:w="982" w:type="pct"/>
            <w:tcBorders>
              <w:top w:val="nil"/>
              <w:left w:val="nil"/>
              <w:bottom w:val="nil"/>
              <w:right w:val="nil"/>
            </w:tcBorders>
            <w:vAlign w:val="center"/>
            <w:hideMark/>
          </w:tcPr>
          <w:p w14:paraId="263A673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29962D5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5D2D9A7F" w14:textId="77777777" w:rsidTr="00354ABF">
        <w:trPr>
          <w:trHeight w:val="260"/>
        </w:trPr>
        <w:tc>
          <w:tcPr>
            <w:tcW w:w="1723" w:type="pct"/>
            <w:tcBorders>
              <w:top w:val="nil"/>
              <w:left w:val="nil"/>
              <w:bottom w:val="nil"/>
              <w:right w:val="nil"/>
            </w:tcBorders>
            <w:noWrap/>
            <w:vAlign w:val="center"/>
            <w:hideMark/>
          </w:tcPr>
          <w:p w14:paraId="506E5882"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0B37BD9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140,421</w:t>
            </w:r>
          </w:p>
        </w:tc>
        <w:tc>
          <w:tcPr>
            <w:tcW w:w="1020" w:type="pct"/>
            <w:tcBorders>
              <w:top w:val="nil"/>
              <w:left w:val="nil"/>
              <w:bottom w:val="nil"/>
              <w:right w:val="nil"/>
            </w:tcBorders>
            <w:vAlign w:val="center"/>
            <w:hideMark/>
          </w:tcPr>
          <w:p w14:paraId="7470E16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298347C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140,421</w:t>
            </w:r>
          </w:p>
        </w:tc>
        <w:tc>
          <w:tcPr>
            <w:tcW w:w="766" w:type="pct"/>
            <w:tcBorders>
              <w:top w:val="nil"/>
              <w:left w:val="nil"/>
              <w:bottom w:val="nil"/>
              <w:right w:val="nil"/>
            </w:tcBorders>
            <w:vAlign w:val="center"/>
            <w:hideMark/>
          </w:tcPr>
          <w:p w14:paraId="2C65EC7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0AC3686A" w14:textId="77777777" w:rsidTr="00354ABF">
        <w:trPr>
          <w:trHeight w:val="260"/>
        </w:trPr>
        <w:tc>
          <w:tcPr>
            <w:tcW w:w="1723" w:type="pct"/>
            <w:tcBorders>
              <w:top w:val="nil"/>
              <w:left w:val="nil"/>
              <w:bottom w:val="nil"/>
              <w:right w:val="nil"/>
            </w:tcBorders>
            <w:noWrap/>
            <w:vAlign w:val="center"/>
            <w:hideMark/>
          </w:tcPr>
          <w:p w14:paraId="398CF159"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633EB34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77717F0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(17,789)</w:t>
            </w:r>
          </w:p>
        </w:tc>
        <w:tc>
          <w:tcPr>
            <w:tcW w:w="982" w:type="pct"/>
            <w:tcBorders>
              <w:top w:val="nil"/>
              <w:left w:val="nil"/>
              <w:bottom w:val="nil"/>
              <w:right w:val="nil"/>
            </w:tcBorders>
            <w:vAlign w:val="center"/>
            <w:hideMark/>
          </w:tcPr>
          <w:p w14:paraId="58239C5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6930A8A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17,789</w:t>
            </w:r>
          </w:p>
        </w:tc>
      </w:tr>
      <w:tr w:rsidR="000E25EA" w:rsidRPr="000E25EA" w14:paraId="156BE7FD" w14:textId="77777777" w:rsidTr="00354ABF">
        <w:trPr>
          <w:trHeight w:val="270"/>
        </w:trPr>
        <w:tc>
          <w:tcPr>
            <w:tcW w:w="1723" w:type="pct"/>
            <w:tcBorders>
              <w:top w:val="nil"/>
              <w:left w:val="nil"/>
              <w:bottom w:val="nil"/>
              <w:right w:val="nil"/>
            </w:tcBorders>
            <w:noWrap/>
            <w:vAlign w:val="center"/>
            <w:hideMark/>
          </w:tcPr>
          <w:p w14:paraId="05895825"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0AA22044"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3,456,788</w:t>
            </w:r>
          </w:p>
        </w:tc>
        <w:tc>
          <w:tcPr>
            <w:tcW w:w="1020" w:type="pct"/>
            <w:tcBorders>
              <w:top w:val="single" w:sz="4" w:space="0" w:color="auto"/>
              <w:left w:val="nil"/>
              <w:bottom w:val="double" w:sz="6" w:space="0" w:color="auto"/>
              <w:right w:val="nil"/>
            </w:tcBorders>
            <w:vAlign w:val="center"/>
            <w:hideMark/>
          </w:tcPr>
          <w:p w14:paraId="08BC81B6"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1,496,789</w:t>
            </w:r>
          </w:p>
        </w:tc>
        <w:tc>
          <w:tcPr>
            <w:tcW w:w="982" w:type="pct"/>
            <w:tcBorders>
              <w:top w:val="single" w:sz="4" w:space="0" w:color="auto"/>
              <w:left w:val="nil"/>
              <w:bottom w:val="double" w:sz="6" w:space="0" w:color="auto"/>
              <w:right w:val="nil"/>
            </w:tcBorders>
            <w:vAlign w:val="center"/>
            <w:hideMark/>
          </w:tcPr>
          <w:p w14:paraId="42C8DA27"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2E65E0C0"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113,062</w:t>
            </w:r>
          </w:p>
        </w:tc>
      </w:tr>
      <w:tr w:rsidR="000E25EA" w:rsidRPr="000E25EA" w14:paraId="74EE8A98" w14:textId="77777777" w:rsidTr="00354ABF">
        <w:trPr>
          <w:trHeight w:val="260"/>
        </w:trPr>
        <w:tc>
          <w:tcPr>
            <w:tcW w:w="1723" w:type="pct"/>
            <w:tcBorders>
              <w:top w:val="nil"/>
              <w:left w:val="nil"/>
              <w:bottom w:val="nil"/>
              <w:right w:val="nil"/>
            </w:tcBorders>
            <w:vAlign w:val="center"/>
            <w:hideMark/>
          </w:tcPr>
          <w:p w14:paraId="30D3E7D1"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2026</w:t>
            </w:r>
          </w:p>
        </w:tc>
        <w:tc>
          <w:tcPr>
            <w:tcW w:w="509" w:type="pct"/>
            <w:tcBorders>
              <w:top w:val="nil"/>
              <w:left w:val="nil"/>
              <w:bottom w:val="nil"/>
              <w:right w:val="nil"/>
            </w:tcBorders>
            <w:vAlign w:val="center"/>
            <w:hideMark/>
          </w:tcPr>
          <w:p w14:paraId="269D903E" w14:textId="1C92D5BE" w:rsidR="000E25EA" w:rsidRPr="000E25EA" w:rsidRDefault="000E25EA" w:rsidP="00E34FD9">
            <w:pPr>
              <w:spacing w:before="0" w:after="0"/>
              <w:jc w:val="right"/>
              <w:rPr>
                <w:rFonts w:ascii="Arial" w:hAnsi="Arial" w:cs="Arial"/>
                <w:b/>
                <w:bCs/>
                <w:sz w:val="16"/>
                <w:szCs w:val="16"/>
              </w:rPr>
            </w:pPr>
          </w:p>
        </w:tc>
        <w:tc>
          <w:tcPr>
            <w:tcW w:w="1020" w:type="pct"/>
            <w:tcBorders>
              <w:top w:val="nil"/>
              <w:left w:val="nil"/>
              <w:bottom w:val="nil"/>
              <w:right w:val="nil"/>
            </w:tcBorders>
            <w:vAlign w:val="center"/>
            <w:hideMark/>
          </w:tcPr>
          <w:p w14:paraId="05B368FA" w14:textId="481EA613" w:rsidR="000E25EA" w:rsidRPr="000E25EA" w:rsidRDefault="000E25EA" w:rsidP="00E34FD9">
            <w:pPr>
              <w:spacing w:before="0" w:after="0"/>
              <w:jc w:val="right"/>
              <w:rPr>
                <w:rFonts w:ascii="Arial" w:hAnsi="Arial" w:cs="Arial"/>
                <w:sz w:val="16"/>
                <w:szCs w:val="16"/>
              </w:rPr>
            </w:pPr>
          </w:p>
        </w:tc>
        <w:tc>
          <w:tcPr>
            <w:tcW w:w="982" w:type="pct"/>
            <w:tcBorders>
              <w:top w:val="nil"/>
              <w:left w:val="nil"/>
              <w:bottom w:val="nil"/>
              <w:right w:val="nil"/>
            </w:tcBorders>
            <w:vAlign w:val="center"/>
            <w:hideMark/>
          </w:tcPr>
          <w:p w14:paraId="4ECEF91D" w14:textId="5AD60EC0" w:rsidR="000E25EA" w:rsidRPr="000E25EA" w:rsidRDefault="000E25EA" w:rsidP="00E34FD9">
            <w:pPr>
              <w:spacing w:before="0" w:after="0"/>
              <w:jc w:val="right"/>
              <w:rPr>
                <w:rFonts w:ascii="Arial" w:hAnsi="Arial" w:cs="Arial"/>
                <w:sz w:val="16"/>
                <w:szCs w:val="16"/>
              </w:rPr>
            </w:pPr>
          </w:p>
        </w:tc>
        <w:tc>
          <w:tcPr>
            <w:tcW w:w="766" w:type="pct"/>
            <w:tcBorders>
              <w:top w:val="nil"/>
              <w:left w:val="nil"/>
              <w:bottom w:val="nil"/>
              <w:right w:val="nil"/>
            </w:tcBorders>
            <w:vAlign w:val="center"/>
            <w:hideMark/>
          </w:tcPr>
          <w:p w14:paraId="7537B382" w14:textId="6100D282" w:rsidR="000E25EA" w:rsidRPr="000E25EA" w:rsidRDefault="000E25EA" w:rsidP="00E34FD9">
            <w:pPr>
              <w:spacing w:before="0" w:after="0"/>
              <w:jc w:val="right"/>
              <w:rPr>
                <w:rFonts w:ascii="Arial" w:hAnsi="Arial" w:cs="Arial"/>
                <w:sz w:val="16"/>
                <w:szCs w:val="16"/>
              </w:rPr>
            </w:pPr>
          </w:p>
        </w:tc>
      </w:tr>
      <w:tr w:rsidR="000E25EA" w:rsidRPr="000E25EA" w14:paraId="25748D53" w14:textId="77777777" w:rsidTr="00354ABF">
        <w:trPr>
          <w:trHeight w:val="260"/>
        </w:trPr>
        <w:tc>
          <w:tcPr>
            <w:tcW w:w="1723" w:type="pct"/>
            <w:tcBorders>
              <w:top w:val="nil"/>
              <w:left w:val="nil"/>
              <w:bottom w:val="nil"/>
              <w:right w:val="nil"/>
            </w:tcBorders>
            <w:noWrap/>
            <w:vAlign w:val="center"/>
            <w:hideMark/>
          </w:tcPr>
          <w:p w14:paraId="7E47D988"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04E6BDC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3,456,788</w:t>
            </w:r>
          </w:p>
        </w:tc>
        <w:tc>
          <w:tcPr>
            <w:tcW w:w="1020" w:type="pct"/>
            <w:tcBorders>
              <w:top w:val="nil"/>
              <w:left w:val="nil"/>
              <w:bottom w:val="nil"/>
              <w:right w:val="nil"/>
            </w:tcBorders>
            <w:vAlign w:val="center"/>
            <w:hideMark/>
          </w:tcPr>
          <w:p w14:paraId="230C097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1,496,789</w:t>
            </w:r>
          </w:p>
        </w:tc>
        <w:tc>
          <w:tcPr>
            <w:tcW w:w="982" w:type="pct"/>
            <w:tcBorders>
              <w:top w:val="nil"/>
              <w:left w:val="nil"/>
              <w:bottom w:val="nil"/>
              <w:right w:val="nil"/>
            </w:tcBorders>
            <w:vAlign w:val="center"/>
            <w:hideMark/>
          </w:tcPr>
          <w:p w14:paraId="1FD4B3B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3E001D6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113,062</w:t>
            </w:r>
          </w:p>
        </w:tc>
      </w:tr>
      <w:tr w:rsidR="000E25EA" w:rsidRPr="000E25EA" w14:paraId="6C18194E" w14:textId="77777777" w:rsidTr="00354ABF">
        <w:trPr>
          <w:trHeight w:val="260"/>
        </w:trPr>
        <w:tc>
          <w:tcPr>
            <w:tcW w:w="1723" w:type="pct"/>
            <w:tcBorders>
              <w:top w:val="nil"/>
              <w:left w:val="nil"/>
              <w:bottom w:val="nil"/>
              <w:right w:val="nil"/>
            </w:tcBorders>
            <w:noWrap/>
            <w:vAlign w:val="center"/>
            <w:hideMark/>
          </w:tcPr>
          <w:p w14:paraId="035E76A2"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5FDEAC5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108,777</w:t>
            </w:r>
          </w:p>
        </w:tc>
        <w:tc>
          <w:tcPr>
            <w:tcW w:w="1020" w:type="pct"/>
            <w:tcBorders>
              <w:top w:val="nil"/>
              <w:left w:val="nil"/>
              <w:bottom w:val="nil"/>
              <w:right w:val="nil"/>
            </w:tcBorders>
            <w:vAlign w:val="center"/>
            <w:hideMark/>
          </w:tcPr>
          <w:p w14:paraId="7C86891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108,777</w:t>
            </w:r>
          </w:p>
        </w:tc>
        <w:tc>
          <w:tcPr>
            <w:tcW w:w="982" w:type="pct"/>
            <w:tcBorders>
              <w:top w:val="nil"/>
              <w:left w:val="nil"/>
              <w:bottom w:val="nil"/>
              <w:right w:val="nil"/>
            </w:tcBorders>
            <w:vAlign w:val="center"/>
            <w:hideMark/>
          </w:tcPr>
          <w:p w14:paraId="5046A22E"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40C8A2BE"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494FDC08" w14:textId="77777777" w:rsidTr="00354ABF">
        <w:trPr>
          <w:trHeight w:val="260"/>
        </w:trPr>
        <w:tc>
          <w:tcPr>
            <w:tcW w:w="1723" w:type="pct"/>
            <w:tcBorders>
              <w:top w:val="nil"/>
              <w:left w:val="nil"/>
              <w:bottom w:val="nil"/>
              <w:right w:val="nil"/>
            </w:tcBorders>
            <w:noWrap/>
            <w:vAlign w:val="center"/>
            <w:hideMark/>
          </w:tcPr>
          <w:p w14:paraId="738FADB5"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4F0EDEF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088B909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6D364D1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5739391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3A7FAAA6" w14:textId="77777777" w:rsidTr="00354ABF">
        <w:trPr>
          <w:trHeight w:val="260"/>
        </w:trPr>
        <w:tc>
          <w:tcPr>
            <w:tcW w:w="1723" w:type="pct"/>
            <w:tcBorders>
              <w:top w:val="nil"/>
              <w:left w:val="nil"/>
              <w:bottom w:val="nil"/>
              <w:right w:val="nil"/>
            </w:tcBorders>
            <w:noWrap/>
            <w:vAlign w:val="center"/>
            <w:hideMark/>
          </w:tcPr>
          <w:p w14:paraId="17B8ECFC"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3606ED0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42BF1F7F"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(38,424)</w:t>
            </w:r>
          </w:p>
        </w:tc>
        <w:tc>
          <w:tcPr>
            <w:tcW w:w="982" w:type="pct"/>
            <w:tcBorders>
              <w:top w:val="nil"/>
              <w:left w:val="nil"/>
              <w:bottom w:val="nil"/>
              <w:right w:val="nil"/>
            </w:tcBorders>
            <w:vAlign w:val="center"/>
            <w:hideMark/>
          </w:tcPr>
          <w:p w14:paraId="392826B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5461798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38,424</w:t>
            </w:r>
          </w:p>
        </w:tc>
      </w:tr>
      <w:tr w:rsidR="000E25EA" w:rsidRPr="000E25EA" w14:paraId="21AA31AF" w14:textId="77777777" w:rsidTr="00354ABF">
        <w:trPr>
          <w:trHeight w:val="270"/>
        </w:trPr>
        <w:tc>
          <w:tcPr>
            <w:tcW w:w="1723" w:type="pct"/>
            <w:tcBorders>
              <w:top w:val="nil"/>
              <w:left w:val="nil"/>
              <w:bottom w:val="nil"/>
              <w:right w:val="nil"/>
            </w:tcBorders>
            <w:noWrap/>
            <w:vAlign w:val="center"/>
            <w:hideMark/>
          </w:tcPr>
          <w:p w14:paraId="4EC27925"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5FC9CB4C"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3,565,565</w:t>
            </w:r>
          </w:p>
        </w:tc>
        <w:tc>
          <w:tcPr>
            <w:tcW w:w="1020" w:type="pct"/>
            <w:tcBorders>
              <w:top w:val="single" w:sz="4" w:space="0" w:color="auto"/>
              <w:left w:val="nil"/>
              <w:bottom w:val="double" w:sz="6" w:space="0" w:color="auto"/>
              <w:right w:val="nil"/>
            </w:tcBorders>
            <w:vAlign w:val="center"/>
            <w:hideMark/>
          </w:tcPr>
          <w:p w14:paraId="5B890836"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1,567,142</w:t>
            </w:r>
          </w:p>
        </w:tc>
        <w:tc>
          <w:tcPr>
            <w:tcW w:w="982" w:type="pct"/>
            <w:tcBorders>
              <w:top w:val="single" w:sz="4" w:space="0" w:color="auto"/>
              <w:left w:val="nil"/>
              <w:bottom w:val="double" w:sz="6" w:space="0" w:color="auto"/>
              <w:right w:val="nil"/>
            </w:tcBorders>
            <w:vAlign w:val="center"/>
            <w:hideMark/>
          </w:tcPr>
          <w:p w14:paraId="330CE525"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10BF9B01"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151,486</w:t>
            </w:r>
          </w:p>
        </w:tc>
      </w:tr>
      <w:tr w:rsidR="000E25EA" w:rsidRPr="000E25EA" w14:paraId="51C40EDD" w14:textId="77777777" w:rsidTr="00354ABF">
        <w:trPr>
          <w:trHeight w:val="260"/>
        </w:trPr>
        <w:tc>
          <w:tcPr>
            <w:tcW w:w="1723" w:type="pct"/>
            <w:tcBorders>
              <w:top w:val="nil"/>
              <w:left w:val="nil"/>
              <w:bottom w:val="nil"/>
              <w:right w:val="nil"/>
            </w:tcBorders>
            <w:vAlign w:val="center"/>
            <w:hideMark/>
          </w:tcPr>
          <w:p w14:paraId="2314C7EF"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2027</w:t>
            </w:r>
          </w:p>
        </w:tc>
        <w:tc>
          <w:tcPr>
            <w:tcW w:w="509" w:type="pct"/>
            <w:tcBorders>
              <w:top w:val="nil"/>
              <w:left w:val="nil"/>
              <w:bottom w:val="nil"/>
              <w:right w:val="nil"/>
            </w:tcBorders>
            <w:vAlign w:val="center"/>
            <w:hideMark/>
          </w:tcPr>
          <w:p w14:paraId="0F11FA88" w14:textId="0C784194"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3FC4DB58" w14:textId="7C788B47"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7E1F91B0" w14:textId="37840BB2"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1C24FB29" w14:textId="5FC16A87" w:rsidR="000E25EA" w:rsidRPr="000E25EA" w:rsidRDefault="000E25EA" w:rsidP="00E34FD9">
            <w:pPr>
              <w:spacing w:before="0" w:after="0"/>
              <w:jc w:val="right"/>
              <w:rPr>
                <w:rFonts w:ascii="Times New Roman" w:hAnsi="Times New Roman"/>
                <w:sz w:val="16"/>
                <w:szCs w:val="16"/>
              </w:rPr>
            </w:pPr>
          </w:p>
        </w:tc>
      </w:tr>
      <w:tr w:rsidR="000E25EA" w:rsidRPr="000E25EA" w14:paraId="45EAA596" w14:textId="77777777" w:rsidTr="00354ABF">
        <w:trPr>
          <w:trHeight w:val="260"/>
        </w:trPr>
        <w:tc>
          <w:tcPr>
            <w:tcW w:w="1723" w:type="pct"/>
            <w:tcBorders>
              <w:top w:val="nil"/>
              <w:left w:val="nil"/>
              <w:bottom w:val="nil"/>
              <w:right w:val="nil"/>
            </w:tcBorders>
            <w:noWrap/>
            <w:vAlign w:val="center"/>
            <w:hideMark/>
          </w:tcPr>
          <w:p w14:paraId="697B0C40"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65DFECB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3,565,565</w:t>
            </w:r>
          </w:p>
        </w:tc>
        <w:tc>
          <w:tcPr>
            <w:tcW w:w="1020" w:type="pct"/>
            <w:tcBorders>
              <w:top w:val="nil"/>
              <w:left w:val="nil"/>
              <w:bottom w:val="nil"/>
              <w:right w:val="nil"/>
            </w:tcBorders>
            <w:vAlign w:val="center"/>
            <w:hideMark/>
          </w:tcPr>
          <w:p w14:paraId="5A89AD2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1,567,142</w:t>
            </w:r>
          </w:p>
        </w:tc>
        <w:tc>
          <w:tcPr>
            <w:tcW w:w="982" w:type="pct"/>
            <w:tcBorders>
              <w:top w:val="nil"/>
              <w:left w:val="nil"/>
              <w:bottom w:val="nil"/>
              <w:right w:val="nil"/>
            </w:tcBorders>
            <w:vAlign w:val="center"/>
            <w:hideMark/>
          </w:tcPr>
          <w:p w14:paraId="6EC4AE9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0A6AFFF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151,486</w:t>
            </w:r>
          </w:p>
        </w:tc>
      </w:tr>
      <w:tr w:rsidR="000E25EA" w:rsidRPr="000E25EA" w14:paraId="7DB217DF" w14:textId="77777777" w:rsidTr="00354ABF">
        <w:trPr>
          <w:trHeight w:val="260"/>
        </w:trPr>
        <w:tc>
          <w:tcPr>
            <w:tcW w:w="1723" w:type="pct"/>
            <w:tcBorders>
              <w:top w:val="nil"/>
              <w:left w:val="nil"/>
              <w:bottom w:val="nil"/>
              <w:right w:val="nil"/>
            </w:tcBorders>
            <w:noWrap/>
            <w:vAlign w:val="center"/>
            <w:hideMark/>
          </w:tcPr>
          <w:p w14:paraId="55DF32D3"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15CC929F"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73,360</w:t>
            </w:r>
          </w:p>
        </w:tc>
        <w:tc>
          <w:tcPr>
            <w:tcW w:w="1020" w:type="pct"/>
            <w:tcBorders>
              <w:top w:val="nil"/>
              <w:left w:val="nil"/>
              <w:bottom w:val="nil"/>
              <w:right w:val="nil"/>
            </w:tcBorders>
            <w:vAlign w:val="center"/>
            <w:hideMark/>
          </w:tcPr>
          <w:p w14:paraId="64219C5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73,360</w:t>
            </w:r>
          </w:p>
        </w:tc>
        <w:tc>
          <w:tcPr>
            <w:tcW w:w="982" w:type="pct"/>
            <w:tcBorders>
              <w:top w:val="nil"/>
              <w:left w:val="nil"/>
              <w:bottom w:val="nil"/>
              <w:right w:val="nil"/>
            </w:tcBorders>
            <w:vAlign w:val="center"/>
            <w:hideMark/>
          </w:tcPr>
          <w:p w14:paraId="78770FB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0AA1D697"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05824F95" w14:textId="77777777" w:rsidTr="00354ABF">
        <w:trPr>
          <w:trHeight w:val="260"/>
        </w:trPr>
        <w:tc>
          <w:tcPr>
            <w:tcW w:w="1723" w:type="pct"/>
            <w:tcBorders>
              <w:top w:val="nil"/>
              <w:left w:val="nil"/>
              <w:bottom w:val="nil"/>
              <w:right w:val="nil"/>
            </w:tcBorders>
            <w:noWrap/>
            <w:vAlign w:val="center"/>
            <w:hideMark/>
          </w:tcPr>
          <w:p w14:paraId="344ACEFB"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75182E4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3BB3BA6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7902B0D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77474DD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4668EDB6" w14:textId="77777777" w:rsidTr="00354ABF">
        <w:trPr>
          <w:trHeight w:val="260"/>
        </w:trPr>
        <w:tc>
          <w:tcPr>
            <w:tcW w:w="1723" w:type="pct"/>
            <w:tcBorders>
              <w:top w:val="nil"/>
              <w:left w:val="nil"/>
              <w:bottom w:val="nil"/>
              <w:right w:val="nil"/>
            </w:tcBorders>
            <w:noWrap/>
            <w:vAlign w:val="center"/>
            <w:hideMark/>
          </w:tcPr>
          <w:p w14:paraId="7333C132"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230FE61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33FB4A37"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(8,298)</w:t>
            </w:r>
          </w:p>
        </w:tc>
        <w:tc>
          <w:tcPr>
            <w:tcW w:w="982" w:type="pct"/>
            <w:tcBorders>
              <w:top w:val="nil"/>
              <w:left w:val="nil"/>
              <w:bottom w:val="nil"/>
              <w:right w:val="nil"/>
            </w:tcBorders>
            <w:vAlign w:val="center"/>
            <w:hideMark/>
          </w:tcPr>
          <w:p w14:paraId="4A5AE07E"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1B632AA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8,298</w:t>
            </w:r>
          </w:p>
        </w:tc>
      </w:tr>
      <w:tr w:rsidR="000E25EA" w:rsidRPr="000E25EA" w14:paraId="34DB02B8" w14:textId="77777777" w:rsidTr="00354ABF">
        <w:trPr>
          <w:trHeight w:val="270"/>
        </w:trPr>
        <w:tc>
          <w:tcPr>
            <w:tcW w:w="1723" w:type="pct"/>
            <w:tcBorders>
              <w:top w:val="nil"/>
              <w:left w:val="nil"/>
              <w:bottom w:val="nil"/>
              <w:right w:val="nil"/>
            </w:tcBorders>
            <w:hideMark/>
          </w:tcPr>
          <w:p w14:paraId="4274482B"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0AC31E0C"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3,638,925</w:t>
            </w:r>
          </w:p>
        </w:tc>
        <w:tc>
          <w:tcPr>
            <w:tcW w:w="1020" w:type="pct"/>
            <w:tcBorders>
              <w:top w:val="single" w:sz="4" w:space="0" w:color="auto"/>
              <w:left w:val="nil"/>
              <w:bottom w:val="double" w:sz="6" w:space="0" w:color="auto"/>
              <w:right w:val="nil"/>
            </w:tcBorders>
            <w:vAlign w:val="center"/>
            <w:hideMark/>
          </w:tcPr>
          <w:p w14:paraId="7A64598C"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1,632,204</w:t>
            </w:r>
          </w:p>
        </w:tc>
        <w:tc>
          <w:tcPr>
            <w:tcW w:w="982" w:type="pct"/>
            <w:tcBorders>
              <w:top w:val="single" w:sz="4" w:space="0" w:color="auto"/>
              <w:left w:val="nil"/>
              <w:bottom w:val="double" w:sz="6" w:space="0" w:color="auto"/>
              <w:right w:val="nil"/>
            </w:tcBorders>
            <w:vAlign w:val="center"/>
            <w:hideMark/>
          </w:tcPr>
          <w:p w14:paraId="76CC409D"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14D7C631"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159,784</w:t>
            </w:r>
          </w:p>
        </w:tc>
      </w:tr>
      <w:tr w:rsidR="000E25EA" w:rsidRPr="000E25EA" w14:paraId="4184A4D0" w14:textId="77777777" w:rsidTr="00354ABF">
        <w:trPr>
          <w:trHeight w:val="260"/>
        </w:trPr>
        <w:tc>
          <w:tcPr>
            <w:tcW w:w="1723" w:type="pct"/>
            <w:tcBorders>
              <w:top w:val="nil"/>
              <w:left w:val="nil"/>
              <w:bottom w:val="nil"/>
              <w:right w:val="nil"/>
            </w:tcBorders>
            <w:vAlign w:val="center"/>
            <w:hideMark/>
          </w:tcPr>
          <w:p w14:paraId="2E7D8C9B"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2028</w:t>
            </w:r>
          </w:p>
        </w:tc>
        <w:tc>
          <w:tcPr>
            <w:tcW w:w="509" w:type="pct"/>
            <w:tcBorders>
              <w:top w:val="nil"/>
              <w:left w:val="nil"/>
              <w:bottom w:val="nil"/>
              <w:right w:val="nil"/>
            </w:tcBorders>
            <w:vAlign w:val="center"/>
            <w:hideMark/>
          </w:tcPr>
          <w:p w14:paraId="737FBCBB" w14:textId="506F331C"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06783598" w14:textId="5508AA3D"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4CACABCF" w14:textId="4877C3AC"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174808C1" w14:textId="359A6B56" w:rsidR="000E25EA" w:rsidRPr="000E25EA" w:rsidRDefault="000E25EA" w:rsidP="00E34FD9">
            <w:pPr>
              <w:spacing w:before="0" w:after="0"/>
              <w:jc w:val="right"/>
              <w:rPr>
                <w:rFonts w:ascii="Times New Roman" w:hAnsi="Times New Roman"/>
                <w:sz w:val="16"/>
                <w:szCs w:val="16"/>
              </w:rPr>
            </w:pPr>
          </w:p>
        </w:tc>
      </w:tr>
      <w:tr w:rsidR="000E25EA" w:rsidRPr="000E25EA" w14:paraId="740855CD" w14:textId="77777777" w:rsidTr="00354ABF">
        <w:trPr>
          <w:trHeight w:val="260"/>
        </w:trPr>
        <w:tc>
          <w:tcPr>
            <w:tcW w:w="1723" w:type="pct"/>
            <w:tcBorders>
              <w:top w:val="nil"/>
              <w:left w:val="nil"/>
              <w:bottom w:val="nil"/>
              <w:right w:val="nil"/>
            </w:tcBorders>
            <w:noWrap/>
            <w:vAlign w:val="center"/>
            <w:hideMark/>
          </w:tcPr>
          <w:p w14:paraId="18B38B18"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036908A2"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3,638,925</w:t>
            </w:r>
          </w:p>
        </w:tc>
        <w:tc>
          <w:tcPr>
            <w:tcW w:w="1020" w:type="pct"/>
            <w:tcBorders>
              <w:top w:val="nil"/>
              <w:left w:val="nil"/>
              <w:bottom w:val="nil"/>
              <w:right w:val="nil"/>
            </w:tcBorders>
            <w:vAlign w:val="center"/>
            <w:hideMark/>
          </w:tcPr>
          <w:p w14:paraId="6F7CDBE2"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1,632,204</w:t>
            </w:r>
          </w:p>
        </w:tc>
        <w:tc>
          <w:tcPr>
            <w:tcW w:w="982" w:type="pct"/>
            <w:tcBorders>
              <w:top w:val="nil"/>
              <w:left w:val="nil"/>
              <w:bottom w:val="nil"/>
              <w:right w:val="nil"/>
            </w:tcBorders>
            <w:vAlign w:val="center"/>
            <w:hideMark/>
          </w:tcPr>
          <w:p w14:paraId="240C4D5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06FEB23C"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159,784</w:t>
            </w:r>
          </w:p>
        </w:tc>
      </w:tr>
      <w:tr w:rsidR="000E25EA" w:rsidRPr="000E25EA" w14:paraId="33590F0A" w14:textId="77777777" w:rsidTr="00354ABF">
        <w:trPr>
          <w:trHeight w:val="260"/>
        </w:trPr>
        <w:tc>
          <w:tcPr>
            <w:tcW w:w="1723" w:type="pct"/>
            <w:tcBorders>
              <w:top w:val="nil"/>
              <w:left w:val="nil"/>
              <w:bottom w:val="nil"/>
              <w:right w:val="nil"/>
            </w:tcBorders>
            <w:noWrap/>
            <w:vAlign w:val="center"/>
            <w:hideMark/>
          </w:tcPr>
          <w:p w14:paraId="7ED0878A"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3397B51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78,009</w:t>
            </w:r>
          </w:p>
        </w:tc>
        <w:tc>
          <w:tcPr>
            <w:tcW w:w="1020" w:type="pct"/>
            <w:tcBorders>
              <w:top w:val="nil"/>
              <w:left w:val="nil"/>
              <w:bottom w:val="nil"/>
              <w:right w:val="nil"/>
            </w:tcBorders>
            <w:vAlign w:val="center"/>
            <w:hideMark/>
          </w:tcPr>
          <w:p w14:paraId="5E0BDCA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78,009</w:t>
            </w:r>
          </w:p>
        </w:tc>
        <w:tc>
          <w:tcPr>
            <w:tcW w:w="982" w:type="pct"/>
            <w:tcBorders>
              <w:top w:val="nil"/>
              <w:left w:val="nil"/>
              <w:bottom w:val="nil"/>
              <w:right w:val="nil"/>
            </w:tcBorders>
            <w:vAlign w:val="center"/>
            <w:hideMark/>
          </w:tcPr>
          <w:p w14:paraId="081D82BC"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6F2D2E6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7DDF845F" w14:textId="77777777" w:rsidTr="00354ABF">
        <w:trPr>
          <w:trHeight w:val="260"/>
        </w:trPr>
        <w:tc>
          <w:tcPr>
            <w:tcW w:w="1723" w:type="pct"/>
            <w:tcBorders>
              <w:top w:val="nil"/>
              <w:left w:val="nil"/>
              <w:bottom w:val="nil"/>
              <w:right w:val="nil"/>
            </w:tcBorders>
            <w:noWrap/>
            <w:vAlign w:val="center"/>
            <w:hideMark/>
          </w:tcPr>
          <w:p w14:paraId="7AA2B757"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4252C7B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7CC468C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15F4AE6E"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66D4697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03A7FA1B" w14:textId="77777777" w:rsidTr="00354ABF">
        <w:trPr>
          <w:trHeight w:val="260"/>
        </w:trPr>
        <w:tc>
          <w:tcPr>
            <w:tcW w:w="1723" w:type="pct"/>
            <w:tcBorders>
              <w:top w:val="nil"/>
              <w:left w:val="nil"/>
              <w:bottom w:val="nil"/>
              <w:right w:val="nil"/>
            </w:tcBorders>
            <w:noWrap/>
            <w:vAlign w:val="center"/>
            <w:hideMark/>
          </w:tcPr>
          <w:p w14:paraId="02E637E9"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547B7CEF"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2074BB8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(7,986)</w:t>
            </w:r>
          </w:p>
        </w:tc>
        <w:tc>
          <w:tcPr>
            <w:tcW w:w="982" w:type="pct"/>
            <w:tcBorders>
              <w:top w:val="nil"/>
              <w:left w:val="nil"/>
              <w:bottom w:val="nil"/>
              <w:right w:val="nil"/>
            </w:tcBorders>
            <w:vAlign w:val="center"/>
            <w:hideMark/>
          </w:tcPr>
          <w:p w14:paraId="394B410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170A5D3F"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7,986</w:t>
            </w:r>
          </w:p>
        </w:tc>
      </w:tr>
      <w:tr w:rsidR="000E25EA" w:rsidRPr="000E25EA" w14:paraId="64DF2DF6" w14:textId="77777777" w:rsidTr="00354ABF">
        <w:trPr>
          <w:trHeight w:val="270"/>
        </w:trPr>
        <w:tc>
          <w:tcPr>
            <w:tcW w:w="1723" w:type="pct"/>
            <w:tcBorders>
              <w:top w:val="nil"/>
              <w:left w:val="nil"/>
              <w:bottom w:val="nil"/>
              <w:right w:val="nil"/>
            </w:tcBorders>
            <w:hideMark/>
          </w:tcPr>
          <w:p w14:paraId="5E328478"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4A39C8E3"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3,716,934</w:t>
            </w:r>
          </w:p>
        </w:tc>
        <w:tc>
          <w:tcPr>
            <w:tcW w:w="1020" w:type="pct"/>
            <w:tcBorders>
              <w:top w:val="single" w:sz="4" w:space="0" w:color="auto"/>
              <w:left w:val="nil"/>
              <w:bottom w:val="double" w:sz="6" w:space="0" w:color="auto"/>
              <w:right w:val="nil"/>
            </w:tcBorders>
            <w:vAlign w:val="center"/>
            <w:hideMark/>
          </w:tcPr>
          <w:p w14:paraId="25DC875B"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1,702,227</w:t>
            </w:r>
          </w:p>
        </w:tc>
        <w:tc>
          <w:tcPr>
            <w:tcW w:w="982" w:type="pct"/>
            <w:tcBorders>
              <w:top w:val="single" w:sz="4" w:space="0" w:color="auto"/>
              <w:left w:val="nil"/>
              <w:bottom w:val="double" w:sz="6" w:space="0" w:color="auto"/>
              <w:right w:val="nil"/>
            </w:tcBorders>
            <w:vAlign w:val="center"/>
            <w:hideMark/>
          </w:tcPr>
          <w:p w14:paraId="18416E33"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212D6096"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167,770</w:t>
            </w:r>
          </w:p>
        </w:tc>
      </w:tr>
      <w:tr w:rsidR="000E25EA" w:rsidRPr="000E25EA" w14:paraId="5CB148EA" w14:textId="77777777" w:rsidTr="00354ABF">
        <w:trPr>
          <w:trHeight w:val="270"/>
        </w:trPr>
        <w:tc>
          <w:tcPr>
            <w:tcW w:w="1723" w:type="pct"/>
            <w:tcBorders>
              <w:top w:val="nil"/>
              <w:left w:val="nil"/>
              <w:bottom w:val="nil"/>
              <w:right w:val="nil"/>
            </w:tcBorders>
            <w:vAlign w:val="bottom"/>
            <w:hideMark/>
          </w:tcPr>
          <w:p w14:paraId="60F31D8B" w14:textId="77777777" w:rsidR="000E25EA" w:rsidRPr="000E25EA" w:rsidRDefault="000E25EA" w:rsidP="000E25EA">
            <w:pPr>
              <w:spacing w:before="0" w:after="0"/>
              <w:rPr>
                <w:rFonts w:ascii="Times New Roman" w:hAnsi="Times New Roman"/>
                <w:sz w:val="16"/>
                <w:szCs w:val="16"/>
              </w:rPr>
            </w:pPr>
            <w:r w:rsidRPr="000E25EA">
              <w:rPr>
                <w:rFonts w:ascii="Times New Roman" w:hAnsi="Times New Roman"/>
                <w:sz w:val="16"/>
                <w:szCs w:val="16"/>
              </w:rPr>
              <w:t> </w:t>
            </w:r>
          </w:p>
        </w:tc>
        <w:tc>
          <w:tcPr>
            <w:tcW w:w="509" w:type="pct"/>
            <w:tcBorders>
              <w:top w:val="nil"/>
              <w:left w:val="nil"/>
              <w:bottom w:val="nil"/>
              <w:right w:val="nil"/>
            </w:tcBorders>
            <w:vAlign w:val="center"/>
            <w:hideMark/>
          </w:tcPr>
          <w:p w14:paraId="35240807" w14:textId="00149185"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4254B8BA" w14:textId="301F5589"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473F9CA6" w14:textId="3D2147C8"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6E69676A" w14:textId="40CB910F" w:rsidR="000E25EA" w:rsidRPr="000E25EA" w:rsidRDefault="000E25EA" w:rsidP="00E34FD9">
            <w:pPr>
              <w:spacing w:before="0" w:after="0"/>
              <w:jc w:val="right"/>
              <w:rPr>
                <w:rFonts w:ascii="Times New Roman" w:hAnsi="Times New Roman"/>
                <w:sz w:val="16"/>
                <w:szCs w:val="16"/>
              </w:rPr>
            </w:pPr>
          </w:p>
        </w:tc>
      </w:tr>
      <w:tr w:rsidR="00A46043" w:rsidRPr="000E25EA" w14:paraId="444FE51C" w14:textId="77777777" w:rsidTr="00354ABF">
        <w:trPr>
          <w:trHeight w:val="260"/>
        </w:trPr>
        <w:tc>
          <w:tcPr>
            <w:tcW w:w="1723" w:type="pct"/>
            <w:tcBorders>
              <w:top w:val="nil"/>
              <w:left w:val="nil"/>
              <w:bottom w:val="nil"/>
              <w:right w:val="nil"/>
            </w:tcBorders>
            <w:vAlign w:val="center"/>
          </w:tcPr>
          <w:p w14:paraId="29E52C0C" w14:textId="77777777" w:rsidR="00A46043" w:rsidRPr="000E25EA" w:rsidRDefault="00A46043" w:rsidP="000E25EA">
            <w:pPr>
              <w:spacing w:before="0" w:after="0"/>
              <w:rPr>
                <w:rFonts w:ascii="Arial" w:hAnsi="Arial" w:cs="Arial"/>
                <w:b/>
                <w:bCs/>
                <w:sz w:val="16"/>
                <w:szCs w:val="16"/>
              </w:rPr>
            </w:pPr>
          </w:p>
        </w:tc>
        <w:tc>
          <w:tcPr>
            <w:tcW w:w="509" w:type="pct"/>
            <w:tcBorders>
              <w:top w:val="nil"/>
              <w:left w:val="nil"/>
              <w:bottom w:val="nil"/>
              <w:right w:val="nil"/>
            </w:tcBorders>
            <w:vAlign w:val="center"/>
          </w:tcPr>
          <w:p w14:paraId="57D79250" w14:textId="77777777" w:rsidR="00A46043" w:rsidRPr="000E25EA" w:rsidRDefault="00A46043"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tcPr>
          <w:p w14:paraId="0414EB9F" w14:textId="77777777" w:rsidR="00A46043" w:rsidRPr="000E25EA" w:rsidRDefault="00A46043"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tcPr>
          <w:p w14:paraId="319FDD19" w14:textId="77777777" w:rsidR="00A46043" w:rsidRPr="000E25EA" w:rsidRDefault="00A46043"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tcPr>
          <w:p w14:paraId="5CF1D39C" w14:textId="77777777" w:rsidR="00A46043" w:rsidRPr="000E25EA" w:rsidRDefault="00A46043" w:rsidP="00E34FD9">
            <w:pPr>
              <w:spacing w:before="0" w:after="0"/>
              <w:jc w:val="right"/>
              <w:rPr>
                <w:rFonts w:ascii="Times New Roman" w:hAnsi="Times New Roman"/>
                <w:sz w:val="16"/>
                <w:szCs w:val="16"/>
              </w:rPr>
            </w:pPr>
          </w:p>
        </w:tc>
      </w:tr>
      <w:tr w:rsidR="000E25EA" w:rsidRPr="000E25EA" w14:paraId="66EC8C9D" w14:textId="77777777" w:rsidTr="00354ABF">
        <w:trPr>
          <w:trHeight w:val="260"/>
        </w:trPr>
        <w:tc>
          <w:tcPr>
            <w:tcW w:w="1723" w:type="pct"/>
            <w:tcBorders>
              <w:top w:val="nil"/>
              <w:left w:val="nil"/>
              <w:bottom w:val="nil"/>
              <w:right w:val="nil"/>
            </w:tcBorders>
            <w:vAlign w:val="center"/>
            <w:hideMark/>
          </w:tcPr>
          <w:p w14:paraId="18471925"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2029</w:t>
            </w:r>
          </w:p>
        </w:tc>
        <w:tc>
          <w:tcPr>
            <w:tcW w:w="509" w:type="pct"/>
            <w:tcBorders>
              <w:top w:val="nil"/>
              <w:left w:val="nil"/>
              <w:bottom w:val="nil"/>
              <w:right w:val="nil"/>
            </w:tcBorders>
            <w:vAlign w:val="center"/>
            <w:hideMark/>
          </w:tcPr>
          <w:p w14:paraId="5A8E4D11" w14:textId="5C88B846"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202F72F3" w14:textId="04124EBE"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57598BB9" w14:textId="4D63856C"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215221EF" w14:textId="7E025520" w:rsidR="000E25EA" w:rsidRPr="000E25EA" w:rsidRDefault="000E25EA" w:rsidP="00E34FD9">
            <w:pPr>
              <w:spacing w:before="0" w:after="0"/>
              <w:jc w:val="right"/>
              <w:rPr>
                <w:rFonts w:ascii="Times New Roman" w:hAnsi="Times New Roman"/>
                <w:sz w:val="16"/>
                <w:szCs w:val="16"/>
              </w:rPr>
            </w:pPr>
          </w:p>
        </w:tc>
      </w:tr>
      <w:tr w:rsidR="000E25EA" w:rsidRPr="000E25EA" w14:paraId="08FC8B1D" w14:textId="77777777" w:rsidTr="00354ABF">
        <w:trPr>
          <w:trHeight w:val="260"/>
        </w:trPr>
        <w:tc>
          <w:tcPr>
            <w:tcW w:w="1723" w:type="pct"/>
            <w:tcBorders>
              <w:top w:val="nil"/>
              <w:left w:val="nil"/>
              <w:bottom w:val="nil"/>
              <w:right w:val="nil"/>
            </w:tcBorders>
            <w:noWrap/>
            <w:vAlign w:val="center"/>
            <w:hideMark/>
          </w:tcPr>
          <w:p w14:paraId="1BDB451E"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3E4A38B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3,716,934</w:t>
            </w:r>
          </w:p>
        </w:tc>
        <w:tc>
          <w:tcPr>
            <w:tcW w:w="1020" w:type="pct"/>
            <w:tcBorders>
              <w:top w:val="nil"/>
              <w:left w:val="nil"/>
              <w:bottom w:val="nil"/>
              <w:right w:val="nil"/>
            </w:tcBorders>
            <w:vAlign w:val="center"/>
            <w:hideMark/>
          </w:tcPr>
          <w:p w14:paraId="406EE24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1,702,227</w:t>
            </w:r>
          </w:p>
        </w:tc>
        <w:tc>
          <w:tcPr>
            <w:tcW w:w="982" w:type="pct"/>
            <w:tcBorders>
              <w:top w:val="nil"/>
              <w:left w:val="nil"/>
              <w:bottom w:val="nil"/>
              <w:right w:val="nil"/>
            </w:tcBorders>
            <w:vAlign w:val="center"/>
            <w:hideMark/>
          </w:tcPr>
          <w:p w14:paraId="78EBAC2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0438901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167,770</w:t>
            </w:r>
          </w:p>
        </w:tc>
      </w:tr>
      <w:tr w:rsidR="000E25EA" w:rsidRPr="000E25EA" w14:paraId="4F58A7D9" w14:textId="77777777" w:rsidTr="00354ABF">
        <w:trPr>
          <w:trHeight w:val="260"/>
        </w:trPr>
        <w:tc>
          <w:tcPr>
            <w:tcW w:w="1723" w:type="pct"/>
            <w:tcBorders>
              <w:top w:val="nil"/>
              <w:left w:val="nil"/>
              <w:bottom w:val="nil"/>
              <w:right w:val="nil"/>
            </w:tcBorders>
            <w:noWrap/>
            <w:vAlign w:val="center"/>
            <w:hideMark/>
          </w:tcPr>
          <w:p w14:paraId="5B719952"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0261EA5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66,621</w:t>
            </w:r>
          </w:p>
        </w:tc>
        <w:tc>
          <w:tcPr>
            <w:tcW w:w="1020" w:type="pct"/>
            <w:tcBorders>
              <w:top w:val="nil"/>
              <w:left w:val="nil"/>
              <w:bottom w:val="nil"/>
              <w:right w:val="nil"/>
            </w:tcBorders>
            <w:vAlign w:val="center"/>
            <w:hideMark/>
          </w:tcPr>
          <w:p w14:paraId="0168216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66,621</w:t>
            </w:r>
          </w:p>
        </w:tc>
        <w:tc>
          <w:tcPr>
            <w:tcW w:w="982" w:type="pct"/>
            <w:tcBorders>
              <w:top w:val="nil"/>
              <w:left w:val="nil"/>
              <w:bottom w:val="nil"/>
              <w:right w:val="nil"/>
            </w:tcBorders>
            <w:vAlign w:val="center"/>
            <w:hideMark/>
          </w:tcPr>
          <w:p w14:paraId="12D5B0A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2AE5DCE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36E9EC1F" w14:textId="77777777" w:rsidTr="00354ABF">
        <w:trPr>
          <w:trHeight w:val="260"/>
        </w:trPr>
        <w:tc>
          <w:tcPr>
            <w:tcW w:w="1723" w:type="pct"/>
            <w:tcBorders>
              <w:top w:val="nil"/>
              <w:left w:val="nil"/>
              <w:bottom w:val="nil"/>
              <w:right w:val="nil"/>
            </w:tcBorders>
            <w:noWrap/>
            <w:vAlign w:val="center"/>
            <w:hideMark/>
          </w:tcPr>
          <w:p w14:paraId="172C0DA5"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72740D2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692866B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4DF8FEC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6451F32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7376C989" w14:textId="77777777" w:rsidTr="00354ABF">
        <w:trPr>
          <w:trHeight w:val="260"/>
        </w:trPr>
        <w:tc>
          <w:tcPr>
            <w:tcW w:w="1723" w:type="pct"/>
            <w:tcBorders>
              <w:top w:val="nil"/>
              <w:left w:val="nil"/>
              <w:bottom w:val="nil"/>
              <w:right w:val="nil"/>
            </w:tcBorders>
            <w:noWrap/>
            <w:vAlign w:val="center"/>
            <w:hideMark/>
          </w:tcPr>
          <w:p w14:paraId="471429A4"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50A8C5C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75B7B3DC"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9,700</w:t>
            </w:r>
          </w:p>
        </w:tc>
        <w:tc>
          <w:tcPr>
            <w:tcW w:w="982" w:type="pct"/>
            <w:tcBorders>
              <w:top w:val="nil"/>
              <w:left w:val="nil"/>
              <w:bottom w:val="nil"/>
              <w:right w:val="nil"/>
            </w:tcBorders>
            <w:vAlign w:val="center"/>
            <w:hideMark/>
          </w:tcPr>
          <w:p w14:paraId="237BFFF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6716DF0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(9,700)</w:t>
            </w:r>
          </w:p>
        </w:tc>
      </w:tr>
      <w:tr w:rsidR="000E25EA" w:rsidRPr="000E25EA" w14:paraId="015D28ED" w14:textId="77777777" w:rsidTr="00354ABF">
        <w:trPr>
          <w:trHeight w:val="270"/>
        </w:trPr>
        <w:tc>
          <w:tcPr>
            <w:tcW w:w="1723" w:type="pct"/>
            <w:tcBorders>
              <w:top w:val="nil"/>
              <w:left w:val="nil"/>
              <w:bottom w:val="nil"/>
              <w:right w:val="nil"/>
            </w:tcBorders>
            <w:hideMark/>
          </w:tcPr>
          <w:p w14:paraId="2F1E7D3D"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77EC1435"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3,783,556</w:t>
            </w:r>
          </w:p>
        </w:tc>
        <w:tc>
          <w:tcPr>
            <w:tcW w:w="1020" w:type="pct"/>
            <w:tcBorders>
              <w:top w:val="single" w:sz="4" w:space="0" w:color="auto"/>
              <w:left w:val="nil"/>
              <w:bottom w:val="double" w:sz="6" w:space="0" w:color="auto"/>
              <w:right w:val="nil"/>
            </w:tcBorders>
            <w:vAlign w:val="center"/>
            <w:hideMark/>
          </w:tcPr>
          <w:p w14:paraId="36D023C6"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1,778,549</w:t>
            </w:r>
          </w:p>
        </w:tc>
        <w:tc>
          <w:tcPr>
            <w:tcW w:w="982" w:type="pct"/>
            <w:tcBorders>
              <w:top w:val="single" w:sz="4" w:space="0" w:color="auto"/>
              <w:left w:val="nil"/>
              <w:bottom w:val="double" w:sz="6" w:space="0" w:color="auto"/>
              <w:right w:val="nil"/>
            </w:tcBorders>
            <w:vAlign w:val="center"/>
            <w:hideMark/>
          </w:tcPr>
          <w:p w14:paraId="69F939C5"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192A286A"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158,070</w:t>
            </w:r>
          </w:p>
        </w:tc>
      </w:tr>
      <w:tr w:rsidR="000E25EA" w:rsidRPr="000E25EA" w14:paraId="32BF8565" w14:textId="77777777" w:rsidTr="00354ABF">
        <w:trPr>
          <w:trHeight w:val="260"/>
        </w:trPr>
        <w:tc>
          <w:tcPr>
            <w:tcW w:w="1723" w:type="pct"/>
            <w:tcBorders>
              <w:top w:val="nil"/>
              <w:left w:val="nil"/>
              <w:bottom w:val="nil"/>
              <w:right w:val="nil"/>
            </w:tcBorders>
            <w:vAlign w:val="center"/>
            <w:hideMark/>
          </w:tcPr>
          <w:p w14:paraId="066E90A3"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2030</w:t>
            </w:r>
          </w:p>
        </w:tc>
        <w:tc>
          <w:tcPr>
            <w:tcW w:w="509" w:type="pct"/>
            <w:tcBorders>
              <w:top w:val="nil"/>
              <w:left w:val="nil"/>
              <w:bottom w:val="nil"/>
              <w:right w:val="nil"/>
            </w:tcBorders>
            <w:vAlign w:val="center"/>
            <w:hideMark/>
          </w:tcPr>
          <w:p w14:paraId="1549E195" w14:textId="213C0CC6"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4E5FCE7F" w14:textId="17C2B9E9"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4C81AEE9" w14:textId="2462D90B"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261FF324" w14:textId="7F2D33B7" w:rsidR="000E25EA" w:rsidRPr="000E25EA" w:rsidRDefault="000E25EA" w:rsidP="00E34FD9">
            <w:pPr>
              <w:spacing w:before="0" w:after="0"/>
              <w:jc w:val="right"/>
              <w:rPr>
                <w:rFonts w:ascii="Times New Roman" w:hAnsi="Times New Roman"/>
                <w:sz w:val="16"/>
                <w:szCs w:val="16"/>
              </w:rPr>
            </w:pPr>
          </w:p>
        </w:tc>
      </w:tr>
      <w:tr w:rsidR="000E25EA" w:rsidRPr="000E25EA" w14:paraId="364DA2F6" w14:textId="77777777" w:rsidTr="00354ABF">
        <w:trPr>
          <w:trHeight w:val="260"/>
        </w:trPr>
        <w:tc>
          <w:tcPr>
            <w:tcW w:w="1723" w:type="pct"/>
            <w:tcBorders>
              <w:top w:val="nil"/>
              <w:left w:val="nil"/>
              <w:bottom w:val="nil"/>
              <w:right w:val="nil"/>
            </w:tcBorders>
            <w:noWrap/>
            <w:vAlign w:val="center"/>
            <w:hideMark/>
          </w:tcPr>
          <w:p w14:paraId="786D3AF2"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42253FEC"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3,783,556</w:t>
            </w:r>
          </w:p>
        </w:tc>
        <w:tc>
          <w:tcPr>
            <w:tcW w:w="1020" w:type="pct"/>
            <w:tcBorders>
              <w:top w:val="nil"/>
              <w:left w:val="nil"/>
              <w:bottom w:val="nil"/>
              <w:right w:val="nil"/>
            </w:tcBorders>
            <w:vAlign w:val="center"/>
            <w:hideMark/>
          </w:tcPr>
          <w:p w14:paraId="2A120CB7"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1,778,549</w:t>
            </w:r>
          </w:p>
        </w:tc>
        <w:tc>
          <w:tcPr>
            <w:tcW w:w="982" w:type="pct"/>
            <w:tcBorders>
              <w:top w:val="nil"/>
              <w:left w:val="nil"/>
              <w:bottom w:val="nil"/>
              <w:right w:val="nil"/>
            </w:tcBorders>
            <w:vAlign w:val="center"/>
            <w:hideMark/>
          </w:tcPr>
          <w:p w14:paraId="117E830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3D746B8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158,070</w:t>
            </w:r>
          </w:p>
        </w:tc>
      </w:tr>
      <w:tr w:rsidR="000E25EA" w:rsidRPr="000E25EA" w14:paraId="43BFB1C1" w14:textId="77777777" w:rsidTr="00354ABF">
        <w:trPr>
          <w:trHeight w:val="260"/>
        </w:trPr>
        <w:tc>
          <w:tcPr>
            <w:tcW w:w="1723" w:type="pct"/>
            <w:tcBorders>
              <w:top w:val="nil"/>
              <w:left w:val="nil"/>
              <w:bottom w:val="nil"/>
              <w:right w:val="nil"/>
            </w:tcBorders>
            <w:noWrap/>
            <w:vAlign w:val="center"/>
            <w:hideMark/>
          </w:tcPr>
          <w:p w14:paraId="5B718272"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7D8F340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72,027</w:t>
            </w:r>
          </w:p>
        </w:tc>
        <w:tc>
          <w:tcPr>
            <w:tcW w:w="1020" w:type="pct"/>
            <w:tcBorders>
              <w:top w:val="nil"/>
              <w:left w:val="nil"/>
              <w:bottom w:val="nil"/>
              <w:right w:val="nil"/>
            </w:tcBorders>
            <w:vAlign w:val="center"/>
            <w:hideMark/>
          </w:tcPr>
          <w:p w14:paraId="79CBC1B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72,027</w:t>
            </w:r>
          </w:p>
        </w:tc>
        <w:tc>
          <w:tcPr>
            <w:tcW w:w="982" w:type="pct"/>
            <w:tcBorders>
              <w:top w:val="nil"/>
              <w:left w:val="nil"/>
              <w:bottom w:val="nil"/>
              <w:right w:val="nil"/>
            </w:tcBorders>
            <w:vAlign w:val="center"/>
            <w:hideMark/>
          </w:tcPr>
          <w:p w14:paraId="18D2725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5C79B272"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650B6AD6" w14:textId="77777777" w:rsidTr="00354ABF">
        <w:trPr>
          <w:trHeight w:val="260"/>
        </w:trPr>
        <w:tc>
          <w:tcPr>
            <w:tcW w:w="1723" w:type="pct"/>
            <w:tcBorders>
              <w:top w:val="nil"/>
              <w:left w:val="nil"/>
              <w:bottom w:val="nil"/>
              <w:right w:val="nil"/>
            </w:tcBorders>
            <w:noWrap/>
            <w:vAlign w:val="center"/>
            <w:hideMark/>
          </w:tcPr>
          <w:p w14:paraId="2C1319FF"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6BB3742C"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5E7CAD8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7018E88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069D8BDE"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3F6F49D6" w14:textId="77777777" w:rsidTr="00354ABF">
        <w:trPr>
          <w:trHeight w:val="260"/>
        </w:trPr>
        <w:tc>
          <w:tcPr>
            <w:tcW w:w="1723" w:type="pct"/>
            <w:tcBorders>
              <w:top w:val="nil"/>
              <w:left w:val="nil"/>
              <w:bottom w:val="nil"/>
              <w:right w:val="nil"/>
            </w:tcBorders>
            <w:noWrap/>
            <w:vAlign w:val="center"/>
            <w:hideMark/>
          </w:tcPr>
          <w:p w14:paraId="020E6D83"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56F42DF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70948E62"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2,809</w:t>
            </w:r>
          </w:p>
        </w:tc>
        <w:tc>
          <w:tcPr>
            <w:tcW w:w="982" w:type="pct"/>
            <w:tcBorders>
              <w:top w:val="nil"/>
              <w:left w:val="nil"/>
              <w:bottom w:val="nil"/>
              <w:right w:val="nil"/>
            </w:tcBorders>
            <w:vAlign w:val="center"/>
            <w:hideMark/>
          </w:tcPr>
          <w:p w14:paraId="0E27392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11C7F78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(2,809)</w:t>
            </w:r>
          </w:p>
        </w:tc>
      </w:tr>
      <w:tr w:rsidR="000E25EA" w:rsidRPr="000E25EA" w14:paraId="25B78984" w14:textId="77777777" w:rsidTr="00354ABF">
        <w:trPr>
          <w:trHeight w:val="270"/>
        </w:trPr>
        <w:tc>
          <w:tcPr>
            <w:tcW w:w="1723" w:type="pct"/>
            <w:tcBorders>
              <w:top w:val="nil"/>
              <w:left w:val="nil"/>
              <w:bottom w:val="nil"/>
              <w:right w:val="nil"/>
            </w:tcBorders>
            <w:hideMark/>
          </w:tcPr>
          <w:p w14:paraId="2B706A24"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50BE6044"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3,855,583</w:t>
            </w:r>
          </w:p>
        </w:tc>
        <w:tc>
          <w:tcPr>
            <w:tcW w:w="1020" w:type="pct"/>
            <w:tcBorders>
              <w:top w:val="single" w:sz="4" w:space="0" w:color="auto"/>
              <w:left w:val="nil"/>
              <w:bottom w:val="double" w:sz="6" w:space="0" w:color="auto"/>
              <w:right w:val="nil"/>
            </w:tcBorders>
            <w:vAlign w:val="center"/>
            <w:hideMark/>
          </w:tcPr>
          <w:p w14:paraId="327FE513"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1,853,385</w:t>
            </w:r>
          </w:p>
        </w:tc>
        <w:tc>
          <w:tcPr>
            <w:tcW w:w="982" w:type="pct"/>
            <w:tcBorders>
              <w:top w:val="single" w:sz="4" w:space="0" w:color="auto"/>
              <w:left w:val="nil"/>
              <w:bottom w:val="double" w:sz="6" w:space="0" w:color="auto"/>
              <w:right w:val="nil"/>
            </w:tcBorders>
            <w:vAlign w:val="center"/>
            <w:hideMark/>
          </w:tcPr>
          <w:p w14:paraId="6F83D19B"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2F0D20FE"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155,261</w:t>
            </w:r>
          </w:p>
        </w:tc>
      </w:tr>
      <w:tr w:rsidR="000E25EA" w:rsidRPr="000E25EA" w14:paraId="0A9892A8" w14:textId="77777777" w:rsidTr="00354ABF">
        <w:trPr>
          <w:trHeight w:val="260"/>
        </w:trPr>
        <w:tc>
          <w:tcPr>
            <w:tcW w:w="1723" w:type="pct"/>
            <w:tcBorders>
              <w:top w:val="nil"/>
              <w:left w:val="nil"/>
              <w:bottom w:val="nil"/>
              <w:right w:val="nil"/>
            </w:tcBorders>
            <w:vAlign w:val="center"/>
            <w:hideMark/>
          </w:tcPr>
          <w:p w14:paraId="472EEA48"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2031</w:t>
            </w:r>
          </w:p>
        </w:tc>
        <w:tc>
          <w:tcPr>
            <w:tcW w:w="509" w:type="pct"/>
            <w:tcBorders>
              <w:top w:val="nil"/>
              <w:left w:val="nil"/>
              <w:bottom w:val="nil"/>
              <w:right w:val="nil"/>
            </w:tcBorders>
            <w:vAlign w:val="center"/>
            <w:hideMark/>
          </w:tcPr>
          <w:p w14:paraId="0FA48F8E" w14:textId="6385228C"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3724000C" w14:textId="058B4CC0"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7B228E71" w14:textId="4C0C06D7"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77BF8D31" w14:textId="046F3C94" w:rsidR="000E25EA" w:rsidRPr="000E25EA" w:rsidRDefault="000E25EA" w:rsidP="00E34FD9">
            <w:pPr>
              <w:spacing w:before="0" w:after="0"/>
              <w:jc w:val="right"/>
              <w:rPr>
                <w:rFonts w:ascii="Times New Roman" w:hAnsi="Times New Roman"/>
                <w:sz w:val="16"/>
                <w:szCs w:val="16"/>
              </w:rPr>
            </w:pPr>
          </w:p>
        </w:tc>
      </w:tr>
      <w:tr w:rsidR="000E25EA" w:rsidRPr="000E25EA" w14:paraId="6BE2A652" w14:textId="77777777" w:rsidTr="00354ABF">
        <w:trPr>
          <w:trHeight w:val="260"/>
        </w:trPr>
        <w:tc>
          <w:tcPr>
            <w:tcW w:w="1723" w:type="pct"/>
            <w:tcBorders>
              <w:top w:val="nil"/>
              <w:left w:val="nil"/>
              <w:bottom w:val="nil"/>
              <w:right w:val="nil"/>
            </w:tcBorders>
            <w:noWrap/>
            <w:vAlign w:val="center"/>
            <w:hideMark/>
          </w:tcPr>
          <w:p w14:paraId="1A3EE244"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031926F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3,855,583</w:t>
            </w:r>
          </w:p>
        </w:tc>
        <w:tc>
          <w:tcPr>
            <w:tcW w:w="1020" w:type="pct"/>
            <w:tcBorders>
              <w:top w:val="nil"/>
              <w:left w:val="nil"/>
              <w:bottom w:val="nil"/>
              <w:right w:val="nil"/>
            </w:tcBorders>
            <w:vAlign w:val="center"/>
            <w:hideMark/>
          </w:tcPr>
          <w:p w14:paraId="76F8E9E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1,853,385</w:t>
            </w:r>
          </w:p>
        </w:tc>
        <w:tc>
          <w:tcPr>
            <w:tcW w:w="982" w:type="pct"/>
            <w:tcBorders>
              <w:top w:val="nil"/>
              <w:left w:val="nil"/>
              <w:bottom w:val="nil"/>
              <w:right w:val="nil"/>
            </w:tcBorders>
            <w:vAlign w:val="center"/>
            <w:hideMark/>
          </w:tcPr>
          <w:p w14:paraId="4632661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1684489F"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155,261</w:t>
            </w:r>
          </w:p>
        </w:tc>
      </w:tr>
      <w:tr w:rsidR="000E25EA" w:rsidRPr="000E25EA" w14:paraId="75DA2456" w14:textId="77777777" w:rsidTr="00354ABF">
        <w:trPr>
          <w:trHeight w:val="260"/>
        </w:trPr>
        <w:tc>
          <w:tcPr>
            <w:tcW w:w="1723" w:type="pct"/>
            <w:tcBorders>
              <w:top w:val="nil"/>
              <w:left w:val="nil"/>
              <w:bottom w:val="nil"/>
              <w:right w:val="nil"/>
            </w:tcBorders>
            <w:noWrap/>
            <w:vAlign w:val="center"/>
            <w:hideMark/>
          </w:tcPr>
          <w:p w14:paraId="71137838"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4D52E79C"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57,588</w:t>
            </w:r>
          </w:p>
        </w:tc>
        <w:tc>
          <w:tcPr>
            <w:tcW w:w="1020" w:type="pct"/>
            <w:tcBorders>
              <w:top w:val="nil"/>
              <w:left w:val="nil"/>
              <w:bottom w:val="nil"/>
              <w:right w:val="nil"/>
            </w:tcBorders>
            <w:vAlign w:val="center"/>
            <w:hideMark/>
          </w:tcPr>
          <w:p w14:paraId="008C175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57,588</w:t>
            </w:r>
          </w:p>
        </w:tc>
        <w:tc>
          <w:tcPr>
            <w:tcW w:w="982" w:type="pct"/>
            <w:tcBorders>
              <w:top w:val="nil"/>
              <w:left w:val="nil"/>
              <w:bottom w:val="nil"/>
              <w:right w:val="nil"/>
            </w:tcBorders>
            <w:vAlign w:val="center"/>
            <w:hideMark/>
          </w:tcPr>
          <w:p w14:paraId="19689CB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5D508A6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27D665FF" w14:textId="77777777" w:rsidTr="00354ABF">
        <w:trPr>
          <w:trHeight w:val="260"/>
        </w:trPr>
        <w:tc>
          <w:tcPr>
            <w:tcW w:w="1723" w:type="pct"/>
            <w:tcBorders>
              <w:top w:val="nil"/>
              <w:left w:val="nil"/>
              <w:bottom w:val="nil"/>
              <w:right w:val="nil"/>
            </w:tcBorders>
            <w:noWrap/>
            <w:vAlign w:val="center"/>
            <w:hideMark/>
          </w:tcPr>
          <w:p w14:paraId="4CB0DF18"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0C2550A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0E9422B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6404664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17D37FB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09C2025E" w14:textId="77777777" w:rsidTr="00354ABF">
        <w:trPr>
          <w:trHeight w:val="260"/>
        </w:trPr>
        <w:tc>
          <w:tcPr>
            <w:tcW w:w="1723" w:type="pct"/>
            <w:tcBorders>
              <w:top w:val="nil"/>
              <w:left w:val="nil"/>
              <w:bottom w:val="nil"/>
              <w:right w:val="nil"/>
            </w:tcBorders>
            <w:noWrap/>
            <w:vAlign w:val="center"/>
            <w:hideMark/>
          </w:tcPr>
          <w:p w14:paraId="6713A00E"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77880C6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395198A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16,219</w:t>
            </w:r>
          </w:p>
        </w:tc>
        <w:tc>
          <w:tcPr>
            <w:tcW w:w="982" w:type="pct"/>
            <w:tcBorders>
              <w:top w:val="nil"/>
              <w:left w:val="nil"/>
              <w:bottom w:val="nil"/>
              <w:right w:val="nil"/>
            </w:tcBorders>
            <w:vAlign w:val="center"/>
            <w:hideMark/>
          </w:tcPr>
          <w:p w14:paraId="0A5902A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13C8647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(16,219)</w:t>
            </w:r>
          </w:p>
        </w:tc>
      </w:tr>
      <w:tr w:rsidR="000E25EA" w:rsidRPr="000E25EA" w14:paraId="3EBD8092" w14:textId="77777777" w:rsidTr="00354ABF">
        <w:trPr>
          <w:trHeight w:val="270"/>
        </w:trPr>
        <w:tc>
          <w:tcPr>
            <w:tcW w:w="1723" w:type="pct"/>
            <w:tcBorders>
              <w:top w:val="nil"/>
              <w:left w:val="nil"/>
              <w:bottom w:val="nil"/>
              <w:right w:val="nil"/>
            </w:tcBorders>
            <w:hideMark/>
          </w:tcPr>
          <w:p w14:paraId="72E19647"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1DEF045A"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3,913,171</w:t>
            </w:r>
          </w:p>
        </w:tc>
        <w:tc>
          <w:tcPr>
            <w:tcW w:w="1020" w:type="pct"/>
            <w:tcBorders>
              <w:top w:val="single" w:sz="4" w:space="0" w:color="auto"/>
              <w:left w:val="nil"/>
              <w:bottom w:val="double" w:sz="6" w:space="0" w:color="auto"/>
              <w:right w:val="nil"/>
            </w:tcBorders>
            <w:vAlign w:val="center"/>
            <w:hideMark/>
          </w:tcPr>
          <w:p w14:paraId="7586B015"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1,927,192</w:t>
            </w:r>
          </w:p>
        </w:tc>
        <w:tc>
          <w:tcPr>
            <w:tcW w:w="982" w:type="pct"/>
            <w:tcBorders>
              <w:top w:val="single" w:sz="4" w:space="0" w:color="auto"/>
              <w:left w:val="nil"/>
              <w:bottom w:val="double" w:sz="6" w:space="0" w:color="auto"/>
              <w:right w:val="nil"/>
            </w:tcBorders>
            <w:vAlign w:val="center"/>
            <w:hideMark/>
          </w:tcPr>
          <w:p w14:paraId="4B1E0918"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5A4FB41C"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139,042</w:t>
            </w:r>
          </w:p>
        </w:tc>
      </w:tr>
      <w:tr w:rsidR="000E25EA" w:rsidRPr="000E25EA" w14:paraId="5B008030" w14:textId="77777777" w:rsidTr="00354ABF">
        <w:trPr>
          <w:trHeight w:val="260"/>
        </w:trPr>
        <w:tc>
          <w:tcPr>
            <w:tcW w:w="1723" w:type="pct"/>
            <w:tcBorders>
              <w:top w:val="nil"/>
              <w:left w:val="nil"/>
              <w:bottom w:val="nil"/>
              <w:right w:val="nil"/>
            </w:tcBorders>
            <w:vAlign w:val="center"/>
            <w:hideMark/>
          </w:tcPr>
          <w:p w14:paraId="0FF3DF60"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2032</w:t>
            </w:r>
          </w:p>
        </w:tc>
        <w:tc>
          <w:tcPr>
            <w:tcW w:w="509" w:type="pct"/>
            <w:tcBorders>
              <w:top w:val="nil"/>
              <w:left w:val="nil"/>
              <w:bottom w:val="nil"/>
              <w:right w:val="nil"/>
            </w:tcBorders>
            <w:vAlign w:val="center"/>
            <w:hideMark/>
          </w:tcPr>
          <w:p w14:paraId="6E5D8BD4" w14:textId="59D228B7"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15CA2EA4" w14:textId="6E70EC4A"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086C0F57" w14:textId="7D25BDBA"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34953434" w14:textId="2BEC89AC" w:rsidR="000E25EA" w:rsidRPr="000E25EA" w:rsidRDefault="000E25EA" w:rsidP="00E34FD9">
            <w:pPr>
              <w:spacing w:before="0" w:after="0"/>
              <w:jc w:val="right"/>
              <w:rPr>
                <w:rFonts w:ascii="Times New Roman" w:hAnsi="Times New Roman"/>
                <w:sz w:val="16"/>
                <w:szCs w:val="16"/>
              </w:rPr>
            </w:pPr>
          </w:p>
        </w:tc>
      </w:tr>
      <w:tr w:rsidR="000E25EA" w:rsidRPr="000E25EA" w14:paraId="5EB21883" w14:textId="77777777" w:rsidTr="00354ABF">
        <w:trPr>
          <w:trHeight w:val="260"/>
        </w:trPr>
        <w:tc>
          <w:tcPr>
            <w:tcW w:w="1723" w:type="pct"/>
            <w:tcBorders>
              <w:top w:val="nil"/>
              <w:left w:val="nil"/>
              <w:bottom w:val="nil"/>
              <w:right w:val="nil"/>
            </w:tcBorders>
            <w:noWrap/>
            <w:vAlign w:val="center"/>
            <w:hideMark/>
          </w:tcPr>
          <w:p w14:paraId="3D428E59"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0627482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3,913,171</w:t>
            </w:r>
          </w:p>
        </w:tc>
        <w:tc>
          <w:tcPr>
            <w:tcW w:w="1020" w:type="pct"/>
            <w:tcBorders>
              <w:top w:val="nil"/>
              <w:left w:val="nil"/>
              <w:bottom w:val="nil"/>
              <w:right w:val="nil"/>
            </w:tcBorders>
            <w:vAlign w:val="center"/>
            <w:hideMark/>
          </w:tcPr>
          <w:p w14:paraId="2C07444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1,927,192</w:t>
            </w:r>
          </w:p>
        </w:tc>
        <w:tc>
          <w:tcPr>
            <w:tcW w:w="982" w:type="pct"/>
            <w:tcBorders>
              <w:top w:val="nil"/>
              <w:left w:val="nil"/>
              <w:bottom w:val="nil"/>
              <w:right w:val="nil"/>
            </w:tcBorders>
            <w:vAlign w:val="center"/>
            <w:hideMark/>
          </w:tcPr>
          <w:p w14:paraId="2DD412C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3BE1C0E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139,042</w:t>
            </w:r>
          </w:p>
        </w:tc>
      </w:tr>
      <w:tr w:rsidR="000E25EA" w:rsidRPr="000E25EA" w14:paraId="4C3AF163" w14:textId="77777777" w:rsidTr="00354ABF">
        <w:trPr>
          <w:trHeight w:val="260"/>
        </w:trPr>
        <w:tc>
          <w:tcPr>
            <w:tcW w:w="1723" w:type="pct"/>
            <w:tcBorders>
              <w:top w:val="nil"/>
              <w:left w:val="nil"/>
              <w:bottom w:val="nil"/>
              <w:right w:val="nil"/>
            </w:tcBorders>
            <w:noWrap/>
            <w:vAlign w:val="center"/>
            <w:hideMark/>
          </w:tcPr>
          <w:p w14:paraId="71633513"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18CF3DD7"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59,214</w:t>
            </w:r>
          </w:p>
        </w:tc>
        <w:tc>
          <w:tcPr>
            <w:tcW w:w="1020" w:type="pct"/>
            <w:tcBorders>
              <w:top w:val="nil"/>
              <w:left w:val="nil"/>
              <w:bottom w:val="nil"/>
              <w:right w:val="nil"/>
            </w:tcBorders>
            <w:vAlign w:val="center"/>
            <w:hideMark/>
          </w:tcPr>
          <w:p w14:paraId="6184113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59,214</w:t>
            </w:r>
          </w:p>
        </w:tc>
        <w:tc>
          <w:tcPr>
            <w:tcW w:w="982" w:type="pct"/>
            <w:tcBorders>
              <w:top w:val="nil"/>
              <w:left w:val="nil"/>
              <w:bottom w:val="nil"/>
              <w:right w:val="nil"/>
            </w:tcBorders>
            <w:vAlign w:val="center"/>
            <w:hideMark/>
          </w:tcPr>
          <w:p w14:paraId="22950F9F"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4B8519C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12CA85AD" w14:textId="77777777" w:rsidTr="00354ABF">
        <w:trPr>
          <w:trHeight w:val="260"/>
        </w:trPr>
        <w:tc>
          <w:tcPr>
            <w:tcW w:w="1723" w:type="pct"/>
            <w:tcBorders>
              <w:top w:val="nil"/>
              <w:left w:val="nil"/>
              <w:bottom w:val="nil"/>
              <w:right w:val="nil"/>
            </w:tcBorders>
            <w:noWrap/>
            <w:vAlign w:val="center"/>
            <w:hideMark/>
          </w:tcPr>
          <w:p w14:paraId="0C4B33BE"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4D3553D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11DE731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1DF2093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6958E80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2BFAAB88" w14:textId="77777777" w:rsidTr="00354ABF">
        <w:trPr>
          <w:trHeight w:val="260"/>
        </w:trPr>
        <w:tc>
          <w:tcPr>
            <w:tcW w:w="1723" w:type="pct"/>
            <w:tcBorders>
              <w:top w:val="nil"/>
              <w:left w:val="nil"/>
              <w:bottom w:val="nil"/>
              <w:right w:val="nil"/>
            </w:tcBorders>
            <w:noWrap/>
            <w:vAlign w:val="center"/>
            <w:hideMark/>
          </w:tcPr>
          <w:p w14:paraId="7E77009B"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7D6BAFE2"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(0)</w:t>
            </w:r>
          </w:p>
        </w:tc>
        <w:tc>
          <w:tcPr>
            <w:tcW w:w="1020" w:type="pct"/>
            <w:tcBorders>
              <w:top w:val="nil"/>
              <w:left w:val="nil"/>
              <w:bottom w:val="nil"/>
              <w:right w:val="nil"/>
            </w:tcBorders>
            <w:vAlign w:val="center"/>
            <w:hideMark/>
          </w:tcPr>
          <w:p w14:paraId="2747735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12,567</w:t>
            </w:r>
          </w:p>
        </w:tc>
        <w:tc>
          <w:tcPr>
            <w:tcW w:w="982" w:type="pct"/>
            <w:tcBorders>
              <w:top w:val="nil"/>
              <w:left w:val="nil"/>
              <w:bottom w:val="nil"/>
              <w:right w:val="nil"/>
            </w:tcBorders>
            <w:vAlign w:val="center"/>
            <w:hideMark/>
          </w:tcPr>
          <w:p w14:paraId="7B202BA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1C3803E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(12,567)</w:t>
            </w:r>
          </w:p>
        </w:tc>
      </w:tr>
      <w:tr w:rsidR="000E25EA" w:rsidRPr="000E25EA" w14:paraId="520F23DE" w14:textId="77777777" w:rsidTr="00354ABF">
        <w:trPr>
          <w:trHeight w:val="270"/>
        </w:trPr>
        <w:tc>
          <w:tcPr>
            <w:tcW w:w="1723" w:type="pct"/>
            <w:tcBorders>
              <w:top w:val="nil"/>
              <w:left w:val="nil"/>
              <w:bottom w:val="nil"/>
              <w:right w:val="nil"/>
            </w:tcBorders>
            <w:hideMark/>
          </w:tcPr>
          <w:p w14:paraId="4A93487D"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25F7E341"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3,972,385</w:t>
            </w:r>
          </w:p>
        </w:tc>
        <w:tc>
          <w:tcPr>
            <w:tcW w:w="1020" w:type="pct"/>
            <w:tcBorders>
              <w:top w:val="single" w:sz="4" w:space="0" w:color="auto"/>
              <w:left w:val="nil"/>
              <w:bottom w:val="double" w:sz="6" w:space="0" w:color="auto"/>
              <w:right w:val="nil"/>
            </w:tcBorders>
            <w:vAlign w:val="center"/>
            <w:hideMark/>
          </w:tcPr>
          <w:p w14:paraId="31D5F6C7"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1,998,973</w:t>
            </w:r>
          </w:p>
        </w:tc>
        <w:tc>
          <w:tcPr>
            <w:tcW w:w="982" w:type="pct"/>
            <w:tcBorders>
              <w:top w:val="single" w:sz="4" w:space="0" w:color="auto"/>
              <w:left w:val="nil"/>
              <w:bottom w:val="double" w:sz="6" w:space="0" w:color="auto"/>
              <w:right w:val="nil"/>
            </w:tcBorders>
            <w:vAlign w:val="center"/>
            <w:hideMark/>
          </w:tcPr>
          <w:p w14:paraId="7868F2AD"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6D32D480"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126,475</w:t>
            </w:r>
          </w:p>
        </w:tc>
      </w:tr>
      <w:tr w:rsidR="00A46043" w:rsidRPr="000E25EA" w14:paraId="3309B0B3" w14:textId="77777777" w:rsidTr="00354ABF">
        <w:trPr>
          <w:trHeight w:val="270"/>
        </w:trPr>
        <w:tc>
          <w:tcPr>
            <w:tcW w:w="1723" w:type="pct"/>
            <w:tcBorders>
              <w:top w:val="nil"/>
              <w:left w:val="nil"/>
              <w:bottom w:val="nil"/>
              <w:right w:val="nil"/>
            </w:tcBorders>
            <w:vAlign w:val="bottom"/>
          </w:tcPr>
          <w:p w14:paraId="1B42533D" w14:textId="77777777" w:rsidR="00A46043" w:rsidRPr="000E25EA" w:rsidRDefault="00A46043" w:rsidP="000E25EA">
            <w:pPr>
              <w:spacing w:before="0" w:after="0"/>
              <w:rPr>
                <w:rFonts w:ascii="Times New Roman" w:hAnsi="Times New Roman"/>
                <w:sz w:val="16"/>
                <w:szCs w:val="16"/>
              </w:rPr>
            </w:pPr>
          </w:p>
        </w:tc>
        <w:tc>
          <w:tcPr>
            <w:tcW w:w="509" w:type="pct"/>
            <w:tcBorders>
              <w:top w:val="nil"/>
              <w:left w:val="nil"/>
              <w:bottom w:val="nil"/>
              <w:right w:val="nil"/>
            </w:tcBorders>
            <w:vAlign w:val="center"/>
          </w:tcPr>
          <w:p w14:paraId="5A801AE2" w14:textId="77777777" w:rsidR="00A46043" w:rsidRPr="000E25EA" w:rsidRDefault="00A46043"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tcPr>
          <w:p w14:paraId="7F943421" w14:textId="77777777" w:rsidR="00A46043" w:rsidRPr="000E25EA" w:rsidRDefault="00A46043"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tcPr>
          <w:p w14:paraId="73A0C2A2" w14:textId="77777777" w:rsidR="00A46043" w:rsidRPr="000E25EA" w:rsidRDefault="00A46043"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tcPr>
          <w:p w14:paraId="7957A960" w14:textId="77777777" w:rsidR="00A46043" w:rsidRPr="000E25EA" w:rsidRDefault="00A46043" w:rsidP="00E34FD9">
            <w:pPr>
              <w:spacing w:before="0" w:after="0"/>
              <w:jc w:val="right"/>
              <w:rPr>
                <w:rFonts w:ascii="Times New Roman" w:hAnsi="Times New Roman"/>
                <w:sz w:val="16"/>
                <w:szCs w:val="16"/>
              </w:rPr>
            </w:pPr>
          </w:p>
        </w:tc>
      </w:tr>
      <w:tr w:rsidR="00A46043" w:rsidRPr="000E25EA" w14:paraId="49333846" w14:textId="77777777" w:rsidTr="00354ABF">
        <w:trPr>
          <w:trHeight w:val="270"/>
        </w:trPr>
        <w:tc>
          <w:tcPr>
            <w:tcW w:w="1723" w:type="pct"/>
            <w:tcBorders>
              <w:top w:val="nil"/>
              <w:left w:val="nil"/>
              <w:bottom w:val="nil"/>
              <w:right w:val="nil"/>
            </w:tcBorders>
            <w:vAlign w:val="bottom"/>
          </w:tcPr>
          <w:p w14:paraId="585994FC" w14:textId="77777777" w:rsidR="00A46043" w:rsidRPr="000E25EA" w:rsidRDefault="00A46043" w:rsidP="000E25EA">
            <w:pPr>
              <w:spacing w:before="0" w:after="0"/>
              <w:rPr>
                <w:rFonts w:ascii="Times New Roman" w:hAnsi="Times New Roman"/>
                <w:sz w:val="16"/>
                <w:szCs w:val="16"/>
              </w:rPr>
            </w:pPr>
          </w:p>
        </w:tc>
        <w:tc>
          <w:tcPr>
            <w:tcW w:w="509" w:type="pct"/>
            <w:tcBorders>
              <w:top w:val="nil"/>
              <w:left w:val="nil"/>
              <w:bottom w:val="nil"/>
              <w:right w:val="nil"/>
            </w:tcBorders>
            <w:vAlign w:val="center"/>
          </w:tcPr>
          <w:p w14:paraId="7FB559E4" w14:textId="77777777" w:rsidR="00A46043" w:rsidRPr="000E25EA" w:rsidRDefault="00A46043"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tcPr>
          <w:p w14:paraId="6B467191" w14:textId="77777777" w:rsidR="00A46043" w:rsidRPr="000E25EA" w:rsidRDefault="00A46043"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tcPr>
          <w:p w14:paraId="087FBDB1" w14:textId="77777777" w:rsidR="00A46043" w:rsidRPr="000E25EA" w:rsidRDefault="00A46043"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tcPr>
          <w:p w14:paraId="279CE613" w14:textId="77777777" w:rsidR="00A46043" w:rsidRPr="000E25EA" w:rsidRDefault="00A46043" w:rsidP="00E34FD9">
            <w:pPr>
              <w:spacing w:before="0" w:after="0"/>
              <w:jc w:val="right"/>
              <w:rPr>
                <w:rFonts w:ascii="Times New Roman" w:hAnsi="Times New Roman"/>
                <w:sz w:val="16"/>
                <w:szCs w:val="16"/>
              </w:rPr>
            </w:pPr>
          </w:p>
        </w:tc>
      </w:tr>
      <w:tr w:rsidR="00A46043" w:rsidRPr="000E25EA" w14:paraId="4B30B454" w14:textId="77777777" w:rsidTr="00354ABF">
        <w:trPr>
          <w:trHeight w:val="270"/>
        </w:trPr>
        <w:tc>
          <w:tcPr>
            <w:tcW w:w="1723" w:type="pct"/>
            <w:tcBorders>
              <w:top w:val="nil"/>
              <w:left w:val="nil"/>
              <w:bottom w:val="nil"/>
              <w:right w:val="nil"/>
            </w:tcBorders>
            <w:vAlign w:val="bottom"/>
          </w:tcPr>
          <w:p w14:paraId="6C6C1C90" w14:textId="77777777" w:rsidR="00A46043" w:rsidRPr="000E25EA" w:rsidRDefault="00A46043" w:rsidP="000E25EA">
            <w:pPr>
              <w:spacing w:before="0" w:after="0"/>
              <w:rPr>
                <w:rFonts w:ascii="Times New Roman" w:hAnsi="Times New Roman"/>
                <w:sz w:val="16"/>
                <w:szCs w:val="16"/>
              </w:rPr>
            </w:pPr>
          </w:p>
        </w:tc>
        <w:tc>
          <w:tcPr>
            <w:tcW w:w="509" w:type="pct"/>
            <w:tcBorders>
              <w:top w:val="nil"/>
              <w:left w:val="nil"/>
              <w:bottom w:val="nil"/>
              <w:right w:val="nil"/>
            </w:tcBorders>
            <w:vAlign w:val="center"/>
          </w:tcPr>
          <w:p w14:paraId="0A90A266" w14:textId="77777777" w:rsidR="00A46043" w:rsidRPr="000E25EA" w:rsidRDefault="00A46043"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tcPr>
          <w:p w14:paraId="69B2CDB0" w14:textId="77777777" w:rsidR="00A46043" w:rsidRPr="000E25EA" w:rsidRDefault="00A46043"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tcPr>
          <w:p w14:paraId="0B89C058" w14:textId="77777777" w:rsidR="00A46043" w:rsidRPr="000E25EA" w:rsidRDefault="00A46043"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tcPr>
          <w:p w14:paraId="3EA4968F" w14:textId="77777777" w:rsidR="00A46043" w:rsidRPr="000E25EA" w:rsidRDefault="00A46043" w:rsidP="00E34FD9">
            <w:pPr>
              <w:spacing w:before="0" w:after="0"/>
              <w:jc w:val="right"/>
              <w:rPr>
                <w:rFonts w:ascii="Times New Roman" w:hAnsi="Times New Roman"/>
                <w:sz w:val="16"/>
                <w:szCs w:val="16"/>
              </w:rPr>
            </w:pPr>
          </w:p>
        </w:tc>
      </w:tr>
      <w:tr w:rsidR="000E25EA" w:rsidRPr="000E25EA" w14:paraId="3D56B755" w14:textId="77777777" w:rsidTr="00354ABF">
        <w:trPr>
          <w:trHeight w:val="270"/>
        </w:trPr>
        <w:tc>
          <w:tcPr>
            <w:tcW w:w="1723" w:type="pct"/>
            <w:tcBorders>
              <w:top w:val="nil"/>
              <w:left w:val="nil"/>
              <w:bottom w:val="nil"/>
              <w:right w:val="nil"/>
            </w:tcBorders>
            <w:vAlign w:val="bottom"/>
            <w:hideMark/>
          </w:tcPr>
          <w:p w14:paraId="29DFCEBF" w14:textId="77777777" w:rsidR="000E25EA" w:rsidRPr="000E25EA" w:rsidRDefault="000E25EA" w:rsidP="000E25EA">
            <w:pPr>
              <w:spacing w:before="0" w:after="0"/>
              <w:rPr>
                <w:rFonts w:ascii="Times New Roman" w:hAnsi="Times New Roman"/>
                <w:sz w:val="16"/>
                <w:szCs w:val="16"/>
              </w:rPr>
            </w:pPr>
            <w:r w:rsidRPr="000E25EA">
              <w:rPr>
                <w:rFonts w:ascii="Times New Roman" w:hAnsi="Times New Roman"/>
                <w:sz w:val="16"/>
                <w:szCs w:val="16"/>
              </w:rPr>
              <w:lastRenderedPageBreak/>
              <w:t> </w:t>
            </w:r>
          </w:p>
        </w:tc>
        <w:tc>
          <w:tcPr>
            <w:tcW w:w="509" w:type="pct"/>
            <w:tcBorders>
              <w:top w:val="nil"/>
              <w:left w:val="nil"/>
              <w:bottom w:val="nil"/>
              <w:right w:val="nil"/>
            </w:tcBorders>
            <w:vAlign w:val="center"/>
            <w:hideMark/>
          </w:tcPr>
          <w:p w14:paraId="6BB23ADB" w14:textId="2C6A6420"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2F88DCCB" w14:textId="088FF4E6"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308B2DB1" w14:textId="15B2C3CB"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66649FE3" w14:textId="060E0AFB" w:rsidR="000E25EA" w:rsidRPr="000E25EA" w:rsidRDefault="000E25EA" w:rsidP="00E34FD9">
            <w:pPr>
              <w:spacing w:before="0" w:after="0"/>
              <w:jc w:val="right"/>
              <w:rPr>
                <w:rFonts w:ascii="Times New Roman" w:hAnsi="Times New Roman"/>
                <w:sz w:val="16"/>
                <w:szCs w:val="16"/>
              </w:rPr>
            </w:pPr>
          </w:p>
        </w:tc>
      </w:tr>
      <w:tr w:rsidR="000E25EA" w:rsidRPr="000E25EA" w14:paraId="7D6BB299" w14:textId="77777777" w:rsidTr="00354ABF">
        <w:trPr>
          <w:trHeight w:val="260"/>
        </w:trPr>
        <w:tc>
          <w:tcPr>
            <w:tcW w:w="1723" w:type="pct"/>
            <w:tcBorders>
              <w:top w:val="nil"/>
              <w:left w:val="nil"/>
              <w:bottom w:val="nil"/>
              <w:right w:val="nil"/>
            </w:tcBorders>
            <w:vAlign w:val="center"/>
            <w:hideMark/>
          </w:tcPr>
          <w:p w14:paraId="42C418FC"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2033</w:t>
            </w:r>
          </w:p>
        </w:tc>
        <w:tc>
          <w:tcPr>
            <w:tcW w:w="509" w:type="pct"/>
            <w:tcBorders>
              <w:top w:val="nil"/>
              <w:left w:val="nil"/>
              <w:bottom w:val="nil"/>
              <w:right w:val="nil"/>
            </w:tcBorders>
            <w:vAlign w:val="center"/>
            <w:hideMark/>
          </w:tcPr>
          <w:p w14:paraId="1BD16DBD" w14:textId="63C7F68E"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4C6BB803" w14:textId="094A8858"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5B7F2873" w14:textId="0B5D5AE2"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383FAA0E" w14:textId="17744B73" w:rsidR="000E25EA" w:rsidRPr="000E25EA" w:rsidRDefault="000E25EA" w:rsidP="00E34FD9">
            <w:pPr>
              <w:spacing w:before="0" w:after="0"/>
              <w:jc w:val="right"/>
              <w:rPr>
                <w:rFonts w:ascii="Times New Roman" w:hAnsi="Times New Roman"/>
                <w:sz w:val="16"/>
                <w:szCs w:val="16"/>
              </w:rPr>
            </w:pPr>
          </w:p>
        </w:tc>
      </w:tr>
      <w:tr w:rsidR="000E25EA" w:rsidRPr="000E25EA" w14:paraId="7D9B7A35" w14:textId="77777777" w:rsidTr="00354ABF">
        <w:trPr>
          <w:trHeight w:val="260"/>
        </w:trPr>
        <w:tc>
          <w:tcPr>
            <w:tcW w:w="1723" w:type="pct"/>
            <w:tcBorders>
              <w:top w:val="nil"/>
              <w:left w:val="nil"/>
              <w:bottom w:val="nil"/>
              <w:right w:val="nil"/>
            </w:tcBorders>
            <w:noWrap/>
            <w:vAlign w:val="center"/>
            <w:hideMark/>
          </w:tcPr>
          <w:p w14:paraId="27AF9DC8"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43BD15D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3,972,385</w:t>
            </w:r>
          </w:p>
        </w:tc>
        <w:tc>
          <w:tcPr>
            <w:tcW w:w="1020" w:type="pct"/>
            <w:tcBorders>
              <w:top w:val="nil"/>
              <w:left w:val="nil"/>
              <w:bottom w:val="nil"/>
              <w:right w:val="nil"/>
            </w:tcBorders>
            <w:vAlign w:val="center"/>
            <w:hideMark/>
          </w:tcPr>
          <w:p w14:paraId="47FAB4A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1,998,973</w:t>
            </w:r>
          </w:p>
        </w:tc>
        <w:tc>
          <w:tcPr>
            <w:tcW w:w="982" w:type="pct"/>
            <w:tcBorders>
              <w:top w:val="nil"/>
              <w:left w:val="nil"/>
              <w:bottom w:val="nil"/>
              <w:right w:val="nil"/>
            </w:tcBorders>
            <w:vAlign w:val="center"/>
            <w:hideMark/>
          </w:tcPr>
          <w:p w14:paraId="77F0B68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6896D5F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126,475</w:t>
            </w:r>
          </w:p>
        </w:tc>
      </w:tr>
      <w:tr w:rsidR="000E25EA" w:rsidRPr="000E25EA" w14:paraId="371E3264" w14:textId="77777777" w:rsidTr="00354ABF">
        <w:trPr>
          <w:trHeight w:val="260"/>
        </w:trPr>
        <w:tc>
          <w:tcPr>
            <w:tcW w:w="1723" w:type="pct"/>
            <w:tcBorders>
              <w:top w:val="nil"/>
              <w:left w:val="nil"/>
              <w:bottom w:val="nil"/>
              <w:right w:val="nil"/>
            </w:tcBorders>
            <w:noWrap/>
            <w:vAlign w:val="center"/>
            <w:hideMark/>
          </w:tcPr>
          <w:p w14:paraId="50AC51C4"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3EBCA59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61,640</w:t>
            </w:r>
          </w:p>
        </w:tc>
        <w:tc>
          <w:tcPr>
            <w:tcW w:w="1020" w:type="pct"/>
            <w:tcBorders>
              <w:top w:val="nil"/>
              <w:left w:val="nil"/>
              <w:bottom w:val="nil"/>
              <w:right w:val="nil"/>
            </w:tcBorders>
            <w:vAlign w:val="center"/>
            <w:hideMark/>
          </w:tcPr>
          <w:p w14:paraId="66299F8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61,640</w:t>
            </w:r>
          </w:p>
        </w:tc>
        <w:tc>
          <w:tcPr>
            <w:tcW w:w="982" w:type="pct"/>
            <w:tcBorders>
              <w:top w:val="nil"/>
              <w:left w:val="nil"/>
              <w:bottom w:val="nil"/>
              <w:right w:val="nil"/>
            </w:tcBorders>
            <w:vAlign w:val="center"/>
            <w:hideMark/>
          </w:tcPr>
          <w:p w14:paraId="65DA83D7"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0B00C1F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3EA3555F" w14:textId="77777777" w:rsidTr="00354ABF">
        <w:trPr>
          <w:trHeight w:val="260"/>
        </w:trPr>
        <w:tc>
          <w:tcPr>
            <w:tcW w:w="1723" w:type="pct"/>
            <w:tcBorders>
              <w:top w:val="nil"/>
              <w:left w:val="nil"/>
              <w:bottom w:val="nil"/>
              <w:right w:val="nil"/>
            </w:tcBorders>
            <w:noWrap/>
            <w:vAlign w:val="center"/>
            <w:hideMark/>
          </w:tcPr>
          <w:p w14:paraId="1C80045E"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4CF0978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44F15FDF"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7AF7BB5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0CDABD7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424FA3A7" w14:textId="77777777" w:rsidTr="00354ABF">
        <w:trPr>
          <w:trHeight w:val="260"/>
        </w:trPr>
        <w:tc>
          <w:tcPr>
            <w:tcW w:w="1723" w:type="pct"/>
            <w:tcBorders>
              <w:top w:val="nil"/>
              <w:left w:val="nil"/>
              <w:bottom w:val="nil"/>
              <w:right w:val="nil"/>
            </w:tcBorders>
            <w:noWrap/>
            <w:vAlign w:val="center"/>
            <w:hideMark/>
          </w:tcPr>
          <w:p w14:paraId="1B0F00DF"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2446BCA7"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48C02A1C"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8,847</w:t>
            </w:r>
          </w:p>
        </w:tc>
        <w:tc>
          <w:tcPr>
            <w:tcW w:w="982" w:type="pct"/>
            <w:tcBorders>
              <w:top w:val="nil"/>
              <w:left w:val="nil"/>
              <w:bottom w:val="nil"/>
              <w:right w:val="nil"/>
            </w:tcBorders>
            <w:vAlign w:val="center"/>
            <w:hideMark/>
          </w:tcPr>
          <w:p w14:paraId="0F1C4D0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4BC43C7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(8,847)</w:t>
            </w:r>
          </w:p>
        </w:tc>
      </w:tr>
      <w:tr w:rsidR="000E25EA" w:rsidRPr="000E25EA" w14:paraId="1279D1F7" w14:textId="77777777" w:rsidTr="00354ABF">
        <w:trPr>
          <w:trHeight w:val="270"/>
        </w:trPr>
        <w:tc>
          <w:tcPr>
            <w:tcW w:w="1723" w:type="pct"/>
            <w:tcBorders>
              <w:top w:val="nil"/>
              <w:left w:val="nil"/>
              <w:bottom w:val="nil"/>
              <w:right w:val="nil"/>
            </w:tcBorders>
            <w:hideMark/>
          </w:tcPr>
          <w:p w14:paraId="04460707"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3FB2FC00"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4,034,025</w:t>
            </w:r>
          </w:p>
        </w:tc>
        <w:tc>
          <w:tcPr>
            <w:tcW w:w="1020" w:type="pct"/>
            <w:tcBorders>
              <w:top w:val="single" w:sz="4" w:space="0" w:color="auto"/>
              <w:left w:val="nil"/>
              <w:bottom w:val="double" w:sz="6" w:space="0" w:color="auto"/>
              <w:right w:val="nil"/>
            </w:tcBorders>
            <w:vAlign w:val="center"/>
            <w:hideMark/>
          </w:tcPr>
          <w:p w14:paraId="507A5488"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2,069,460</w:t>
            </w:r>
          </w:p>
        </w:tc>
        <w:tc>
          <w:tcPr>
            <w:tcW w:w="982" w:type="pct"/>
            <w:tcBorders>
              <w:top w:val="single" w:sz="4" w:space="0" w:color="auto"/>
              <w:left w:val="nil"/>
              <w:bottom w:val="double" w:sz="6" w:space="0" w:color="auto"/>
              <w:right w:val="nil"/>
            </w:tcBorders>
            <w:vAlign w:val="center"/>
            <w:hideMark/>
          </w:tcPr>
          <w:p w14:paraId="0009B8A8"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0FFDB0F1"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117,628</w:t>
            </w:r>
          </w:p>
        </w:tc>
      </w:tr>
      <w:tr w:rsidR="000E25EA" w:rsidRPr="000E25EA" w14:paraId="721AF1D2" w14:textId="77777777" w:rsidTr="00354ABF">
        <w:trPr>
          <w:trHeight w:val="260"/>
        </w:trPr>
        <w:tc>
          <w:tcPr>
            <w:tcW w:w="1723" w:type="pct"/>
            <w:tcBorders>
              <w:top w:val="nil"/>
              <w:left w:val="nil"/>
              <w:bottom w:val="nil"/>
              <w:right w:val="nil"/>
            </w:tcBorders>
            <w:vAlign w:val="center"/>
            <w:hideMark/>
          </w:tcPr>
          <w:p w14:paraId="3BBC3AA5"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2034</w:t>
            </w:r>
          </w:p>
        </w:tc>
        <w:tc>
          <w:tcPr>
            <w:tcW w:w="509" w:type="pct"/>
            <w:tcBorders>
              <w:top w:val="nil"/>
              <w:left w:val="nil"/>
              <w:bottom w:val="nil"/>
              <w:right w:val="nil"/>
            </w:tcBorders>
            <w:vAlign w:val="center"/>
            <w:hideMark/>
          </w:tcPr>
          <w:p w14:paraId="2FC01582" w14:textId="2A28A633"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7705FBFB" w14:textId="747CB1EA"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3BA0D1A2" w14:textId="6EC25178"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2396FAA9" w14:textId="2FBC655A" w:rsidR="000E25EA" w:rsidRPr="000E25EA" w:rsidRDefault="000E25EA" w:rsidP="00E34FD9">
            <w:pPr>
              <w:spacing w:before="0" w:after="0"/>
              <w:jc w:val="right"/>
              <w:rPr>
                <w:rFonts w:ascii="Times New Roman" w:hAnsi="Times New Roman"/>
                <w:sz w:val="16"/>
                <w:szCs w:val="16"/>
              </w:rPr>
            </w:pPr>
          </w:p>
        </w:tc>
      </w:tr>
      <w:tr w:rsidR="000E25EA" w:rsidRPr="000E25EA" w14:paraId="115AFB14" w14:textId="77777777" w:rsidTr="00354ABF">
        <w:trPr>
          <w:trHeight w:val="260"/>
        </w:trPr>
        <w:tc>
          <w:tcPr>
            <w:tcW w:w="1723" w:type="pct"/>
            <w:tcBorders>
              <w:top w:val="nil"/>
              <w:left w:val="nil"/>
              <w:bottom w:val="nil"/>
              <w:right w:val="nil"/>
            </w:tcBorders>
            <w:noWrap/>
            <w:vAlign w:val="center"/>
            <w:hideMark/>
          </w:tcPr>
          <w:p w14:paraId="0EBBE99F"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0835E35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4,034,025</w:t>
            </w:r>
          </w:p>
        </w:tc>
        <w:tc>
          <w:tcPr>
            <w:tcW w:w="1020" w:type="pct"/>
            <w:tcBorders>
              <w:top w:val="nil"/>
              <w:left w:val="nil"/>
              <w:bottom w:val="nil"/>
              <w:right w:val="nil"/>
            </w:tcBorders>
            <w:vAlign w:val="center"/>
            <w:hideMark/>
          </w:tcPr>
          <w:p w14:paraId="165FA587"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2,069,460</w:t>
            </w:r>
          </w:p>
        </w:tc>
        <w:tc>
          <w:tcPr>
            <w:tcW w:w="982" w:type="pct"/>
            <w:tcBorders>
              <w:top w:val="nil"/>
              <w:left w:val="nil"/>
              <w:bottom w:val="nil"/>
              <w:right w:val="nil"/>
            </w:tcBorders>
            <w:vAlign w:val="center"/>
            <w:hideMark/>
          </w:tcPr>
          <w:p w14:paraId="6E5DD78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212130D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117,628</w:t>
            </w:r>
          </w:p>
        </w:tc>
      </w:tr>
      <w:tr w:rsidR="000E25EA" w:rsidRPr="000E25EA" w14:paraId="669A108F" w14:textId="77777777" w:rsidTr="00354ABF">
        <w:trPr>
          <w:trHeight w:val="260"/>
        </w:trPr>
        <w:tc>
          <w:tcPr>
            <w:tcW w:w="1723" w:type="pct"/>
            <w:tcBorders>
              <w:top w:val="nil"/>
              <w:left w:val="nil"/>
              <w:bottom w:val="nil"/>
              <w:right w:val="nil"/>
            </w:tcBorders>
            <w:noWrap/>
            <w:vAlign w:val="center"/>
            <w:hideMark/>
          </w:tcPr>
          <w:p w14:paraId="6A5EDB5F"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6C5DE85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66,592</w:t>
            </w:r>
          </w:p>
        </w:tc>
        <w:tc>
          <w:tcPr>
            <w:tcW w:w="1020" w:type="pct"/>
            <w:tcBorders>
              <w:top w:val="nil"/>
              <w:left w:val="nil"/>
              <w:bottom w:val="nil"/>
              <w:right w:val="nil"/>
            </w:tcBorders>
            <w:vAlign w:val="center"/>
            <w:hideMark/>
          </w:tcPr>
          <w:p w14:paraId="69A7731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66,592</w:t>
            </w:r>
          </w:p>
        </w:tc>
        <w:tc>
          <w:tcPr>
            <w:tcW w:w="982" w:type="pct"/>
            <w:tcBorders>
              <w:top w:val="nil"/>
              <w:left w:val="nil"/>
              <w:bottom w:val="nil"/>
              <w:right w:val="nil"/>
            </w:tcBorders>
            <w:vAlign w:val="center"/>
            <w:hideMark/>
          </w:tcPr>
          <w:p w14:paraId="57F68A8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282D22B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31BD80F1" w14:textId="77777777" w:rsidTr="00354ABF">
        <w:trPr>
          <w:trHeight w:val="260"/>
        </w:trPr>
        <w:tc>
          <w:tcPr>
            <w:tcW w:w="1723" w:type="pct"/>
            <w:tcBorders>
              <w:top w:val="nil"/>
              <w:left w:val="nil"/>
              <w:bottom w:val="nil"/>
              <w:right w:val="nil"/>
            </w:tcBorders>
            <w:noWrap/>
            <w:vAlign w:val="center"/>
            <w:hideMark/>
          </w:tcPr>
          <w:p w14:paraId="3F7A39BB"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2490BCF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5FAD6E66"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1B711AC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5D1CB7A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52BA404F" w14:textId="77777777" w:rsidTr="00354ABF">
        <w:trPr>
          <w:trHeight w:val="260"/>
        </w:trPr>
        <w:tc>
          <w:tcPr>
            <w:tcW w:w="1723" w:type="pct"/>
            <w:tcBorders>
              <w:top w:val="nil"/>
              <w:left w:val="nil"/>
              <w:bottom w:val="nil"/>
              <w:right w:val="nil"/>
            </w:tcBorders>
            <w:noWrap/>
            <w:vAlign w:val="center"/>
            <w:hideMark/>
          </w:tcPr>
          <w:p w14:paraId="4E087524"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75FAB5A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2E184A7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4,047</w:t>
            </w:r>
          </w:p>
        </w:tc>
        <w:tc>
          <w:tcPr>
            <w:tcW w:w="982" w:type="pct"/>
            <w:tcBorders>
              <w:top w:val="nil"/>
              <w:left w:val="nil"/>
              <w:bottom w:val="nil"/>
              <w:right w:val="nil"/>
            </w:tcBorders>
            <w:vAlign w:val="center"/>
            <w:hideMark/>
          </w:tcPr>
          <w:p w14:paraId="74EDC66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60E1D521"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(4,047)</w:t>
            </w:r>
          </w:p>
        </w:tc>
      </w:tr>
      <w:tr w:rsidR="000E25EA" w:rsidRPr="000E25EA" w14:paraId="30F6E6CE" w14:textId="77777777" w:rsidTr="00354ABF">
        <w:trPr>
          <w:trHeight w:val="270"/>
        </w:trPr>
        <w:tc>
          <w:tcPr>
            <w:tcW w:w="1723" w:type="pct"/>
            <w:tcBorders>
              <w:top w:val="nil"/>
              <w:left w:val="nil"/>
              <w:bottom w:val="nil"/>
              <w:right w:val="nil"/>
            </w:tcBorders>
            <w:hideMark/>
          </w:tcPr>
          <w:p w14:paraId="4E41F110"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23133076"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4,100,617</w:t>
            </w:r>
          </w:p>
        </w:tc>
        <w:tc>
          <w:tcPr>
            <w:tcW w:w="1020" w:type="pct"/>
            <w:tcBorders>
              <w:top w:val="single" w:sz="4" w:space="0" w:color="auto"/>
              <w:left w:val="nil"/>
              <w:bottom w:val="double" w:sz="6" w:space="0" w:color="auto"/>
              <w:right w:val="nil"/>
            </w:tcBorders>
            <w:vAlign w:val="center"/>
            <w:hideMark/>
          </w:tcPr>
          <w:p w14:paraId="3236EFB7"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2,140,099</w:t>
            </w:r>
          </w:p>
        </w:tc>
        <w:tc>
          <w:tcPr>
            <w:tcW w:w="982" w:type="pct"/>
            <w:tcBorders>
              <w:top w:val="single" w:sz="4" w:space="0" w:color="auto"/>
              <w:left w:val="nil"/>
              <w:bottom w:val="double" w:sz="6" w:space="0" w:color="auto"/>
              <w:right w:val="nil"/>
            </w:tcBorders>
            <w:vAlign w:val="center"/>
            <w:hideMark/>
          </w:tcPr>
          <w:p w14:paraId="009718F3"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3FA4D11C"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113,581</w:t>
            </w:r>
          </w:p>
        </w:tc>
      </w:tr>
      <w:tr w:rsidR="000E25EA" w:rsidRPr="000E25EA" w14:paraId="6ED6F0AA" w14:textId="77777777" w:rsidTr="00354ABF">
        <w:trPr>
          <w:trHeight w:val="260"/>
        </w:trPr>
        <w:tc>
          <w:tcPr>
            <w:tcW w:w="1723" w:type="pct"/>
            <w:tcBorders>
              <w:top w:val="nil"/>
              <w:left w:val="nil"/>
              <w:bottom w:val="nil"/>
              <w:right w:val="nil"/>
            </w:tcBorders>
            <w:vAlign w:val="center"/>
            <w:hideMark/>
          </w:tcPr>
          <w:p w14:paraId="46B31FAC"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2035</w:t>
            </w:r>
          </w:p>
        </w:tc>
        <w:tc>
          <w:tcPr>
            <w:tcW w:w="509" w:type="pct"/>
            <w:tcBorders>
              <w:top w:val="nil"/>
              <w:left w:val="nil"/>
              <w:bottom w:val="nil"/>
              <w:right w:val="nil"/>
            </w:tcBorders>
            <w:vAlign w:val="center"/>
            <w:hideMark/>
          </w:tcPr>
          <w:p w14:paraId="17B4FE51" w14:textId="76A79B89" w:rsidR="000E25EA" w:rsidRPr="000E25EA" w:rsidRDefault="000E25EA" w:rsidP="00E34FD9">
            <w:pPr>
              <w:spacing w:before="0" w:after="0"/>
              <w:jc w:val="right"/>
              <w:rPr>
                <w:rFonts w:ascii="Times New Roman" w:hAnsi="Times New Roman"/>
                <w:sz w:val="16"/>
                <w:szCs w:val="16"/>
              </w:rPr>
            </w:pPr>
          </w:p>
        </w:tc>
        <w:tc>
          <w:tcPr>
            <w:tcW w:w="1020" w:type="pct"/>
            <w:tcBorders>
              <w:top w:val="nil"/>
              <w:left w:val="nil"/>
              <w:bottom w:val="nil"/>
              <w:right w:val="nil"/>
            </w:tcBorders>
            <w:vAlign w:val="center"/>
            <w:hideMark/>
          </w:tcPr>
          <w:p w14:paraId="158D1BA1" w14:textId="1706BFF9" w:rsidR="000E25EA" w:rsidRPr="000E25EA" w:rsidRDefault="000E25EA" w:rsidP="00E34FD9">
            <w:pPr>
              <w:spacing w:before="0" w:after="0"/>
              <w:jc w:val="right"/>
              <w:rPr>
                <w:rFonts w:ascii="Times New Roman" w:hAnsi="Times New Roman"/>
                <w:sz w:val="16"/>
                <w:szCs w:val="16"/>
              </w:rPr>
            </w:pPr>
          </w:p>
        </w:tc>
        <w:tc>
          <w:tcPr>
            <w:tcW w:w="982" w:type="pct"/>
            <w:tcBorders>
              <w:top w:val="nil"/>
              <w:left w:val="nil"/>
              <w:bottom w:val="nil"/>
              <w:right w:val="nil"/>
            </w:tcBorders>
            <w:vAlign w:val="center"/>
            <w:hideMark/>
          </w:tcPr>
          <w:p w14:paraId="6169BDC9" w14:textId="78FF67D4" w:rsidR="000E25EA" w:rsidRPr="000E25EA" w:rsidRDefault="000E25EA" w:rsidP="00E34FD9">
            <w:pPr>
              <w:spacing w:before="0" w:after="0"/>
              <w:jc w:val="right"/>
              <w:rPr>
                <w:rFonts w:ascii="Times New Roman" w:hAnsi="Times New Roman"/>
                <w:sz w:val="16"/>
                <w:szCs w:val="16"/>
              </w:rPr>
            </w:pPr>
          </w:p>
        </w:tc>
        <w:tc>
          <w:tcPr>
            <w:tcW w:w="766" w:type="pct"/>
            <w:tcBorders>
              <w:top w:val="nil"/>
              <w:left w:val="nil"/>
              <w:bottom w:val="nil"/>
              <w:right w:val="nil"/>
            </w:tcBorders>
            <w:vAlign w:val="center"/>
            <w:hideMark/>
          </w:tcPr>
          <w:p w14:paraId="30A2C11B" w14:textId="793F2EF1" w:rsidR="000E25EA" w:rsidRPr="000E25EA" w:rsidRDefault="000E25EA" w:rsidP="00E34FD9">
            <w:pPr>
              <w:spacing w:before="0" w:after="0"/>
              <w:jc w:val="right"/>
              <w:rPr>
                <w:rFonts w:ascii="Times New Roman" w:hAnsi="Times New Roman"/>
                <w:sz w:val="16"/>
                <w:szCs w:val="16"/>
              </w:rPr>
            </w:pPr>
          </w:p>
        </w:tc>
      </w:tr>
      <w:tr w:rsidR="000E25EA" w:rsidRPr="000E25EA" w14:paraId="6D1D6783" w14:textId="77777777" w:rsidTr="00354ABF">
        <w:trPr>
          <w:trHeight w:val="260"/>
        </w:trPr>
        <w:tc>
          <w:tcPr>
            <w:tcW w:w="1723" w:type="pct"/>
            <w:tcBorders>
              <w:top w:val="nil"/>
              <w:left w:val="nil"/>
              <w:bottom w:val="nil"/>
              <w:right w:val="nil"/>
            </w:tcBorders>
            <w:noWrap/>
            <w:vAlign w:val="center"/>
            <w:hideMark/>
          </w:tcPr>
          <w:p w14:paraId="46DB8B04"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Balance at beginning of the financial year</w:t>
            </w:r>
          </w:p>
        </w:tc>
        <w:tc>
          <w:tcPr>
            <w:tcW w:w="509" w:type="pct"/>
            <w:tcBorders>
              <w:top w:val="nil"/>
              <w:left w:val="nil"/>
              <w:bottom w:val="nil"/>
              <w:right w:val="nil"/>
            </w:tcBorders>
            <w:vAlign w:val="center"/>
            <w:hideMark/>
          </w:tcPr>
          <w:p w14:paraId="59BE87E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4,100,617</w:t>
            </w:r>
          </w:p>
        </w:tc>
        <w:tc>
          <w:tcPr>
            <w:tcW w:w="1020" w:type="pct"/>
            <w:tcBorders>
              <w:top w:val="nil"/>
              <w:left w:val="nil"/>
              <w:bottom w:val="nil"/>
              <w:right w:val="nil"/>
            </w:tcBorders>
            <w:vAlign w:val="center"/>
            <w:hideMark/>
          </w:tcPr>
          <w:p w14:paraId="7D712D97"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2,140,099</w:t>
            </w:r>
          </w:p>
        </w:tc>
        <w:tc>
          <w:tcPr>
            <w:tcW w:w="982" w:type="pct"/>
            <w:tcBorders>
              <w:top w:val="nil"/>
              <w:left w:val="nil"/>
              <w:bottom w:val="nil"/>
              <w:right w:val="nil"/>
            </w:tcBorders>
            <w:vAlign w:val="center"/>
            <w:hideMark/>
          </w:tcPr>
          <w:p w14:paraId="79EEF74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1,846,937</w:t>
            </w:r>
          </w:p>
        </w:tc>
        <w:tc>
          <w:tcPr>
            <w:tcW w:w="766" w:type="pct"/>
            <w:tcBorders>
              <w:top w:val="nil"/>
              <w:left w:val="nil"/>
              <w:bottom w:val="nil"/>
              <w:right w:val="nil"/>
            </w:tcBorders>
            <w:vAlign w:val="center"/>
            <w:hideMark/>
          </w:tcPr>
          <w:p w14:paraId="5F91880E"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113,581</w:t>
            </w:r>
          </w:p>
        </w:tc>
      </w:tr>
      <w:tr w:rsidR="000E25EA" w:rsidRPr="000E25EA" w14:paraId="1AFDC6D2" w14:textId="77777777" w:rsidTr="00354ABF">
        <w:trPr>
          <w:trHeight w:val="260"/>
        </w:trPr>
        <w:tc>
          <w:tcPr>
            <w:tcW w:w="1723" w:type="pct"/>
            <w:tcBorders>
              <w:top w:val="nil"/>
              <w:left w:val="nil"/>
              <w:bottom w:val="nil"/>
              <w:right w:val="nil"/>
            </w:tcBorders>
            <w:noWrap/>
            <w:vAlign w:val="center"/>
            <w:hideMark/>
          </w:tcPr>
          <w:p w14:paraId="1C18F20C"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Surplus/(deficit) for the year</w:t>
            </w:r>
          </w:p>
        </w:tc>
        <w:tc>
          <w:tcPr>
            <w:tcW w:w="509" w:type="pct"/>
            <w:tcBorders>
              <w:top w:val="nil"/>
              <w:left w:val="nil"/>
              <w:bottom w:val="nil"/>
              <w:right w:val="nil"/>
            </w:tcBorders>
            <w:vAlign w:val="center"/>
            <w:hideMark/>
          </w:tcPr>
          <w:p w14:paraId="1E3A8C0A"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66,640</w:t>
            </w:r>
          </w:p>
        </w:tc>
        <w:tc>
          <w:tcPr>
            <w:tcW w:w="1020" w:type="pct"/>
            <w:tcBorders>
              <w:top w:val="nil"/>
              <w:left w:val="nil"/>
              <w:bottom w:val="nil"/>
              <w:right w:val="nil"/>
            </w:tcBorders>
            <w:vAlign w:val="center"/>
            <w:hideMark/>
          </w:tcPr>
          <w:p w14:paraId="471B0EF5"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66,640</w:t>
            </w:r>
          </w:p>
        </w:tc>
        <w:tc>
          <w:tcPr>
            <w:tcW w:w="982" w:type="pct"/>
            <w:tcBorders>
              <w:top w:val="nil"/>
              <w:left w:val="nil"/>
              <w:bottom w:val="nil"/>
              <w:right w:val="nil"/>
            </w:tcBorders>
            <w:vAlign w:val="center"/>
            <w:hideMark/>
          </w:tcPr>
          <w:p w14:paraId="7419B719"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1992421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2F5D233C" w14:textId="77777777" w:rsidTr="00354ABF">
        <w:trPr>
          <w:trHeight w:val="260"/>
        </w:trPr>
        <w:tc>
          <w:tcPr>
            <w:tcW w:w="1723" w:type="pct"/>
            <w:tcBorders>
              <w:top w:val="nil"/>
              <w:left w:val="nil"/>
              <w:bottom w:val="nil"/>
              <w:right w:val="nil"/>
            </w:tcBorders>
            <w:noWrap/>
            <w:vAlign w:val="center"/>
            <w:hideMark/>
          </w:tcPr>
          <w:p w14:paraId="14C119B1"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Net asset revaluation gain/(loss)</w:t>
            </w:r>
          </w:p>
        </w:tc>
        <w:tc>
          <w:tcPr>
            <w:tcW w:w="509" w:type="pct"/>
            <w:tcBorders>
              <w:top w:val="nil"/>
              <w:left w:val="nil"/>
              <w:bottom w:val="nil"/>
              <w:right w:val="nil"/>
            </w:tcBorders>
            <w:vAlign w:val="center"/>
            <w:hideMark/>
          </w:tcPr>
          <w:p w14:paraId="506D11E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1020" w:type="pct"/>
            <w:tcBorders>
              <w:top w:val="nil"/>
              <w:left w:val="nil"/>
              <w:bottom w:val="nil"/>
              <w:right w:val="nil"/>
            </w:tcBorders>
            <w:vAlign w:val="center"/>
            <w:hideMark/>
          </w:tcPr>
          <w:p w14:paraId="03538C3B"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982" w:type="pct"/>
            <w:tcBorders>
              <w:top w:val="nil"/>
              <w:left w:val="nil"/>
              <w:bottom w:val="nil"/>
              <w:right w:val="nil"/>
            </w:tcBorders>
            <w:vAlign w:val="center"/>
            <w:hideMark/>
          </w:tcPr>
          <w:p w14:paraId="37375C58"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61DE7C8D"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r>
      <w:tr w:rsidR="000E25EA" w:rsidRPr="000E25EA" w14:paraId="48C5ACCE" w14:textId="77777777" w:rsidTr="00354ABF">
        <w:trPr>
          <w:trHeight w:val="260"/>
        </w:trPr>
        <w:tc>
          <w:tcPr>
            <w:tcW w:w="1723" w:type="pct"/>
            <w:tcBorders>
              <w:top w:val="nil"/>
              <w:left w:val="nil"/>
              <w:bottom w:val="nil"/>
              <w:right w:val="nil"/>
            </w:tcBorders>
            <w:noWrap/>
            <w:vAlign w:val="center"/>
            <w:hideMark/>
          </w:tcPr>
          <w:p w14:paraId="231D91DC" w14:textId="77777777" w:rsidR="000E25EA" w:rsidRPr="000E25EA" w:rsidRDefault="000E25EA" w:rsidP="000E25EA">
            <w:pPr>
              <w:spacing w:before="0" w:after="0"/>
              <w:rPr>
                <w:rFonts w:ascii="Arial" w:hAnsi="Arial" w:cs="Arial"/>
                <w:sz w:val="16"/>
                <w:szCs w:val="16"/>
              </w:rPr>
            </w:pPr>
            <w:r w:rsidRPr="000E25EA">
              <w:rPr>
                <w:rFonts w:ascii="Arial" w:hAnsi="Arial" w:cs="Arial"/>
                <w:sz w:val="16"/>
                <w:szCs w:val="16"/>
              </w:rPr>
              <w:t>Transfers (to)/from other reserves</w:t>
            </w:r>
          </w:p>
        </w:tc>
        <w:tc>
          <w:tcPr>
            <w:tcW w:w="509" w:type="pct"/>
            <w:tcBorders>
              <w:top w:val="nil"/>
              <w:left w:val="nil"/>
              <w:bottom w:val="nil"/>
              <w:right w:val="nil"/>
            </w:tcBorders>
            <w:vAlign w:val="center"/>
            <w:hideMark/>
          </w:tcPr>
          <w:p w14:paraId="5AC8AB27"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(0)</w:t>
            </w:r>
          </w:p>
        </w:tc>
        <w:tc>
          <w:tcPr>
            <w:tcW w:w="1020" w:type="pct"/>
            <w:tcBorders>
              <w:top w:val="nil"/>
              <w:left w:val="nil"/>
              <w:bottom w:val="nil"/>
              <w:right w:val="nil"/>
            </w:tcBorders>
            <w:vAlign w:val="center"/>
            <w:hideMark/>
          </w:tcPr>
          <w:p w14:paraId="5F5AD580"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3,486</w:t>
            </w:r>
          </w:p>
        </w:tc>
        <w:tc>
          <w:tcPr>
            <w:tcW w:w="982" w:type="pct"/>
            <w:tcBorders>
              <w:top w:val="nil"/>
              <w:left w:val="nil"/>
              <w:bottom w:val="nil"/>
              <w:right w:val="nil"/>
            </w:tcBorders>
            <w:vAlign w:val="center"/>
            <w:hideMark/>
          </w:tcPr>
          <w:p w14:paraId="3ABD83A4"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w:t>
            </w:r>
          </w:p>
        </w:tc>
        <w:tc>
          <w:tcPr>
            <w:tcW w:w="766" w:type="pct"/>
            <w:tcBorders>
              <w:top w:val="nil"/>
              <w:left w:val="nil"/>
              <w:bottom w:val="nil"/>
              <w:right w:val="nil"/>
            </w:tcBorders>
            <w:vAlign w:val="center"/>
            <w:hideMark/>
          </w:tcPr>
          <w:p w14:paraId="136FF2E3" w14:textId="77777777" w:rsidR="000E25EA" w:rsidRPr="000E25EA" w:rsidRDefault="000E25EA" w:rsidP="00E34FD9">
            <w:pPr>
              <w:spacing w:before="0" w:after="0"/>
              <w:jc w:val="right"/>
              <w:rPr>
                <w:rFonts w:ascii="Arial" w:hAnsi="Arial" w:cs="Arial"/>
                <w:sz w:val="16"/>
                <w:szCs w:val="16"/>
              </w:rPr>
            </w:pPr>
            <w:r w:rsidRPr="000E25EA">
              <w:rPr>
                <w:rFonts w:ascii="Arial" w:hAnsi="Arial" w:cs="Arial"/>
                <w:sz w:val="16"/>
                <w:szCs w:val="16"/>
              </w:rPr>
              <w:t>(3,486)</w:t>
            </w:r>
          </w:p>
        </w:tc>
      </w:tr>
      <w:tr w:rsidR="000E25EA" w:rsidRPr="000E25EA" w14:paraId="6480C706" w14:textId="77777777" w:rsidTr="00354ABF">
        <w:trPr>
          <w:trHeight w:val="270"/>
        </w:trPr>
        <w:tc>
          <w:tcPr>
            <w:tcW w:w="1723" w:type="pct"/>
            <w:tcBorders>
              <w:top w:val="nil"/>
              <w:left w:val="nil"/>
              <w:bottom w:val="nil"/>
              <w:right w:val="nil"/>
            </w:tcBorders>
            <w:hideMark/>
          </w:tcPr>
          <w:p w14:paraId="62833978" w14:textId="77777777" w:rsidR="000E25EA" w:rsidRPr="000E25EA" w:rsidRDefault="000E25EA" w:rsidP="000E25EA">
            <w:pPr>
              <w:spacing w:before="0" w:after="0"/>
              <w:rPr>
                <w:rFonts w:ascii="Arial" w:hAnsi="Arial" w:cs="Arial"/>
                <w:b/>
                <w:bCs/>
                <w:sz w:val="16"/>
                <w:szCs w:val="16"/>
              </w:rPr>
            </w:pPr>
            <w:r w:rsidRPr="000E25EA">
              <w:rPr>
                <w:rFonts w:ascii="Arial" w:hAnsi="Arial" w:cs="Arial"/>
                <w:b/>
                <w:bCs/>
                <w:sz w:val="16"/>
                <w:szCs w:val="16"/>
              </w:rPr>
              <w:t>Balance at end of the financial year</w:t>
            </w:r>
          </w:p>
        </w:tc>
        <w:tc>
          <w:tcPr>
            <w:tcW w:w="509" w:type="pct"/>
            <w:tcBorders>
              <w:top w:val="single" w:sz="4" w:space="0" w:color="auto"/>
              <w:left w:val="nil"/>
              <w:bottom w:val="double" w:sz="6" w:space="0" w:color="auto"/>
              <w:right w:val="nil"/>
            </w:tcBorders>
            <w:vAlign w:val="center"/>
            <w:hideMark/>
          </w:tcPr>
          <w:p w14:paraId="4C6A1AB5"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4,167,257</w:t>
            </w:r>
          </w:p>
        </w:tc>
        <w:tc>
          <w:tcPr>
            <w:tcW w:w="1020" w:type="pct"/>
            <w:tcBorders>
              <w:top w:val="single" w:sz="4" w:space="0" w:color="auto"/>
              <w:left w:val="nil"/>
              <w:bottom w:val="double" w:sz="6" w:space="0" w:color="auto"/>
              <w:right w:val="nil"/>
            </w:tcBorders>
            <w:vAlign w:val="center"/>
            <w:hideMark/>
          </w:tcPr>
          <w:p w14:paraId="1D8F77F5"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2,210,225</w:t>
            </w:r>
          </w:p>
        </w:tc>
        <w:tc>
          <w:tcPr>
            <w:tcW w:w="982" w:type="pct"/>
            <w:tcBorders>
              <w:top w:val="single" w:sz="4" w:space="0" w:color="auto"/>
              <w:left w:val="nil"/>
              <w:bottom w:val="double" w:sz="6" w:space="0" w:color="auto"/>
              <w:right w:val="nil"/>
            </w:tcBorders>
            <w:vAlign w:val="center"/>
            <w:hideMark/>
          </w:tcPr>
          <w:p w14:paraId="23F9C28E"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1,846,937</w:t>
            </w:r>
          </w:p>
        </w:tc>
        <w:tc>
          <w:tcPr>
            <w:tcW w:w="766" w:type="pct"/>
            <w:tcBorders>
              <w:top w:val="single" w:sz="4" w:space="0" w:color="auto"/>
              <w:left w:val="nil"/>
              <w:bottom w:val="double" w:sz="6" w:space="0" w:color="auto"/>
              <w:right w:val="nil"/>
            </w:tcBorders>
            <w:vAlign w:val="center"/>
            <w:hideMark/>
          </w:tcPr>
          <w:p w14:paraId="3FA97F2D" w14:textId="77777777" w:rsidR="000E25EA" w:rsidRPr="000E25EA" w:rsidRDefault="000E25EA" w:rsidP="00E34FD9">
            <w:pPr>
              <w:spacing w:before="0" w:after="0"/>
              <w:jc w:val="right"/>
              <w:rPr>
                <w:rFonts w:ascii="Arial" w:hAnsi="Arial" w:cs="Arial"/>
                <w:b/>
                <w:bCs/>
                <w:sz w:val="16"/>
                <w:szCs w:val="16"/>
              </w:rPr>
            </w:pPr>
            <w:r w:rsidRPr="000E25EA">
              <w:rPr>
                <w:rFonts w:ascii="Arial" w:hAnsi="Arial" w:cs="Arial"/>
                <w:b/>
                <w:bCs/>
                <w:sz w:val="16"/>
                <w:szCs w:val="16"/>
              </w:rPr>
              <w:t>110,095</w:t>
            </w:r>
          </w:p>
        </w:tc>
      </w:tr>
    </w:tbl>
    <w:p w14:paraId="6DC21CF6" w14:textId="77777777" w:rsidR="00A82C0D" w:rsidRDefault="00A82C0D">
      <w:pPr>
        <w:rPr>
          <w:rFonts w:ascii="Franklin Gothic Demi" w:eastAsiaTheme="majorEastAsia" w:hAnsi="Franklin Gothic Demi" w:cstheme="majorBidi"/>
          <w:i/>
          <w:sz w:val="28"/>
          <w:lang w:eastAsia="en-US"/>
        </w:rPr>
      </w:pPr>
      <w:r>
        <w:br w:type="page"/>
      </w:r>
    </w:p>
    <w:p w14:paraId="1CD9B5A0" w14:textId="71DAAFBE" w:rsidR="00A82C0D" w:rsidRDefault="0022670C" w:rsidP="0022670C">
      <w:pPr>
        <w:pStyle w:val="Heading2"/>
      </w:pPr>
      <w:bookmarkStart w:id="52" w:name="_Ref205284760"/>
      <w:bookmarkStart w:id="53" w:name="_Toc210205641"/>
      <w:bookmarkStart w:id="54" w:name="_Toc211874595"/>
      <w:r>
        <w:lastRenderedPageBreak/>
        <w:t xml:space="preserve">6.4 </w:t>
      </w:r>
      <w:r w:rsidR="00A82C0D">
        <w:t>Statement of Cash Flows</w:t>
      </w:r>
      <w:bookmarkEnd w:id="52"/>
      <w:bookmarkEnd w:id="53"/>
      <w:bookmarkEnd w:id="54"/>
    </w:p>
    <w:p w14:paraId="113C3B49" w14:textId="77777777" w:rsidR="0022670C" w:rsidRPr="0022670C" w:rsidRDefault="0022670C" w:rsidP="0022670C">
      <w:pPr>
        <w:pStyle w:val="ListParagraph"/>
        <w:spacing w:before="0" w:after="0"/>
        <w:ind w:left="825"/>
        <w:rPr>
          <w:lang w:eastAsia="en-US"/>
        </w:rPr>
      </w:pPr>
    </w:p>
    <w:tbl>
      <w:tblPr>
        <w:tblW w:w="0" w:type="auto"/>
        <w:tblLook w:val="04A0" w:firstRow="1" w:lastRow="0" w:firstColumn="1" w:lastColumn="0" w:noHBand="0" w:noVBand="1"/>
      </w:tblPr>
      <w:tblGrid>
        <w:gridCol w:w="2513"/>
        <w:gridCol w:w="945"/>
        <w:gridCol w:w="222"/>
        <w:gridCol w:w="945"/>
        <w:gridCol w:w="945"/>
        <w:gridCol w:w="945"/>
        <w:gridCol w:w="945"/>
        <w:gridCol w:w="945"/>
        <w:gridCol w:w="945"/>
        <w:gridCol w:w="945"/>
        <w:gridCol w:w="945"/>
        <w:gridCol w:w="945"/>
        <w:gridCol w:w="945"/>
      </w:tblGrid>
      <w:tr w:rsidR="0022670C" w:rsidRPr="00572FD8" w14:paraId="0F38B922" w14:textId="77777777" w:rsidTr="0022670C">
        <w:trPr>
          <w:trHeight w:val="270"/>
          <w:tblHeader/>
        </w:trPr>
        <w:tc>
          <w:tcPr>
            <w:tcW w:w="0" w:type="auto"/>
            <w:tcBorders>
              <w:top w:val="nil"/>
              <w:left w:val="nil"/>
              <w:bottom w:val="nil"/>
              <w:right w:val="nil"/>
            </w:tcBorders>
            <w:shd w:val="clear" w:color="000000" w:fill="002060"/>
            <w:vAlign w:val="center"/>
            <w:hideMark/>
          </w:tcPr>
          <w:p w14:paraId="5B2FF8D2"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5A696A94"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 </w:t>
            </w:r>
          </w:p>
        </w:tc>
        <w:tc>
          <w:tcPr>
            <w:tcW w:w="0" w:type="auto"/>
            <w:tcBorders>
              <w:top w:val="nil"/>
              <w:left w:val="nil"/>
              <w:bottom w:val="nil"/>
              <w:right w:val="nil"/>
            </w:tcBorders>
            <w:shd w:val="clear" w:color="000000" w:fill="002060"/>
          </w:tcPr>
          <w:p w14:paraId="6614BB66" w14:textId="77777777" w:rsidR="0022670C" w:rsidRPr="00572FD8" w:rsidRDefault="0022670C" w:rsidP="00572FD8">
            <w:pPr>
              <w:spacing w:before="0" w:after="0"/>
              <w:jc w:val="center"/>
              <w:rPr>
                <w:rFonts w:ascii="Arial" w:hAnsi="Arial" w:cs="Arial"/>
                <w:b/>
                <w:bCs/>
                <w:color w:val="FFFFFF"/>
                <w:sz w:val="16"/>
                <w:szCs w:val="16"/>
              </w:rPr>
            </w:pPr>
          </w:p>
        </w:tc>
        <w:tc>
          <w:tcPr>
            <w:tcW w:w="0" w:type="auto"/>
            <w:gridSpan w:val="10"/>
            <w:vMerge w:val="restart"/>
            <w:tcBorders>
              <w:top w:val="nil"/>
              <w:left w:val="nil"/>
              <w:bottom w:val="nil"/>
              <w:right w:val="nil"/>
            </w:tcBorders>
            <w:shd w:val="clear" w:color="000000" w:fill="002060"/>
            <w:vAlign w:val="center"/>
            <w:hideMark/>
          </w:tcPr>
          <w:p w14:paraId="192A84E3" w14:textId="0A792F35"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Projections</w:t>
            </w:r>
          </w:p>
        </w:tc>
      </w:tr>
      <w:tr w:rsidR="0022670C" w:rsidRPr="00572FD8" w14:paraId="77FAB664" w14:textId="77777777" w:rsidTr="0022670C">
        <w:trPr>
          <w:trHeight w:val="260"/>
          <w:tblHeader/>
        </w:trPr>
        <w:tc>
          <w:tcPr>
            <w:tcW w:w="0" w:type="auto"/>
            <w:tcBorders>
              <w:top w:val="nil"/>
              <w:left w:val="nil"/>
              <w:bottom w:val="nil"/>
              <w:right w:val="nil"/>
            </w:tcBorders>
            <w:shd w:val="clear" w:color="000000" w:fill="002060"/>
            <w:vAlign w:val="center"/>
            <w:hideMark/>
          </w:tcPr>
          <w:p w14:paraId="0E22F777"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6E7C46DA"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Actual</w:t>
            </w:r>
          </w:p>
        </w:tc>
        <w:tc>
          <w:tcPr>
            <w:tcW w:w="0" w:type="auto"/>
            <w:tcBorders>
              <w:top w:val="nil"/>
              <w:left w:val="nil"/>
              <w:bottom w:val="nil"/>
              <w:right w:val="nil"/>
            </w:tcBorders>
          </w:tcPr>
          <w:p w14:paraId="1EBD2258" w14:textId="77777777" w:rsidR="0022670C" w:rsidRPr="00572FD8" w:rsidRDefault="0022670C" w:rsidP="00572FD8">
            <w:pPr>
              <w:spacing w:before="0" w:after="0"/>
              <w:rPr>
                <w:rFonts w:ascii="Arial" w:hAnsi="Arial" w:cs="Arial"/>
                <w:b/>
                <w:bCs/>
                <w:color w:val="FFFFFF"/>
                <w:sz w:val="16"/>
                <w:szCs w:val="16"/>
              </w:rPr>
            </w:pPr>
          </w:p>
        </w:tc>
        <w:tc>
          <w:tcPr>
            <w:tcW w:w="0" w:type="auto"/>
            <w:gridSpan w:val="10"/>
            <w:vMerge/>
            <w:tcBorders>
              <w:top w:val="nil"/>
              <w:left w:val="nil"/>
              <w:bottom w:val="nil"/>
              <w:right w:val="nil"/>
            </w:tcBorders>
            <w:vAlign w:val="center"/>
            <w:hideMark/>
          </w:tcPr>
          <w:p w14:paraId="30B702FF" w14:textId="44662C45" w:rsidR="0022670C" w:rsidRPr="00572FD8" w:rsidRDefault="0022670C" w:rsidP="00572FD8">
            <w:pPr>
              <w:spacing w:before="0" w:after="0"/>
              <w:rPr>
                <w:rFonts w:ascii="Arial" w:hAnsi="Arial" w:cs="Arial"/>
                <w:b/>
                <w:bCs/>
                <w:color w:val="FFFFFF"/>
                <w:sz w:val="16"/>
                <w:szCs w:val="16"/>
              </w:rPr>
            </w:pPr>
          </w:p>
        </w:tc>
      </w:tr>
      <w:tr w:rsidR="0022670C" w:rsidRPr="00572FD8" w14:paraId="141C36C3" w14:textId="77777777" w:rsidTr="0022670C">
        <w:trPr>
          <w:trHeight w:val="225"/>
          <w:tblHeader/>
        </w:trPr>
        <w:tc>
          <w:tcPr>
            <w:tcW w:w="0" w:type="auto"/>
            <w:tcBorders>
              <w:top w:val="nil"/>
              <w:left w:val="nil"/>
              <w:bottom w:val="nil"/>
              <w:right w:val="nil"/>
            </w:tcBorders>
            <w:shd w:val="clear" w:color="000000" w:fill="002060"/>
            <w:vAlign w:val="center"/>
            <w:hideMark/>
          </w:tcPr>
          <w:p w14:paraId="68341EA6"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3288BE1E"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2024/25</w:t>
            </w:r>
          </w:p>
        </w:tc>
        <w:tc>
          <w:tcPr>
            <w:tcW w:w="0" w:type="auto"/>
            <w:tcBorders>
              <w:top w:val="nil"/>
              <w:left w:val="nil"/>
              <w:bottom w:val="nil"/>
              <w:right w:val="nil"/>
            </w:tcBorders>
            <w:shd w:val="clear" w:color="000000" w:fill="002060"/>
          </w:tcPr>
          <w:p w14:paraId="6ED3C472" w14:textId="77777777" w:rsidR="0022670C" w:rsidRPr="00572FD8" w:rsidRDefault="0022670C" w:rsidP="00572FD8">
            <w:pPr>
              <w:spacing w:before="0" w:after="0"/>
              <w:jc w:val="center"/>
              <w:rPr>
                <w:rFonts w:ascii="Arial" w:hAnsi="Arial" w:cs="Arial"/>
                <w:b/>
                <w:bCs/>
                <w:color w:val="FFFFFF"/>
                <w:sz w:val="16"/>
                <w:szCs w:val="16"/>
              </w:rPr>
            </w:pPr>
          </w:p>
        </w:tc>
        <w:tc>
          <w:tcPr>
            <w:tcW w:w="0" w:type="auto"/>
            <w:tcBorders>
              <w:top w:val="nil"/>
              <w:left w:val="nil"/>
              <w:bottom w:val="nil"/>
              <w:right w:val="nil"/>
            </w:tcBorders>
            <w:shd w:val="clear" w:color="000000" w:fill="002060"/>
            <w:vAlign w:val="center"/>
            <w:hideMark/>
          </w:tcPr>
          <w:p w14:paraId="42F24962" w14:textId="58DB4430"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2025/26</w:t>
            </w:r>
          </w:p>
        </w:tc>
        <w:tc>
          <w:tcPr>
            <w:tcW w:w="0" w:type="auto"/>
            <w:tcBorders>
              <w:top w:val="nil"/>
              <w:left w:val="nil"/>
              <w:bottom w:val="nil"/>
              <w:right w:val="nil"/>
            </w:tcBorders>
            <w:shd w:val="clear" w:color="000000" w:fill="002060"/>
            <w:vAlign w:val="center"/>
            <w:hideMark/>
          </w:tcPr>
          <w:p w14:paraId="63F60F30"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2026/27</w:t>
            </w:r>
          </w:p>
        </w:tc>
        <w:tc>
          <w:tcPr>
            <w:tcW w:w="0" w:type="auto"/>
            <w:tcBorders>
              <w:top w:val="nil"/>
              <w:left w:val="nil"/>
              <w:bottom w:val="nil"/>
              <w:right w:val="nil"/>
            </w:tcBorders>
            <w:shd w:val="clear" w:color="000000" w:fill="002060"/>
            <w:vAlign w:val="center"/>
            <w:hideMark/>
          </w:tcPr>
          <w:p w14:paraId="71B1956D"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2027/28</w:t>
            </w:r>
          </w:p>
        </w:tc>
        <w:tc>
          <w:tcPr>
            <w:tcW w:w="0" w:type="auto"/>
            <w:tcBorders>
              <w:top w:val="nil"/>
              <w:left w:val="nil"/>
              <w:bottom w:val="nil"/>
              <w:right w:val="nil"/>
            </w:tcBorders>
            <w:shd w:val="clear" w:color="000000" w:fill="002060"/>
            <w:vAlign w:val="center"/>
            <w:hideMark/>
          </w:tcPr>
          <w:p w14:paraId="44BE7381"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2028/29</w:t>
            </w:r>
          </w:p>
        </w:tc>
        <w:tc>
          <w:tcPr>
            <w:tcW w:w="0" w:type="auto"/>
            <w:tcBorders>
              <w:top w:val="nil"/>
              <w:left w:val="nil"/>
              <w:bottom w:val="nil"/>
              <w:right w:val="nil"/>
            </w:tcBorders>
            <w:shd w:val="clear" w:color="000000" w:fill="002060"/>
            <w:vAlign w:val="center"/>
            <w:hideMark/>
          </w:tcPr>
          <w:p w14:paraId="5961EDE9"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2029/30</w:t>
            </w:r>
          </w:p>
        </w:tc>
        <w:tc>
          <w:tcPr>
            <w:tcW w:w="0" w:type="auto"/>
            <w:tcBorders>
              <w:top w:val="nil"/>
              <w:left w:val="nil"/>
              <w:bottom w:val="nil"/>
              <w:right w:val="nil"/>
            </w:tcBorders>
            <w:shd w:val="clear" w:color="000000" w:fill="002060"/>
            <w:vAlign w:val="center"/>
            <w:hideMark/>
          </w:tcPr>
          <w:p w14:paraId="1CF0D984"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2030/31</w:t>
            </w:r>
          </w:p>
        </w:tc>
        <w:tc>
          <w:tcPr>
            <w:tcW w:w="0" w:type="auto"/>
            <w:tcBorders>
              <w:top w:val="nil"/>
              <w:left w:val="nil"/>
              <w:bottom w:val="nil"/>
              <w:right w:val="nil"/>
            </w:tcBorders>
            <w:shd w:val="clear" w:color="000000" w:fill="002060"/>
            <w:vAlign w:val="center"/>
            <w:hideMark/>
          </w:tcPr>
          <w:p w14:paraId="5ED55692"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2031/32</w:t>
            </w:r>
          </w:p>
        </w:tc>
        <w:tc>
          <w:tcPr>
            <w:tcW w:w="0" w:type="auto"/>
            <w:tcBorders>
              <w:top w:val="nil"/>
              <w:left w:val="nil"/>
              <w:bottom w:val="nil"/>
              <w:right w:val="nil"/>
            </w:tcBorders>
            <w:shd w:val="clear" w:color="000000" w:fill="002060"/>
            <w:vAlign w:val="center"/>
            <w:hideMark/>
          </w:tcPr>
          <w:p w14:paraId="39671307"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2032/33</w:t>
            </w:r>
          </w:p>
        </w:tc>
        <w:tc>
          <w:tcPr>
            <w:tcW w:w="0" w:type="auto"/>
            <w:tcBorders>
              <w:top w:val="nil"/>
              <w:left w:val="nil"/>
              <w:bottom w:val="nil"/>
              <w:right w:val="nil"/>
            </w:tcBorders>
            <w:shd w:val="clear" w:color="000000" w:fill="002060"/>
            <w:vAlign w:val="center"/>
            <w:hideMark/>
          </w:tcPr>
          <w:p w14:paraId="4251D447"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2033/34</w:t>
            </w:r>
          </w:p>
        </w:tc>
        <w:tc>
          <w:tcPr>
            <w:tcW w:w="0" w:type="auto"/>
            <w:tcBorders>
              <w:top w:val="nil"/>
              <w:left w:val="nil"/>
              <w:bottom w:val="nil"/>
              <w:right w:val="nil"/>
            </w:tcBorders>
            <w:shd w:val="clear" w:color="000000" w:fill="002060"/>
            <w:vAlign w:val="center"/>
            <w:hideMark/>
          </w:tcPr>
          <w:p w14:paraId="58496E60"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2034/35</w:t>
            </w:r>
          </w:p>
        </w:tc>
      </w:tr>
      <w:tr w:rsidR="0022670C" w:rsidRPr="00572FD8" w14:paraId="6D8FACDD" w14:textId="77777777" w:rsidTr="0022670C">
        <w:trPr>
          <w:trHeight w:val="260"/>
          <w:tblHeader/>
        </w:trPr>
        <w:tc>
          <w:tcPr>
            <w:tcW w:w="0" w:type="auto"/>
            <w:tcBorders>
              <w:top w:val="nil"/>
              <w:left w:val="nil"/>
              <w:bottom w:val="nil"/>
              <w:right w:val="nil"/>
            </w:tcBorders>
            <w:shd w:val="clear" w:color="000000" w:fill="002060"/>
            <w:vAlign w:val="center"/>
            <w:hideMark/>
          </w:tcPr>
          <w:p w14:paraId="196DA12C"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 </w:t>
            </w:r>
          </w:p>
        </w:tc>
        <w:tc>
          <w:tcPr>
            <w:tcW w:w="0" w:type="auto"/>
            <w:tcBorders>
              <w:top w:val="nil"/>
              <w:left w:val="nil"/>
              <w:bottom w:val="nil"/>
              <w:right w:val="nil"/>
            </w:tcBorders>
            <w:shd w:val="clear" w:color="000000" w:fill="002060"/>
            <w:vAlign w:val="center"/>
            <w:hideMark/>
          </w:tcPr>
          <w:p w14:paraId="1DCCCFA8"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tcPr>
          <w:p w14:paraId="0040B128" w14:textId="77777777" w:rsidR="0022670C" w:rsidRPr="00572FD8" w:rsidRDefault="0022670C" w:rsidP="00572FD8">
            <w:pPr>
              <w:spacing w:before="0" w:after="0"/>
              <w:jc w:val="center"/>
              <w:rPr>
                <w:rFonts w:ascii="Arial" w:hAnsi="Arial" w:cs="Arial"/>
                <w:b/>
                <w:bCs/>
                <w:color w:val="FFFFFF"/>
                <w:sz w:val="16"/>
                <w:szCs w:val="16"/>
              </w:rPr>
            </w:pPr>
          </w:p>
        </w:tc>
        <w:tc>
          <w:tcPr>
            <w:tcW w:w="0" w:type="auto"/>
            <w:tcBorders>
              <w:top w:val="nil"/>
              <w:left w:val="nil"/>
              <w:bottom w:val="nil"/>
              <w:right w:val="nil"/>
            </w:tcBorders>
            <w:shd w:val="clear" w:color="000000" w:fill="002060"/>
            <w:vAlign w:val="center"/>
            <w:hideMark/>
          </w:tcPr>
          <w:p w14:paraId="55471C1F" w14:textId="4D242F8A"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240EC507"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65A9695E"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2F3C3475"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33B54944"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4CC88A99"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4479E1B4"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12D4933B"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0020F3F0"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c>
          <w:tcPr>
            <w:tcW w:w="0" w:type="auto"/>
            <w:tcBorders>
              <w:top w:val="nil"/>
              <w:left w:val="nil"/>
              <w:bottom w:val="nil"/>
              <w:right w:val="nil"/>
            </w:tcBorders>
            <w:shd w:val="clear" w:color="000000" w:fill="002060"/>
            <w:vAlign w:val="center"/>
            <w:hideMark/>
          </w:tcPr>
          <w:p w14:paraId="0B3AE5D4" w14:textId="77777777" w:rsidR="0022670C" w:rsidRPr="00572FD8" w:rsidRDefault="0022670C" w:rsidP="00572FD8">
            <w:pPr>
              <w:spacing w:before="0" w:after="0"/>
              <w:jc w:val="center"/>
              <w:rPr>
                <w:rFonts w:ascii="Arial" w:hAnsi="Arial" w:cs="Arial"/>
                <w:b/>
                <w:bCs/>
                <w:color w:val="FFFFFF"/>
                <w:sz w:val="16"/>
                <w:szCs w:val="16"/>
              </w:rPr>
            </w:pPr>
            <w:r w:rsidRPr="00572FD8">
              <w:rPr>
                <w:rFonts w:ascii="Arial" w:hAnsi="Arial" w:cs="Arial"/>
                <w:b/>
                <w:bCs/>
                <w:color w:val="FFFFFF"/>
                <w:sz w:val="16"/>
                <w:szCs w:val="16"/>
              </w:rPr>
              <w:t>$’000</w:t>
            </w:r>
          </w:p>
        </w:tc>
      </w:tr>
      <w:tr w:rsidR="0022670C" w:rsidRPr="00572FD8" w14:paraId="4B9FB04B" w14:textId="77777777" w:rsidTr="0022670C">
        <w:trPr>
          <w:trHeight w:val="260"/>
        </w:trPr>
        <w:tc>
          <w:tcPr>
            <w:tcW w:w="0" w:type="auto"/>
            <w:tcBorders>
              <w:top w:val="nil"/>
              <w:left w:val="nil"/>
              <w:bottom w:val="nil"/>
              <w:right w:val="nil"/>
            </w:tcBorders>
            <w:hideMark/>
          </w:tcPr>
          <w:p w14:paraId="3BE78101"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3B4CCF1E"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tcPr>
          <w:p w14:paraId="39297F04" w14:textId="77777777" w:rsidR="0022670C" w:rsidRPr="00572FD8" w:rsidRDefault="0022670C" w:rsidP="00572FD8">
            <w:pPr>
              <w:spacing w:before="0" w:after="0"/>
              <w:jc w:val="center"/>
              <w:rPr>
                <w:rFonts w:ascii="Arial" w:hAnsi="Arial" w:cs="Arial"/>
                <w:sz w:val="16"/>
                <w:szCs w:val="16"/>
              </w:rPr>
            </w:pPr>
          </w:p>
        </w:tc>
        <w:tc>
          <w:tcPr>
            <w:tcW w:w="0" w:type="auto"/>
            <w:tcBorders>
              <w:top w:val="nil"/>
              <w:left w:val="nil"/>
              <w:bottom w:val="nil"/>
              <w:right w:val="nil"/>
            </w:tcBorders>
            <w:hideMark/>
          </w:tcPr>
          <w:p w14:paraId="0CB27DE1" w14:textId="4CD8EDD9"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hideMark/>
          </w:tcPr>
          <w:p w14:paraId="3693DB42"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hideMark/>
          </w:tcPr>
          <w:p w14:paraId="614F477E"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hideMark/>
          </w:tcPr>
          <w:p w14:paraId="3976A8C8"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hideMark/>
          </w:tcPr>
          <w:p w14:paraId="1835CBBD"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hideMark/>
          </w:tcPr>
          <w:p w14:paraId="62D5C549"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hideMark/>
          </w:tcPr>
          <w:p w14:paraId="3DFE6121"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hideMark/>
          </w:tcPr>
          <w:p w14:paraId="62E10022"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hideMark/>
          </w:tcPr>
          <w:p w14:paraId="6CCF0DB0"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c>
          <w:tcPr>
            <w:tcW w:w="0" w:type="auto"/>
            <w:tcBorders>
              <w:top w:val="nil"/>
              <w:left w:val="nil"/>
              <w:bottom w:val="nil"/>
              <w:right w:val="nil"/>
            </w:tcBorders>
            <w:hideMark/>
          </w:tcPr>
          <w:p w14:paraId="5E4D0402"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Inflows</w:t>
            </w:r>
          </w:p>
        </w:tc>
      </w:tr>
      <w:tr w:rsidR="0022670C" w:rsidRPr="00572FD8" w14:paraId="1F6C1034" w14:textId="77777777" w:rsidTr="0022670C">
        <w:trPr>
          <w:trHeight w:val="315"/>
        </w:trPr>
        <w:tc>
          <w:tcPr>
            <w:tcW w:w="0" w:type="auto"/>
            <w:tcBorders>
              <w:top w:val="nil"/>
              <w:left w:val="nil"/>
              <w:bottom w:val="nil"/>
              <w:right w:val="nil"/>
            </w:tcBorders>
            <w:hideMark/>
          </w:tcPr>
          <w:p w14:paraId="483B18D8"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1E34EA04"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tcPr>
          <w:p w14:paraId="332DEF60" w14:textId="77777777" w:rsidR="0022670C" w:rsidRPr="00572FD8" w:rsidRDefault="0022670C" w:rsidP="00572FD8">
            <w:pPr>
              <w:spacing w:before="0" w:after="0"/>
              <w:jc w:val="center"/>
              <w:rPr>
                <w:rFonts w:ascii="Arial" w:hAnsi="Arial" w:cs="Arial"/>
                <w:sz w:val="16"/>
                <w:szCs w:val="16"/>
              </w:rPr>
            </w:pPr>
          </w:p>
        </w:tc>
        <w:tc>
          <w:tcPr>
            <w:tcW w:w="0" w:type="auto"/>
            <w:tcBorders>
              <w:top w:val="nil"/>
              <w:left w:val="nil"/>
              <w:bottom w:val="nil"/>
              <w:right w:val="nil"/>
            </w:tcBorders>
            <w:hideMark/>
          </w:tcPr>
          <w:p w14:paraId="6F02633B" w14:textId="07FA94DF"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hideMark/>
          </w:tcPr>
          <w:p w14:paraId="49A5CF16"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hideMark/>
          </w:tcPr>
          <w:p w14:paraId="7906542F"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hideMark/>
          </w:tcPr>
          <w:p w14:paraId="02D87D13"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hideMark/>
          </w:tcPr>
          <w:p w14:paraId="4642E7E4"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hideMark/>
          </w:tcPr>
          <w:p w14:paraId="0FC6F332"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hideMark/>
          </w:tcPr>
          <w:p w14:paraId="5E6C75B7"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hideMark/>
          </w:tcPr>
          <w:p w14:paraId="01ECE24C"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hideMark/>
          </w:tcPr>
          <w:p w14:paraId="77B237E7"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c>
          <w:tcPr>
            <w:tcW w:w="0" w:type="auto"/>
            <w:tcBorders>
              <w:top w:val="nil"/>
              <w:left w:val="nil"/>
              <w:bottom w:val="nil"/>
              <w:right w:val="nil"/>
            </w:tcBorders>
            <w:hideMark/>
          </w:tcPr>
          <w:p w14:paraId="0B177EE7" w14:textId="77777777" w:rsidR="0022670C" w:rsidRPr="00572FD8" w:rsidRDefault="0022670C" w:rsidP="00572FD8">
            <w:pPr>
              <w:spacing w:before="0" w:after="0"/>
              <w:jc w:val="center"/>
              <w:rPr>
                <w:rFonts w:ascii="Arial" w:hAnsi="Arial" w:cs="Arial"/>
                <w:sz w:val="16"/>
                <w:szCs w:val="16"/>
              </w:rPr>
            </w:pPr>
            <w:r w:rsidRPr="00572FD8">
              <w:rPr>
                <w:rFonts w:ascii="Arial" w:hAnsi="Arial" w:cs="Arial"/>
                <w:sz w:val="16"/>
                <w:szCs w:val="16"/>
              </w:rPr>
              <w:t>(Outflows)</w:t>
            </w:r>
          </w:p>
        </w:tc>
      </w:tr>
      <w:tr w:rsidR="0022670C" w:rsidRPr="00572FD8" w14:paraId="652FDE5F" w14:textId="77777777" w:rsidTr="0022670C">
        <w:trPr>
          <w:trHeight w:val="270"/>
        </w:trPr>
        <w:tc>
          <w:tcPr>
            <w:tcW w:w="0" w:type="auto"/>
            <w:tcBorders>
              <w:top w:val="nil"/>
              <w:left w:val="nil"/>
              <w:bottom w:val="nil"/>
              <w:right w:val="nil"/>
            </w:tcBorders>
            <w:hideMark/>
          </w:tcPr>
          <w:p w14:paraId="0FB65BC8" w14:textId="77777777" w:rsidR="0022670C" w:rsidRPr="00572FD8" w:rsidRDefault="0022670C" w:rsidP="00572FD8">
            <w:pPr>
              <w:spacing w:before="0" w:after="0"/>
              <w:rPr>
                <w:rFonts w:ascii="Arial" w:hAnsi="Arial" w:cs="Arial"/>
                <w:b/>
                <w:bCs/>
                <w:sz w:val="16"/>
                <w:szCs w:val="16"/>
              </w:rPr>
            </w:pPr>
            <w:r w:rsidRPr="00572FD8">
              <w:rPr>
                <w:rFonts w:ascii="Arial" w:hAnsi="Arial" w:cs="Arial"/>
                <w:b/>
                <w:bCs/>
                <w:sz w:val="16"/>
                <w:szCs w:val="16"/>
              </w:rPr>
              <w:t>Cash flows from operating activities</w:t>
            </w:r>
          </w:p>
        </w:tc>
        <w:tc>
          <w:tcPr>
            <w:tcW w:w="0" w:type="auto"/>
            <w:tcBorders>
              <w:top w:val="nil"/>
              <w:left w:val="nil"/>
              <w:bottom w:val="nil"/>
              <w:right w:val="nil"/>
            </w:tcBorders>
            <w:hideMark/>
          </w:tcPr>
          <w:p w14:paraId="61EBC6AB" w14:textId="77777777" w:rsidR="0022670C" w:rsidRPr="00572FD8" w:rsidRDefault="0022670C" w:rsidP="00572FD8">
            <w:pPr>
              <w:spacing w:before="0" w:after="0"/>
              <w:rPr>
                <w:rFonts w:ascii="Arial" w:hAnsi="Arial" w:cs="Arial"/>
                <w:b/>
                <w:bCs/>
                <w:sz w:val="16"/>
                <w:szCs w:val="16"/>
              </w:rPr>
            </w:pPr>
            <w:r w:rsidRPr="00572FD8">
              <w:rPr>
                <w:rFonts w:ascii="Arial" w:hAnsi="Arial" w:cs="Arial"/>
                <w:b/>
                <w:bCs/>
                <w:sz w:val="16"/>
                <w:szCs w:val="16"/>
              </w:rPr>
              <w:t> </w:t>
            </w:r>
          </w:p>
        </w:tc>
        <w:tc>
          <w:tcPr>
            <w:tcW w:w="0" w:type="auto"/>
            <w:tcBorders>
              <w:top w:val="nil"/>
              <w:left w:val="nil"/>
              <w:bottom w:val="nil"/>
              <w:right w:val="nil"/>
            </w:tcBorders>
          </w:tcPr>
          <w:p w14:paraId="68A3CF36" w14:textId="77777777" w:rsidR="0022670C" w:rsidRPr="00572FD8" w:rsidRDefault="0022670C" w:rsidP="00572FD8">
            <w:pPr>
              <w:spacing w:before="0" w:after="0"/>
              <w:rPr>
                <w:rFonts w:ascii="Arial" w:hAnsi="Arial" w:cs="Arial"/>
                <w:sz w:val="16"/>
                <w:szCs w:val="16"/>
              </w:rPr>
            </w:pPr>
          </w:p>
        </w:tc>
        <w:tc>
          <w:tcPr>
            <w:tcW w:w="0" w:type="auto"/>
            <w:tcBorders>
              <w:top w:val="nil"/>
              <w:left w:val="nil"/>
              <w:bottom w:val="nil"/>
              <w:right w:val="nil"/>
            </w:tcBorders>
            <w:hideMark/>
          </w:tcPr>
          <w:p w14:paraId="2D31851C" w14:textId="044510D8"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5FCC47BB"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3AE8B27E"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0C145249"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02A56B14"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1F09865B"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4B740B5B"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3DE478AD"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00F65DCB"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hideMark/>
          </w:tcPr>
          <w:p w14:paraId="0678D92A"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r>
      <w:tr w:rsidR="0022670C" w:rsidRPr="00572FD8" w14:paraId="73EFD394" w14:textId="77777777" w:rsidTr="0022670C">
        <w:trPr>
          <w:trHeight w:val="260"/>
        </w:trPr>
        <w:tc>
          <w:tcPr>
            <w:tcW w:w="0" w:type="auto"/>
            <w:tcBorders>
              <w:top w:val="nil"/>
              <w:left w:val="nil"/>
              <w:bottom w:val="nil"/>
              <w:right w:val="nil"/>
            </w:tcBorders>
            <w:hideMark/>
          </w:tcPr>
          <w:p w14:paraId="7872DE19"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Rates and charges</w:t>
            </w:r>
          </w:p>
        </w:tc>
        <w:tc>
          <w:tcPr>
            <w:tcW w:w="0" w:type="auto"/>
            <w:tcBorders>
              <w:top w:val="nil"/>
              <w:left w:val="nil"/>
              <w:bottom w:val="nil"/>
              <w:right w:val="nil"/>
            </w:tcBorders>
            <w:vAlign w:val="center"/>
            <w:hideMark/>
          </w:tcPr>
          <w:p w14:paraId="69BF622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123,841</w:t>
            </w:r>
          </w:p>
        </w:tc>
        <w:tc>
          <w:tcPr>
            <w:tcW w:w="0" w:type="auto"/>
            <w:tcBorders>
              <w:top w:val="nil"/>
              <w:left w:val="nil"/>
              <w:bottom w:val="nil"/>
              <w:right w:val="nil"/>
            </w:tcBorders>
          </w:tcPr>
          <w:p w14:paraId="191B3538"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6E24B8B2" w14:textId="6F5132EA"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132,522</w:t>
            </w:r>
          </w:p>
        </w:tc>
        <w:tc>
          <w:tcPr>
            <w:tcW w:w="0" w:type="auto"/>
            <w:tcBorders>
              <w:top w:val="nil"/>
              <w:left w:val="nil"/>
              <w:bottom w:val="nil"/>
              <w:right w:val="nil"/>
            </w:tcBorders>
            <w:vAlign w:val="center"/>
            <w:hideMark/>
          </w:tcPr>
          <w:p w14:paraId="11CE78A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134,945</w:t>
            </w:r>
          </w:p>
        </w:tc>
        <w:tc>
          <w:tcPr>
            <w:tcW w:w="0" w:type="auto"/>
            <w:tcBorders>
              <w:top w:val="nil"/>
              <w:left w:val="nil"/>
              <w:bottom w:val="nil"/>
              <w:right w:val="nil"/>
            </w:tcBorders>
            <w:vAlign w:val="center"/>
            <w:hideMark/>
          </w:tcPr>
          <w:p w14:paraId="38F77F6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141,635</w:t>
            </w:r>
          </w:p>
        </w:tc>
        <w:tc>
          <w:tcPr>
            <w:tcW w:w="0" w:type="auto"/>
            <w:tcBorders>
              <w:top w:val="nil"/>
              <w:left w:val="nil"/>
              <w:bottom w:val="nil"/>
              <w:right w:val="nil"/>
            </w:tcBorders>
            <w:vAlign w:val="center"/>
            <w:hideMark/>
          </w:tcPr>
          <w:p w14:paraId="09DF590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153,420</w:t>
            </w:r>
          </w:p>
        </w:tc>
        <w:tc>
          <w:tcPr>
            <w:tcW w:w="0" w:type="auto"/>
            <w:tcBorders>
              <w:top w:val="nil"/>
              <w:left w:val="nil"/>
              <w:bottom w:val="nil"/>
              <w:right w:val="nil"/>
            </w:tcBorders>
            <w:vAlign w:val="center"/>
            <w:hideMark/>
          </w:tcPr>
          <w:p w14:paraId="586632E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159,865</w:t>
            </w:r>
          </w:p>
        </w:tc>
        <w:tc>
          <w:tcPr>
            <w:tcW w:w="0" w:type="auto"/>
            <w:tcBorders>
              <w:top w:val="nil"/>
              <w:left w:val="nil"/>
              <w:bottom w:val="nil"/>
              <w:right w:val="nil"/>
            </w:tcBorders>
            <w:vAlign w:val="center"/>
            <w:hideMark/>
          </w:tcPr>
          <w:p w14:paraId="63BAF8C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166,401</w:t>
            </w:r>
          </w:p>
        </w:tc>
        <w:tc>
          <w:tcPr>
            <w:tcW w:w="0" w:type="auto"/>
            <w:tcBorders>
              <w:top w:val="nil"/>
              <w:left w:val="nil"/>
              <w:bottom w:val="nil"/>
              <w:right w:val="nil"/>
            </w:tcBorders>
            <w:vAlign w:val="center"/>
            <w:hideMark/>
          </w:tcPr>
          <w:p w14:paraId="16E764C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173,195</w:t>
            </w:r>
          </w:p>
        </w:tc>
        <w:tc>
          <w:tcPr>
            <w:tcW w:w="0" w:type="auto"/>
            <w:tcBorders>
              <w:top w:val="nil"/>
              <w:left w:val="nil"/>
              <w:bottom w:val="nil"/>
              <w:right w:val="nil"/>
            </w:tcBorders>
            <w:vAlign w:val="center"/>
            <w:hideMark/>
          </w:tcPr>
          <w:p w14:paraId="461208C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180,123</w:t>
            </w:r>
          </w:p>
        </w:tc>
        <w:tc>
          <w:tcPr>
            <w:tcW w:w="0" w:type="auto"/>
            <w:tcBorders>
              <w:top w:val="nil"/>
              <w:left w:val="nil"/>
              <w:bottom w:val="nil"/>
              <w:right w:val="nil"/>
            </w:tcBorders>
            <w:vAlign w:val="center"/>
            <w:hideMark/>
          </w:tcPr>
          <w:p w14:paraId="3CE67B2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187,406</w:t>
            </w:r>
          </w:p>
        </w:tc>
        <w:tc>
          <w:tcPr>
            <w:tcW w:w="0" w:type="auto"/>
            <w:tcBorders>
              <w:top w:val="nil"/>
              <w:left w:val="nil"/>
              <w:bottom w:val="nil"/>
              <w:right w:val="nil"/>
            </w:tcBorders>
            <w:vAlign w:val="center"/>
            <w:hideMark/>
          </w:tcPr>
          <w:p w14:paraId="710F52F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194,893</w:t>
            </w:r>
          </w:p>
        </w:tc>
      </w:tr>
      <w:tr w:rsidR="0022670C" w:rsidRPr="00572FD8" w14:paraId="22B682FC" w14:textId="77777777" w:rsidTr="0022670C">
        <w:trPr>
          <w:trHeight w:val="260"/>
        </w:trPr>
        <w:tc>
          <w:tcPr>
            <w:tcW w:w="0" w:type="auto"/>
            <w:tcBorders>
              <w:top w:val="nil"/>
              <w:left w:val="nil"/>
              <w:bottom w:val="nil"/>
              <w:right w:val="nil"/>
            </w:tcBorders>
            <w:hideMark/>
          </w:tcPr>
          <w:p w14:paraId="5294D7F7"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xml:space="preserve">Statutory fees and fines </w:t>
            </w:r>
          </w:p>
        </w:tc>
        <w:tc>
          <w:tcPr>
            <w:tcW w:w="0" w:type="auto"/>
            <w:tcBorders>
              <w:top w:val="nil"/>
              <w:left w:val="nil"/>
              <w:bottom w:val="nil"/>
              <w:right w:val="nil"/>
            </w:tcBorders>
            <w:vAlign w:val="center"/>
            <w:hideMark/>
          </w:tcPr>
          <w:p w14:paraId="332DFAA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7,908</w:t>
            </w:r>
          </w:p>
        </w:tc>
        <w:tc>
          <w:tcPr>
            <w:tcW w:w="0" w:type="auto"/>
            <w:tcBorders>
              <w:top w:val="nil"/>
              <w:left w:val="nil"/>
              <w:bottom w:val="nil"/>
              <w:right w:val="nil"/>
            </w:tcBorders>
          </w:tcPr>
          <w:p w14:paraId="6C38B0E3"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05F64718" w14:textId="43D562B6"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8,327</w:t>
            </w:r>
          </w:p>
        </w:tc>
        <w:tc>
          <w:tcPr>
            <w:tcW w:w="0" w:type="auto"/>
            <w:tcBorders>
              <w:top w:val="nil"/>
              <w:left w:val="nil"/>
              <w:bottom w:val="nil"/>
              <w:right w:val="nil"/>
            </w:tcBorders>
            <w:vAlign w:val="center"/>
            <w:hideMark/>
          </w:tcPr>
          <w:p w14:paraId="5412167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8,288</w:t>
            </w:r>
          </w:p>
        </w:tc>
        <w:tc>
          <w:tcPr>
            <w:tcW w:w="0" w:type="auto"/>
            <w:tcBorders>
              <w:top w:val="nil"/>
              <w:left w:val="nil"/>
              <w:bottom w:val="nil"/>
              <w:right w:val="nil"/>
            </w:tcBorders>
            <w:vAlign w:val="center"/>
            <w:hideMark/>
          </w:tcPr>
          <w:p w14:paraId="54F3EC2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8,484</w:t>
            </w:r>
          </w:p>
        </w:tc>
        <w:tc>
          <w:tcPr>
            <w:tcW w:w="0" w:type="auto"/>
            <w:tcBorders>
              <w:top w:val="nil"/>
              <w:left w:val="nil"/>
              <w:bottom w:val="nil"/>
              <w:right w:val="nil"/>
            </w:tcBorders>
            <w:vAlign w:val="center"/>
            <w:hideMark/>
          </w:tcPr>
          <w:p w14:paraId="2CB68A3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8,959</w:t>
            </w:r>
          </w:p>
        </w:tc>
        <w:tc>
          <w:tcPr>
            <w:tcW w:w="0" w:type="auto"/>
            <w:tcBorders>
              <w:top w:val="nil"/>
              <w:left w:val="nil"/>
              <w:bottom w:val="nil"/>
              <w:right w:val="nil"/>
            </w:tcBorders>
            <w:vAlign w:val="center"/>
            <w:hideMark/>
          </w:tcPr>
          <w:p w14:paraId="71E19D8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9,185</w:t>
            </w:r>
          </w:p>
        </w:tc>
        <w:tc>
          <w:tcPr>
            <w:tcW w:w="0" w:type="auto"/>
            <w:tcBorders>
              <w:top w:val="nil"/>
              <w:left w:val="nil"/>
              <w:bottom w:val="nil"/>
              <w:right w:val="nil"/>
            </w:tcBorders>
            <w:vAlign w:val="center"/>
            <w:hideMark/>
          </w:tcPr>
          <w:p w14:paraId="7765F2D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9,415</w:t>
            </w:r>
          </w:p>
        </w:tc>
        <w:tc>
          <w:tcPr>
            <w:tcW w:w="0" w:type="auto"/>
            <w:tcBorders>
              <w:top w:val="nil"/>
              <w:left w:val="nil"/>
              <w:bottom w:val="nil"/>
              <w:right w:val="nil"/>
            </w:tcBorders>
            <w:vAlign w:val="center"/>
            <w:hideMark/>
          </w:tcPr>
          <w:p w14:paraId="1D21894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9,652</w:t>
            </w:r>
          </w:p>
        </w:tc>
        <w:tc>
          <w:tcPr>
            <w:tcW w:w="0" w:type="auto"/>
            <w:tcBorders>
              <w:top w:val="nil"/>
              <w:left w:val="nil"/>
              <w:bottom w:val="nil"/>
              <w:right w:val="nil"/>
            </w:tcBorders>
            <w:vAlign w:val="center"/>
            <w:hideMark/>
          </w:tcPr>
          <w:p w14:paraId="2A9D4A8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9,890</w:t>
            </w:r>
          </w:p>
        </w:tc>
        <w:tc>
          <w:tcPr>
            <w:tcW w:w="0" w:type="auto"/>
            <w:tcBorders>
              <w:top w:val="nil"/>
              <w:left w:val="nil"/>
              <w:bottom w:val="nil"/>
              <w:right w:val="nil"/>
            </w:tcBorders>
            <w:vAlign w:val="center"/>
            <w:hideMark/>
          </w:tcPr>
          <w:p w14:paraId="6F410B0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10,139</w:t>
            </w:r>
          </w:p>
        </w:tc>
        <w:tc>
          <w:tcPr>
            <w:tcW w:w="0" w:type="auto"/>
            <w:tcBorders>
              <w:top w:val="nil"/>
              <w:left w:val="nil"/>
              <w:bottom w:val="nil"/>
              <w:right w:val="nil"/>
            </w:tcBorders>
            <w:vAlign w:val="center"/>
            <w:hideMark/>
          </w:tcPr>
          <w:p w14:paraId="2D514AF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10,393</w:t>
            </w:r>
          </w:p>
        </w:tc>
      </w:tr>
      <w:tr w:rsidR="0022670C" w:rsidRPr="00572FD8" w14:paraId="28CE53B2" w14:textId="77777777" w:rsidTr="0022670C">
        <w:trPr>
          <w:trHeight w:val="260"/>
        </w:trPr>
        <w:tc>
          <w:tcPr>
            <w:tcW w:w="0" w:type="auto"/>
            <w:tcBorders>
              <w:top w:val="nil"/>
              <w:left w:val="nil"/>
              <w:bottom w:val="nil"/>
              <w:right w:val="nil"/>
            </w:tcBorders>
            <w:hideMark/>
          </w:tcPr>
          <w:p w14:paraId="4ECBC46E"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User fees</w:t>
            </w:r>
          </w:p>
        </w:tc>
        <w:tc>
          <w:tcPr>
            <w:tcW w:w="0" w:type="auto"/>
            <w:tcBorders>
              <w:top w:val="nil"/>
              <w:left w:val="nil"/>
              <w:bottom w:val="nil"/>
              <w:right w:val="nil"/>
            </w:tcBorders>
            <w:vAlign w:val="center"/>
            <w:hideMark/>
          </w:tcPr>
          <w:p w14:paraId="7A3B835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3,713</w:t>
            </w:r>
          </w:p>
        </w:tc>
        <w:tc>
          <w:tcPr>
            <w:tcW w:w="0" w:type="auto"/>
            <w:tcBorders>
              <w:top w:val="nil"/>
              <w:left w:val="nil"/>
              <w:bottom w:val="nil"/>
              <w:right w:val="nil"/>
            </w:tcBorders>
          </w:tcPr>
          <w:p w14:paraId="172B628B"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582B1A44" w14:textId="55E6ED53"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3,376</w:t>
            </w:r>
          </w:p>
        </w:tc>
        <w:tc>
          <w:tcPr>
            <w:tcW w:w="0" w:type="auto"/>
            <w:tcBorders>
              <w:top w:val="nil"/>
              <w:left w:val="nil"/>
              <w:bottom w:val="nil"/>
              <w:right w:val="nil"/>
            </w:tcBorders>
            <w:vAlign w:val="center"/>
            <w:hideMark/>
          </w:tcPr>
          <w:p w14:paraId="089B853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3,360</w:t>
            </w:r>
          </w:p>
        </w:tc>
        <w:tc>
          <w:tcPr>
            <w:tcW w:w="0" w:type="auto"/>
            <w:tcBorders>
              <w:top w:val="nil"/>
              <w:left w:val="nil"/>
              <w:bottom w:val="nil"/>
              <w:right w:val="nil"/>
            </w:tcBorders>
            <w:vAlign w:val="center"/>
            <w:hideMark/>
          </w:tcPr>
          <w:p w14:paraId="5153232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3,440</w:t>
            </w:r>
          </w:p>
        </w:tc>
        <w:tc>
          <w:tcPr>
            <w:tcW w:w="0" w:type="auto"/>
            <w:tcBorders>
              <w:top w:val="nil"/>
              <w:left w:val="nil"/>
              <w:bottom w:val="nil"/>
              <w:right w:val="nil"/>
            </w:tcBorders>
            <w:vAlign w:val="center"/>
            <w:hideMark/>
          </w:tcPr>
          <w:p w14:paraId="7D78F05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3,632</w:t>
            </w:r>
          </w:p>
        </w:tc>
        <w:tc>
          <w:tcPr>
            <w:tcW w:w="0" w:type="auto"/>
            <w:tcBorders>
              <w:top w:val="nil"/>
              <w:left w:val="nil"/>
              <w:bottom w:val="nil"/>
              <w:right w:val="nil"/>
            </w:tcBorders>
            <w:vAlign w:val="center"/>
            <w:hideMark/>
          </w:tcPr>
          <w:p w14:paraId="23A899D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3,724</w:t>
            </w:r>
          </w:p>
        </w:tc>
        <w:tc>
          <w:tcPr>
            <w:tcW w:w="0" w:type="auto"/>
            <w:tcBorders>
              <w:top w:val="nil"/>
              <w:left w:val="nil"/>
              <w:bottom w:val="nil"/>
              <w:right w:val="nil"/>
            </w:tcBorders>
            <w:vAlign w:val="center"/>
            <w:hideMark/>
          </w:tcPr>
          <w:p w14:paraId="16227FF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3,817</w:t>
            </w:r>
          </w:p>
        </w:tc>
        <w:tc>
          <w:tcPr>
            <w:tcW w:w="0" w:type="auto"/>
            <w:tcBorders>
              <w:top w:val="nil"/>
              <w:left w:val="nil"/>
              <w:bottom w:val="nil"/>
              <w:right w:val="nil"/>
            </w:tcBorders>
            <w:vAlign w:val="center"/>
            <w:hideMark/>
          </w:tcPr>
          <w:p w14:paraId="4494A6D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3,913</w:t>
            </w:r>
          </w:p>
        </w:tc>
        <w:tc>
          <w:tcPr>
            <w:tcW w:w="0" w:type="auto"/>
            <w:tcBorders>
              <w:top w:val="nil"/>
              <w:left w:val="nil"/>
              <w:bottom w:val="nil"/>
              <w:right w:val="nil"/>
            </w:tcBorders>
            <w:vAlign w:val="center"/>
            <w:hideMark/>
          </w:tcPr>
          <w:p w14:paraId="15D133B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4,010</w:t>
            </w:r>
          </w:p>
        </w:tc>
        <w:tc>
          <w:tcPr>
            <w:tcW w:w="0" w:type="auto"/>
            <w:tcBorders>
              <w:top w:val="nil"/>
              <w:left w:val="nil"/>
              <w:bottom w:val="nil"/>
              <w:right w:val="nil"/>
            </w:tcBorders>
            <w:vAlign w:val="center"/>
            <w:hideMark/>
          </w:tcPr>
          <w:p w14:paraId="15BAA4E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4,111</w:t>
            </w:r>
          </w:p>
        </w:tc>
        <w:tc>
          <w:tcPr>
            <w:tcW w:w="0" w:type="auto"/>
            <w:tcBorders>
              <w:top w:val="nil"/>
              <w:left w:val="nil"/>
              <w:bottom w:val="nil"/>
              <w:right w:val="nil"/>
            </w:tcBorders>
            <w:vAlign w:val="center"/>
            <w:hideMark/>
          </w:tcPr>
          <w:p w14:paraId="3454806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4,214</w:t>
            </w:r>
          </w:p>
        </w:tc>
      </w:tr>
      <w:tr w:rsidR="0022670C" w:rsidRPr="00572FD8" w14:paraId="66AEC661" w14:textId="77777777" w:rsidTr="0022670C">
        <w:trPr>
          <w:trHeight w:val="260"/>
        </w:trPr>
        <w:tc>
          <w:tcPr>
            <w:tcW w:w="0" w:type="auto"/>
            <w:tcBorders>
              <w:top w:val="nil"/>
              <w:left w:val="nil"/>
              <w:bottom w:val="nil"/>
              <w:right w:val="nil"/>
            </w:tcBorders>
            <w:hideMark/>
          </w:tcPr>
          <w:p w14:paraId="0E6DA590"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Grants - operating</w:t>
            </w:r>
          </w:p>
        </w:tc>
        <w:tc>
          <w:tcPr>
            <w:tcW w:w="0" w:type="auto"/>
            <w:tcBorders>
              <w:top w:val="nil"/>
              <w:left w:val="nil"/>
              <w:bottom w:val="nil"/>
              <w:right w:val="nil"/>
            </w:tcBorders>
            <w:vAlign w:val="center"/>
            <w:hideMark/>
          </w:tcPr>
          <w:p w14:paraId="1F754D3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29,585</w:t>
            </w:r>
          </w:p>
        </w:tc>
        <w:tc>
          <w:tcPr>
            <w:tcW w:w="0" w:type="auto"/>
            <w:tcBorders>
              <w:top w:val="nil"/>
              <w:left w:val="nil"/>
              <w:bottom w:val="nil"/>
              <w:right w:val="nil"/>
            </w:tcBorders>
          </w:tcPr>
          <w:p w14:paraId="4AD650F6"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72212BBF" w14:textId="76703CB8"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21,464</w:t>
            </w:r>
          </w:p>
        </w:tc>
        <w:tc>
          <w:tcPr>
            <w:tcW w:w="0" w:type="auto"/>
            <w:tcBorders>
              <w:top w:val="nil"/>
              <w:left w:val="nil"/>
              <w:bottom w:val="nil"/>
              <w:right w:val="nil"/>
            </w:tcBorders>
            <w:vAlign w:val="center"/>
            <w:hideMark/>
          </w:tcPr>
          <w:p w14:paraId="7D98319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21,356</w:t>
            </w:r>
          </w:p>
        </w:tc>
        <w:tc>
          <w:tcPr>
            <w:tcW w:w="0" w:type="auto"/>
            <w:tcBorders>
              <w:top w:val="nil"/>
              <w:left w:val="nil"/>
              <w:bottom w:val="nil"/>
              <w:right w:val="nil"/>
            </w:tcBorders>
            <w:vAlign w:val="center"/>
            <w:hideMark/>
          </w:tcPr>
          <w:p w14:paraId="52B4AF0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21,852</w:t>
            </w:r>
          </w:p>
        </w:tc>
        <w:tc>
          <w:tcPr>
            <w:tcW w:w="0" w:type="auto"/>
            <w:tcBorders>
              <w:top w:val="nil"/>
              <w:left w:val="nil"/>
              <w:bottom w:val="nil"/>
              <w:right w:val="nil"/>
            </w:tcBorders>
            <w:vAlign w:val="center"/>
            <w:hideMark/>
          </w:tcPr>
          <w:p w14:paraId="78AC5D2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23,065</w:t>
            </w:r>
          </w:p>
        </w:tc>
        <w:tc>
          <w:tcPr>
            <w:tcW w:w="0" w:type="auto"/>
            <w:tcBorders>
              <w:top w:val="nil"/>
              <w:left w:val="nil"/>
              <w:bottom w:val="nil"/>
              <w:right w:val="nil"/>
            </w:tcBorders>
            <w:vAlign w:val="center"/>
            <w:hideMark/>
          </w:tcPr>
          <w:p w14:paraId="077EED2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23,637</w:t>
            </w:r>
          </w:p>
        </w:tc>
        <w:tc>
          <w:tcPr>
            <w:tcW w:w="0" w:type="auto"/>
            <w:tcBorders>
              <w:top w:val="nil"/>
              <w:left w:val="nil"/>
              <w:bottom w:val="nil"/>
              <w:right w:val="nil"/>
            </w:tcBorders>
            <w:vAlign w:val="center"/>
            <w:hideMark/>
          </w:tcPr>
          <w:p w14:paraId="2B5BA89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24,220</w:t>
            </w:r>
          </w:p>
        </w:tc>
        <w:tc>
          <w:tcPr>
            <w:tcW w:w="0" w:type="auto"/>
            <w:tcBorders>
              <w:top w:val="nil"/>
              <w:left w:val="nil"/>
              <w:bottom w:val="nil"/>
              <w:right w:val="nil"/>
            </w:tcBorders>
            <w:vAlign w:val="center"/>
            <w:hideMark/>
          </w:tcPr>
          <w:p w14:paraId="765F52A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24,821</w:t>
            </w:r>
          </w:p>
        </w:tc>
        <w:tc>
          <w:tcPr>
            <w:tcW w:w="0" w:type="auto"/>
            <w:tcBorders>
              <w:top w:val="nil"/>
              <w:left w:val="nil"/>
              <w:bottom w:val="nil"/>
              <w:right w:val="nil"/>
            </w:tcBorders>
            <w:vAlign w:val="center"/>
            <w:hideMark/>
          </w:tcPr>
          <w:p w14:paraId="41F32B3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25,422</w:t>
            </w:r>
          </w:p>
        </w:tc>
        <w:tc>
          <w:tcPr>
            <w:tcW w:w="0" w:type="auto"/>
            <w:tcBorders>
              <w:top w:val="nil"/>
              <w:left w:val="nil"/>
              <w:bottom w:val="nil"/>
              <w:right w:val="nil"/>
            </w:tcBorders>
            <w:vAlign w:val="center"/>
            <w:hideMark/>
          </w:tcPr>
          <w:p w14:paraId="28CE70C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26,055</w:t>
            </w:r>
          </w:p>
        </w:tc>
        <w:tc>
          <w:tcPr>
            <w:tcW w:w="0" w:type="auto"/>
            <w:tcBorders>
              <w:top w:val="nil"/>
              <w:left w:val="nil"/>
              <w:bottom w:val="nil"/>
              <w:right w:val="nil"/>
            </w:tcBorders>
            <w:vAlign w:val="center"/>
            <w:hideMark/>
          </w:tcPr>
          <w:p w14:paraId="12C9E6F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26,698</w:t>
            </w:r>
          </w:p>
        </w:tc>
      </w:tr>
      <w:tr w:rsidR="0022670C" w:rsidRPr="00572FD8" w14:paraId="1EF9A478" w14:textId="77777777" w:rsidTr="0022670C">
        <w:trPr>
          <w:trHeight w:val="260"/>
        </w:trPr>
        <w:tc>
          <w:tcPr>
            <w:tcW w:w="0" w:type="auto"/>
            <w:tcBorders>
              <w:top w:val="nil"/>
              <w:left w:val="nil"/>
              <w:bottom w:val="nil"/>
              <w:right w:val="nil"/>
            </w:tcBorders>
            <w:hideMark/>
          </w:tcPr>
          <w:p w14:paraId="59FD74F7"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Grants - capital</w:t>
            </w:r>
          </w:p>
        </w:tc>
        <w:tc>
          <w:tcPr>
            <w:tcW w:w="0" w:type="auto"/>
            <w:tcBorders>
              <w:top w:val="nil"/>
              <w:left w:val="nil"/>
              <w:bottom w:val="nil"/>
              <w:right w:val="nil"/>
            </w:tcBorders>
            <w:vAlign w:val="center"/>
            <w:hideMark/>
          </w:tcPr>
          <w:p w14:paraId="6B7D1FF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24,025</w:t>
            </w:r>
          </w:p>
        </w:tc>
        <w:tc>
          <w:tcPr>
            <w:tcW w:w="0" w:type="auto"/>
            <w:tcBorders>
              <w:top w:val="nil"/>
              <w:left w:val="nil"/>
              <w:bottom w:val="nil"/>
              <w:right w:val="nil"/>
            </w:tcBorders>
          </w:tcPr>
          <w:p w14:paraId="069225BA"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3A411B35" w14:textId="1AECB96C"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34,063</w:t>
            </w:r>
          </w:p>
        </w:tc>
        <w:tc>
          <w:tcPr>
            <w:tcW w:w="0" w:type="auto"/>
            <w:tcBorders>
              <w:top w:val="nil"/>
              <w:left w:val="nil"/>
              <w:bottom w:val="nil"/>
              <w:right w:val="nil"/>
            </w:tcBorders>
            <w:vAlign w:val="center"/>
            <w:hideMark/>
          </w:tcPr>
          <w:p w14:paraId="6EBD821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17,916</w:t>
            </w:r>
          </w:p>
        </w:tc>
        <w:tc>
          <w:tcPr>
            <w:tcW w:w="0" w:type="auto"/>
            <w:tcBorders>
              <w:top w:val="nil"/>
              <w:left w:val="nil"/>
              <w:bottom w:val="nil"/>
              <w:right w:val="nil"/>
            </w:tcBorders>
            <w:vAlign w:val="center"/>
            <w:hideMark/>
          </w:tcPr>
          <w:p w14:paraId="773585C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13,806</w:t>
            </w:r>
          </w:p>
        </w:tc>
        <w:tc>
          <w:tcPr>
            <w:tcW w:w="0" w:type="auto"/>
            <w:tcBorders>
              <w:top w:val="nil"/>
              <w:left w:val="nil"/>
              <w:bottom w:val="nil"/>
              <w:right w:val="nil"/>
            </w:tcBorders>
            <w:vAlign w:val="center"/>
            <w:hideMark/>
          </w:tcPr>
          <w:p w14:paraId="5B59E4D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12,147</w:t>
            </w:r>
          </w:p>
        </w:tc>
        <w:tc>
          <w:tcPr>
            <w:tcW w:w="0" w:type="auto"/>
            <w:tcBorders>
              <w:top w:val="nil"/>
              <w:left w:val="nil"/>
              <w:bottom w:val="nil"/>
              <w:right w:val="nil"/>
            </w:tcBorders>
            <w:vAlign w:val="center"/>
            <w:hideMark/>
          </w:tcPr>
          <w:p w14:paraId="22AD7D0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11,988</w:t>
            </w:r>
          </w:p>
        </w:tc>
        <w:tc>
          <w:tcPr>
            <w:tcW w:w="0" w:type="auto"/>
            <w:tcBorders>
              <w:top w:val="nil"/>
              <w:left w:val="nil"/>
              <w:bottom w:val="nil"/>
              <w:right w:val="nil"/>
            </w:tcBorders>
            <w:vAlign w:val="center"/>
            <w:hideMark/>
          </w:tcPr>
          <w:p w14:paraId="74A141D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11,989</w:t>
            </w:r>
          </w:p>
        </w:tc>
        <w:tc>
          <w:tcPr>
            <w:tcW w:w="0" w:type="auto"/>
            <w:tcBorders>
              <w:top w:val="nil"/>
              <w:left w:val="nil"/>
              <w:bottom w:val="nil"/>
              <w:right w:val="nil"/>
            </w:tcBorders>
            <w:vAlign w:val="center"/>
            <w:hideMark/>
          </w:tcPr>
          <w:p w14:paraId="6968A57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11,991</w:t>
            </w:r>
          </w:p>
        </w:tc>
        <w:tc>
          <w:tcPr>
            <w:tcW w:w="0" w:type="auto"/>
            <w:tcBorders>
              <w:top w:val="nil"/>
              <w:left w:val="nil"/>
              <w:bottom w:val="nil"/>
              <w:right w:val="nil"/>
            </w:tcBorders>
            <w:vAlign w:val="center"/>
            <w:hideMark/>
          </w:tcPr>
          <w:p w14:paraId="6EA0622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11,986</w:t>
            </w:r>
          </w:p>
        </w:tc>
        <w:tc>
          <w:tcPr>
            <w:tcW w:w="0" w:type="auto"/>
            <w:tcBorders>
              <w:top w:val="nil"/>
              <w:left w:val="nil"/>
              <w:bottom w:val="nil"/>
              <w:right w:val="nil"/>
            </w:tcBorders>
            <w:vAlign w:val="center"/>
            <w:hideMark/>
          </w:tcPr>
          <w:p w14:paraId="19E34F0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11,990</w:t>
            </w:r>
          </w:p>
        </w:tc>
        <w:tc>
          <w:tcPr>
            <w:tcW w:w="0" w:type="auto"/>
            <w:tcBorders>
              <w:top w:val="nil"/>
              <w:left w:val="nil"/>
              <w:bottom w:val="nil"/>
              <w:right w:val="nil"/>
            </w:tcBorders>
            <w:vAlign w:val="center"/>
            <w:hideMark/>
          </w:tcPr>
          <w:p w14:paraId="405BDB5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11,990</w:t>
            </w:r>
          </w:p>
        </w:tc>
      </w:tr>
      <w:tr w:rsidR="0022670C" w:rsidRPr="00572FD8" w14:paraId="6E18C89B" w14:textId="77777777" w:rsidTr="0022670C">
        <w:trPr>
          <w:trHeight w:val="260"/>
        </w:trPr>
        <w:tc>
          <w:tcPr>
            <w:tcW w:w="0" w:type="auto"/>
            <w:tcBorders>
              <w:top w:val="nil"/>
              <w:left w:val="nil"/>
              <w:bottom w:val="nil"/>
              <w:right w:val="nil"/>
            </w:tcBorders>
            <w:hideMark/>
          </w:tcPr>
          <w:p w14:paraId="6A27549A"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Contributions - monetary</w:t>
            </w:r>
          </w:p>
        </w:tc>
        <w:tc>
          <w:tcPr>
            <w:tcW w:w="0" w:type="auto"/>
            <w:tcBorders>
              <w:top w:val="nil"/>
              <w:left w:val="nil"/>
              <w:bottom w:val="nil"/>
              <w:right w:val="nil"/>
            </w:tcBorders>
            <w:vAlign w:val="center"/>
            <w:hideMark/>
          </w:tcPr>
          <w:p w14:paraId="01E57CF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19,727</w:t>
            </w:r>
          </w:p>
        </w:tc>
        <w:tc>
          <w:tcPr>
            <w:tcW w:w="0" w:type="auto"/>
            <w:tcBorders>
              <w:top w:val="nil"/>
              <w:left w:val="nil"/>
              <w:bottom w:val="nil"/>
              <w:right w:val="nil"/>
            </w:tcBorders>
          </w:tcPr>
          <w:p w14:paraId="2643E254"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5BF74A6C" w14:textId="2FBDFA9B"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41,745</w:t>
            </w:r>
          </w:p>
        </w:tc>
        <w:tc>
          <w:tcPr>
            <w:tcW w:w="0" w:type="auto"/>
            <w:tcBorders>
              <w:top w:val="nil"/>
              <w:left w:val="nil"/>
              <w:bottom w:val="nil"/>
              <w:right w:val="nil"/>
            </w:tcBorders>
            <w:vAlign w:val="center"/>
            <w:hideMark/>
          </w:tcPr>
          <w:p w14:paraId="38EEEA6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14,284</w:t>
            </w:r>
          </w:p>
        </w:tc>
        <w:tc>
          <w:tcPr>
            <w:tcW w:w="0" w:type="auto"/>
            <w:tcBorders>
              <w:top w:val="nil"/>
              <w:left w:val="nil"/>
              <w:bottom w:val="nil"/>
              <w:right w:val="nil"/>
            </w:tcBorders>
            <w:vAlign w:val="center"/>
            <w:hideMark/>
          </w:tcPr>
          <w:p w14:paraId="40A341B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23,023</w:t>
            </w:r>
          </w:p>
        </w:tc>
        <w:tc>
          <w:tcPr>
            <w:tcW w:w="0" w:type="auto"/>
            <w:tcBorders>
              <w:top w:val="nil"/>
              <w:left w:val="nil"/>
              <w:bottom w:val="nil"/>
              <w:right w:val="nil"/>
            </w:tcBorders>
            <w:vAlign w:val="center"/>
            <w:hideMark/>
          </w:tcPr>
          <w:p w14:paraId="521DE51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15,958</w:t>
            </w:r>
          </w:p>
        </w:tc>
        <w:tc>
          <w:tcPr>
            <w:tcW w:w="0" w:type="auto"/>
            <w:tcBorders>
              <w:top w:val="nil"/>
              <w:left w:val="nil"/>
              <w:bottom w:val="nil"/>
              <w:right w:val="nil"/>
            </w:tcBorders>
            <w:vAlign w:val="center"/>
            <w:hideMark/>
          </w:tcPr>
          <w:p w14:paraId="5FE9D59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23,085</w:t>
            </w:r>
          </w:p>
        </w:tc>
        <w:tc>
          <w:tcPr>
            <w:tcW w:w="0" w:type="auto"/>
            <w:tcBorders>
              <w:top w:val="nil"/>
              <w:left w:val="nil"/>
              <w:bottom w:val="nil"/>
              <w:right w:val="nil"/>
            </w:tcBorders>
            <w:vAlign w:val="center"/>
            <w:hideMark/>
          </w:tcPr>
          <w:p w14:paraId="28B37A2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8,175</w:t>
            </w:r>
          </w:p>
        </w:tc>
        <w:tc>
          <w:tcPr>
            <w:tcW w:w="0" w:type="auto"/>
            <w:tcBorders>
              <w:top w:val="nil"/>
              <w:left w:val="nil"/>
              <w:bottom w:val="nil"/>
              <w:right w:val="nil"/>
            </w:tcBorders>
            <w:vAlign w:val="center"/>
            <w:hideMark/>
          </w:tcPr>
          <w:p w14:paraId="086175B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12,127</w:t>
            </w:r>
          </w:p>
        </w:tc>
        <w:tc>
          <w:tcPr>
            <w:tcW w:w="0" w:type="auto"/>
            <w:tcBorders>
              <w:top w:val="nil"/>
              <w:left w:val="nil"/>
              <w:bottom w:val="nil"/>
              <w:right w:val="nil"/>
            </w:tcBorders>
            <w:vAlign w:val="center"/>
            <w:hideMark/>
          </w:tcPr>
          <w:p w14:paraId="1DEDE7F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16,147</w:t>
            </w:r>
          </w:p>
        </w:tc>
        <w:tc>
          <w:tcPr>
            <w:tcW w:w="0" w:type="auto"/>
            <w:tcBorders>
              <w:top w:val="nil"/>
              <w:left w:val="nil"/>
              <w:bottom w:val="nil"/>
              <w:right w:val="nil"/>
            </w:tcBorders>
            <w:vAlign w:val="center"/>
            <w:hideMark/>
          </w:tcPr>
          <w:p w14:paraId="4AE9AE1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22,647</w:t>
            </w:r>
          </w:p>
        </w:tc>
        <w:tc>
          <w:tcPr>
            <w:tcW w:w="0" w:type="auto"/>
            <w:tcBorders>
              <w:top w:val="nil"/>
              <w:left w:val="nil"/>
              <w:bottom w:val="nil"/>
              <w:right w:val="nil"/>
            </w:tcBorders>
            <w:vAlign w:val="center"/>
            <w:hideMark/>
          </w:tcPr>
          <w:p w14:paraId="01C7EE9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23,208</w:t>
            </w:r>
          </w:p>
        </w:tc>
      </w:tr>
      <w:tr w:rsidR="0022670C" w:rsidRPr="00572FD8" w14:paraId="2A13A889" w14:textId="77777777" w:rsidTr="0022670C">
        <w:trPr>
          <w:trHeight w:val="260"/>
        </w:trPr>
        <w:tc>
          <w:tcPr>
            <w:tcW w:w="0" w:type="auto"/>
            <w:tcBorders>
              <w:top w:val="nil"/>
              <w:left w:val="nil"/>
              <w:bottom w:val="nil"/>
              <w:right w:val="nil"/>
            </w:tcBorders>
            <w:hideMark/>
          </w:tcPr>
          <w:p w14:paraId="47D4D387"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Interest received</w:t>
            </w:r>
          </w:p>
        </w:tc>
        <w:tc>
          <w:tcPr>
            <w:tcW w:w="0" w:type="auto"/>
            <w:tcBorders>
              <w:top w:val="nil"/>
              <w:left w:val="nil"/>
              <w:bottom w:val="nil"/>
              <w:right w:val="nil"/>
            </w:tcBorders>
            <w:vAlign w:val="center"/>
            <w:hideMark/>
          </w:tcPr>
          <w:p w14:paraId="4AC3BE2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7,309</w:t>
            </w:r>
          </w:p>
        </w:tc>
        <w:tc>
          <w:tcPr>
            <w:tcW w:w="0" w:type="auto"/>
            <w:tcBorders>
              <w:top w:val="nil"/>
              <w:left w:val="nil"/>
              <w:bottom w:val="nil"/>
              <w:right w:val="nil"/>
            </w:tcBorders>
          </w:tcPr>
          <w:p w14:paraId="7E613648"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5261DAE5" w14:textId="154E7813"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c>
          <w:tcPr>
            <w:tcW w:w="0" w:type="auto"/>
            <w:tcBorders>
              <w:top w:val="nil"/>
              <w:left w:val="nil"/>
              <w:bottom w:val="nil"/>
              <w:right w:val="nil"/>
            </w:tcBorders>
            <w:vAlign w:val="center"/>
            <w:hideMark/>
          </w:tcPr>
          <w:p w14:paraId="0F17540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c>
          <w:tcPr>
            <w:tcW w:w="0" w:type="auto"/>
            <w:tcBorders>
              <w:top w:val="nil"/>
              <w:left w:val="nil"/>
              <w:bottom w:val="nil"/>
              <w:right w:val="nil"/>
            </w:tcBorders>
            <w:vAlign w:val="center"/>
            <w:hideMark/>
          </w:tcPr>
          <w:p w14:paraId="0CFFDD1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c>
          <w:tcPr>
            <w:tcW w:w="0" w:type="auto"/>
            <w:tcBorders>
              <w:top w:val="nil"/>
              <w:left w:val="nil"/>
              <w:bottom w:val="nil"/>
              <w:right w:val="nil"/>
            </w:tcBorders>
            <w:vAlign w:val="center"/>
            <w:hideMark/>
          </w:tcPr>
          <w:p w14:paraId="4ED1DD4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c>
          <w:tcPr>
            <w:tcW w:w="0" w:type="auto"/>
            <w:tcBorders>
              <w:top w:val="nil"/>
              <w:left w:val="nil"/>
              <w:bottom w:val="nil"/>
              <w:right w:val="nil"/>
            </w:tcBorders>
            <w:vAlign w:val="center"/>
            <w:hideMark/>
          </w:tcPr>
          <w:p w14:paraId="6422B46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c>
          <w:tcPr>
            <w:tcW w:w="0" w:type="auto"/>
            <w:tcBorders>
              <w:top w:val="nil"/>
              <w:left w:val="nil"/>
              <w:bottom w:val="nil"/>
              <w:right w:val="nil"/>
            </w:tcBorders>
            <w:vAlign w:val="center"/>
            <w:hideMark/>
          </w:tcPr>
          <w:p w14:paraId="227085F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c>
          <w:tcPr>
            <w:tcW w:w="0" w:type="auto"/>
            <w:tcBorders>
              <w:top w:val="nil"/>
              <w:left w:val="nil"/>
              <w:bottom w:val="nil"/>
              <w:right w:val="nil"/>
            </w:tcBorders>
            <w:vAlign w:val="center"/>
            <w:hideMark/>
          </w:tcPr>
          <w:p w14:paraId="51CF98A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c>
          <w:tcPr>
            <w:tcW w:w="0" w:type="auto"/>
            <w:tcBorders>
              <w:top w:val="nil"/>
              <w:left w:val="nil"/>
              <w:bottom w:val="nil"/>
              <w:right w:val="nil"/>
            </w:tcBorders>
            <w:vAlign w:val="center"/>
            <w:hideMark/>
          </w:tcPr>
          <w:p w14:paraId="241F8B7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c>
          <w:tcPr>
            <w:tcW w:w="0" w:type="auto"/>
            <w:tcBorders>
              <w:top w:val="nil"/>
              <w:left w:val="nil"/>
              <w:bottom w:val="nil"/>
              <w:right w:val="nil"/>
            </w:tcBorders>
            <w:vAlign w:val="center"/>
            <w:hideMark/>
          </w:tcPr>
          <w:p w14:paraId="6937384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c>
          <w:tcPr>
            <w:tcW w:w="0" w:type="auto"/>
            <w:tcBorders>
              <w:top w:val="nil"/>
              <w:left w:val="nil"/>
              <w:bottom w:val="nil"/>
              <w:right w:val="nil"/>
            </w:tcBorders>
            <w:vAlign w:val="center"/>
            <w:hideMark/>
          </w:tcPr>
          <w:p w14:paraId="06774EB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5,294</w:t>
            </w:r>
          </w:p>
        </w:tc>
      </w:tr>
      <w:tr w:rsidR="0022670C" w:rsidRPr="00572FD8" w14:paraId="3F37FE0C" w14:textId="77777777" w:rsidTr="0022670C">
        <w:trPr>
          <w:trHeight w:val="285"/>
        </w:trPr>
        <w:tc>
          <w:tcPr>
            <w:tcW w:w="0" w:type="auto"/>
            <w:tcBorders>
              <w:top w:val="nil"/>
              <w:left w:val="nil"/>
              <w:bottom w:val="nil"/>
              <w:right w:val="nil"/>
            </w:tcBorders>
            <w:hideMark/>
          </w:tcPr>
          <w:p w14:paraId="4F355261"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Trust funds and deposits taken</w:t>
            </w:r>
          </w:p>
        </w:tc>
        <w:tc>
          <w:tcPr>
            <w:tcW w:w="0" w:type="auto"/>
            <w:tcBorders>
              <w:top w:val="nil"/>
              <w:left w:val="nil"/>
              <w:bottom w:val="nil"/>
              <w:right w:val="nil"/>
            </w:tcBorders>
            <w:vAlign w:val="center"/>
            <w:hideMark/>
          </w:tcPr>
          <w:p w14:paraId="4BA63F6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2,298</w:t>
            </w:r>
          </w:p>
        </w:tc>
        <w:tc>
          <w:tcPr>
            <w:tcW w:w="0" w:type="auto"/>
            <w:tcBorders>
              <w:top w:val="nil"/>
              <w:left w:val="nil"/>
              <w:bottom w:val="nil"/>
              <w:right w:val="nil"/>
            </w:tcBorders>
          </w:tcPr>
          <w:p w14:paraId="451195FA"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43DC6A41" w14:textId="726C7000"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79E50CC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63287EA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2390458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70C7487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2833FEE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6DC7DA7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2715A1B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03E994D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3300C2A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r>
      <w:tr w:rsidR="0022670C" w:rsidRPr="00572FD8" w14:paraId="5EA3F43D" w14:textId="77777777" w:rsidTr="0022670C">
        <w:trPr>
          <w:trHeight w:val="260"/>
        </w:trPr>
        <w:tc>
          <w:tcPr>
            <w:tcW w:w="0" w:type="auto"/>
            <w:tcBorders>
              <w:top w:val="nil"/>
              <w:left w:val="nil"/>
              <w:bottom w:val="nil"/>
              <w:right w:val="nil"/>
            </w:tcBorders>
            <w:hideMark/>
          </w:tcPr>
          <w:p w14:paraId="6219DE7C"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Other receipts</w:t>
            </w:r>
          </w:p>
        </w:tc>
        <w:tc>
          <w:tcPr>
            <w:tcW w:w="0" w:type="auto"/>
            <w:tcBorders>
              <w:top w:val="nil"/>
              <w:left w:val="nil"/>
              <w:bottom w:val="nil"/>
              <w:right w:val="nil"/>
            </w:tcBorders>
            <w:vAlign w:val="center"/>
            <w:hideMark/>
          </w:tcPr>
          <w:p w14:paraId="157929D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5,653</w:t>
            </w:r>
          </w:p>
        </w:tc>
        <w:tc>
          <w:tcPr>
            <w:tcW w:w="0" w:type="auto"/>
            <w:tcBorders>
              <w:top w:val="nil"/>
              <w:left w:val="nil"/>
              <w:bottom w:val="nil"/>
              <w:right w:val="nil"/>
            </w:tcBorders>
          </w:tcPr>
          <w:p w14:paraId="565863D7"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6447F5EC" w14:textId="4EB379E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6,881</w:t>
            </w:r>
          </w:p>
        </w:tc>
        <w:tc>
          <w:tcPr>
            <w:tcW w:w="0" w:type="auto"/>
            <w:tcBorders>
              <w:top w:val="nil"/>
              <w:left w:val="nil"/>
              <w:bottom w:val="nil"/>
              <w:right w:val="nil"/>
            </w:tcBorders>
            <w:vAlign w:val="center"/>
            <w:hideMark/>
          </w:tcPr>
          <w:p w14:paraId="37B25B7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6,155</w:t>
            </w:r>
          </w:p>
        </w:tc>
        <w:tc>
          <w:tcPr>
            <w:tcW w:w="0" w:type="auto"/>
            <w:tcBorders>
              <w:top w:val="nil"/>
              <w:left w:val="nil"/>
              <w:bottom w:val="nil"/>
              <w:right w:val="nil"/>
            </w:tcBorders>
            <w:vAlign w:val="center"/>
            <w:hideMark/>
          </w:tcPr>
          <w:p w14:paraId="506CB4C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3,638</w:t>
            </w:r>
          </w:p>
        </w:tc>
        <w:tc>
          <w:tcPr>
            <w:tcW w:w="0" w:type="auto"/>
            <w:tcBorders>
              <w:top w:val="nil"/>
              <w:left w:val="nil"/>
              <w:bottom w:val="nil"/>
              <w:right w:val="nil"/>
            </w:tcBorders>
            <w:vAlign w:val="center"/>
            <w:hideMark/>
          </w:tcPr>
          <w:p w14:paraId="7561405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5,229</w:t>
            </w:r>
          </w:p>
        </w:tc>
        <w:tc>
          <w:tcPr>
            <w:tcW w:w="0" w:type="auto"/>
            <w:tcBorders>
              <w:top w:val="nil"/>
              <w:left w:val="nil"/>
              <w:bottom w:val="nil"/>
              <w:right w:val="nil"/>
            </w:tcBorders>
            <w:vAlign w:val="center"/>
            <w:hideMark/>
          </w:tcPr>
          <w:p w14:paraId="2EEE2CF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4,748</w:t>
            </w:r>
          </w:p>
        </w:tc>
        <w:tc>
          <w:tcPr>
            <w:tcW w:w="0" w:type="auto"/>
            <w:tcBorders>
              <w:top w:val="nil"/>
              <w:left w:val="nil"/>
              <w:bottom w:val="nil"/>
              <w:right w:val="nil"/>
            </w:tcBorders>
            <w:vAlign w:val="center"/>
            <w:hideMark/>
          </w:tcPr>
          <w:p w14:paraId="023FADD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5,321</w:t>
            </w:r>
          </w:p>
        </w:tc>
        <w:tc>
          <w:tcPr>
            <w:tcW w:w="0" w:type="auto"/>
            <w:tcBorders>
              <w:top w:val="nil"/>
              <w:left w:val="nil"/>
              <w:bottom w:val="nil"/>
              <w:right w:val="nil"/>
            </w:tcBorders>
            <w:vAlign w:val="center"/>
            <w:hideMark/>
          </w:tcPr>
          <w:p w14:paraId="5FFBD33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4,109</w:t>
            </w:r>
          </w:p>
        </w:tc>
        <w:tc>
          <w:tcPr>
            <w:tcW w:w="0" w:type="auto"/>
            <w:tcBorders>
              <w:top w:val="nil"/>
              <w:left w:val="nil"/>
              <w:bottom w:val="nil"/>
              <w:right w:val="nil"/>
            </w:tcBorders>
            <w:vAlign w:val="center"/>
            <w:hideMark/>
          </w:tcPr>
          <w:p w14:paraId="5AE39A5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4,576</w:t>
            </w:r>
          </w:p>
        </w:tc>
        <w:tc>
          <w:tcPr>
            <w:tcW w:w="0" w:type="auto"/>
            <w:tcBorders>
              <w:top w:val="nil"/>
              <w:left w:val="nil"/>
              <w:bottom w:val="nil"/>
              <w:right w:val="nil"/>
            </w:tcBorders>
            <w:vAlign w:val="center"/>
            <w:hideMark/>
          </w:tcPr>
          <w:p w14:paraId="68A5AC0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5,086</w:t>
            </w:r>
          </w:p>
        </w:tc>
        <w:tc>
          <w:tcPr>
            <w:tcW w:w="0" w:type="auto"/>
            <w:tcBorders>
              <w:top w:val="nil"/>
              <w:left w:val="nil"/>
              <w:bottom w:val="nil"/>
              <w:right w:val="nil"/>
            </w:tcBorders>
            <w:vAlign w:val="center"/>
            <w:hideMark/>
          </w:tcPr>
          <w:p w14:paraId="36C5D5B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5,759</w:t>
            </w:r>
          </w:p>
        </w:tc>
      </w:tr>
      <w:tr w:rsidR="0022670C" w:rsidRPr="00572FD8" w14:paraId="3A23167C" w14:textId="77777777" w:rsidTr="0022670C">
        <w:trPr>
          <w:trHeight w:val="260"/>
        </w:trPr>
        <w:tc>
          <w:tcPr>
            <w:tcW w:w="0" w:type="auto"/>
            <w:tcBorders>
              <w:top w:val="nil"/>
              <w:left w:val="nil"/>
              <w:bottom w:val="nil"/>
              <w:right w:val="nil"/>
            </w:tcBorders>
            <w:hideMark/>
          </w:tcPr>
          <w:p w14:paraId="52DDBB8D"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Net GST refund / payment</w:t>
            </w:r>
          </w:p>
        </w:tc>
        <w:tc>
          <w:tcPr>
            <w:tcW w:w="0" w:type="auto"/>
            <w:tcBorders>
              <w:top w:val="nil"/>
              <w:left w:val="nil"/>
              <w:bottom w:val="nil"/>
              <w:right w:val="nil"/>
            </w:tcBorders>
            <w:vAlign w:val="center"/>
            <w:hideMark/>
          </w:tcPr>
          <w:p w14:paraId="1F70DF9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12,511</w:t>
            </w:r>
          </w:p>
        </w:tc>
        <w:tc>
          <w:tcPr>
            <w:tcW w:w="0" w:type="auto"/>
            <w:tcBorders>
              <w:top w:val="nil"/>
              <w:left w:val="nil"/>
              <w:bottom w:val="nil"/>
              <w:right w:val="nil"/>
            </w:tcBorders>
          </w:tcPr>
          <w:p w14:paraId="158FF235"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483DCB97" w14:textId="17FB0F8A"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8,775</w:t>
            </w:r>
          </w:p>
        </w:tc>
        <w:tc>
          <w:tcPr>
            <w:tcW w:w="0" w:type="auto"/>
            <w:tcBorders>
              <w:top w:val="nil"/>
              <w:left w:val="nil"/>
              <w:bottom w:val="nil"/>
              <w:right w:val="nil"/>
            </w:tcBorders>
            <w:vAlign w:val="center"/>
            <w:hideMark/>
          </w:tcPr>
          <w:p w14:paraId="05B83AB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11,578</w:t>
            </w:r>
          </w:p>
        </w:tc>
        <w:tc>
          <w:tcPr>
            <w:tcW w:w="0" w:type="auto"/>
            <w:tcBorders>
              <w:top w:val="nil"/>
              <w:left w:val="nil"/>
              <w:bottom w:val="nil"/>
              <w:right w:val="nil"/>
            </w:tcBorders>
            <w:vAlign w:val="center"/>
            <w:hideMark/>
          </w:tcPr>
          <w:p w14:paraId="07B2718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11,374</w:t>
            </w:r>
          </w:p>
        </w:tc>
        <w:tc>
          <w:tcPr>
            <w:tcW w:w="0" w:type="auto"/>
            <w:tcBorders>
              <w:top w:val="nil"/>
              <w:left w:val="nil"/>
              <w:bottom w:val="nil"/>
              <w:right w:val="nil"/>
            </w:tcBorders>
            <w:vAlign w:val="center"/>
            <w:hideMark/>
          </w:tcPr>
          <w:p w14:paraId="63BA0E1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12,475</w:t>
            </w:r>
          </w:p>
        </w:tc>
        <w:tc>
          <w:tcPr>
            <w:tcW w:w="0" w:type="auto"/>
            <w:tcBorders>
              <w:top w:val="nil"/>
              <w:left w:val="nil"/>
              <w:bottom w:val="nil"/>
              <w:right w:val="nil"/>
            </w:tcBorders>
            <w:vAlign w:val="center"/>
            <w:hideMark/>
          </w:tcPr>
          <w:p w14:paraId="73BBCEE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11,394</w:t>
            </w:r>
          </w:p>
        </w:tc>
        <w:tc>
          <w:tcPr>
            <w:tcW w:w="0" w:type="auto"/>
            <w:tcBorders>
              <w:top w:val="nil"/>
              <w:left w:val="nil"/>
              <w:bottom w:val="nil"/>
              <w:right w:val="nil"/>
            </w:tcBorders>
            <w:vAlign w:val="center"/>
            <w:hideMark/>
          </w:tcPr>
          <w:p w14:paraId="06FDCE3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12,729</w:t>
            </w:r>
          </w:p>
        </w:tc>
        <w:tc>
          <w:tcPr>
            <w:tcW w:w="0" w:type="auto"/>
            <w:tcBorders>
              <w:top w:val="nil"/>
              <w:left w:val="nil"/>
              <w:bottom w:val="nil"/>
              <w:right w:val="nil"/>
            </w:tcBorders>
            <w:vAlign w:val="center"/>
            <w:hideMark/>
          </w:tcPr>
          <w:p w14:paraId="51DBBF8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12,967</w:t>
            </w:r>
          </w:p>
        </w:tc>
        <w:tc>
          <w:tcPr>
            <w:tcW w:w="0" w:type="auto"/>
            <w:tcBorders>
              <w:top w:val="nil"/>
              <w:left w:val="nil"/>
              <w:bottom w:val="nil"/>
              <w:right w:val="nil"/>
            </w:tcBorders>
            <w:vAlign w:val="center"/>
            <w:hideMark/>
          </w:tcPr>
          <w:p w14:paraId="7650ACA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13,115</w:t>
            </w:r>
          </w:p>
        </w:tc>
        <w:tc>
          <w:tcPr>
            <w:tcW w:w="0" w:type="auto"/>
            <w:tcBorders>
              <w:top w:val="nil"/>
              <w:left w:val="nil"/>
              <w:bottom w:val="nil"/>
              <w:right w:val="nil"/>
            </w:tcBorders>
            <w:vAlign w:val="center"/>
            <w:hideMark/>
          </w:tcPr>
          <w:p w14:paraId="0FFCB5D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12,762</w:t>
            </w:r>
          </w:p>
        </w:tc>
        <w:tc>
          <w:tcPr>
            <w:tcW w:w="0" w:type="auto"/>
            <w:tcBorders>
              <w:top w:val="nil"/>
              <w:left w:val="nil"/>
              <w:bottom w:val="nil"/>
              <w:right w:val="nil"/>
            </w:tcBorders>
            <w:vAlign w:val="center"/>
            <w:hideMark/>
          </w:tcPr>
          <w:p w14:paraId="6CD81ED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13,248</w:t>
            </w:r>
          </w:p>
        </w:tc>
      </w:tr>
      <w:tr w:rsidR="0022670C" w:rsidRPr="00572FD8" w14:paraId="6CC14473" w14:textId="77777777" w:rsidTr="0022670C">
        <w:trPr>
          <w:trHeight w:val="260"/>
        </w:trPr>
        <w:tc>
          <w:tcPr>
            <w:tcW w:w="0" w:type="auto"/>
            <w:tcBorders>
              <w:top w:val="nil"/>
              <w:left w:val="nil"/>
              <w:bottom w:val="nil"/>
              <w:right w:val="nil"/>
            </w:tcBorders>
            <w:hideMark/>
          </w:tcPr>
          <w:p w14:paraId="6F2275E0"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Employee costs</w:t>
            </w:r>
          </w:p>
        </w:tc>
        <w:tc>
          <w:tcPr>
            <w:tcW w:w="0" w:type="auto"/>
            <w:tcBorders>
              <w:top w:val="nil"/>
              <w:left w:val="nil"/>
              <w:bottom w:val="nil"/>
              <w:right w:val="nil"/>
            </w:tcBorders>
            <w:vAlign w:val="center"/>
            <w:hideMark/>
          </w:tcPr>
          <w:p w14:paraId="1811029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(58,863)</w:t>
            </w:r>
          </w:p>
        </w:tc>
        <w:tc>
          <w:tcPr>
            <w:tcW w:w="0" w:type="auto"/>
            <w:tcBorders>
              <w:top w:val="nil"/>
              <w:left w:val="nil"/>
              <w:bottom w:val="nil"/>
              <w:right w:val="nil"/>
            </w:tcBorders>
          </w:tcPr>
          <w:p w14:paraId="46C30A2C"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5F9E4522" w14:textId="4E4BA342"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(60,074)</w:t>
            </w:r>
          </w:p>
        </w:tc>
        <w:tc>
          <w:tcPr>
            <w:tcW w:w="0" w:type="auto"/>
            <w:tcBorders>
              <w:top w:val="nil"/>
              <w:left w:val="nil"/>
              <w:bottom w:val="nil"/>
              <w:right w:val="nil"/>
            </w:tcBorders>
            <w:vAlign w:val="center"/>
            <w:hideMark/>
          </w:tcPr>
          <w:p w14:paraId="55CF0C1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(64,580)</w:t>
            </w:r>
          </w:p>
        </w:tc>
        <w:tc>
          <w:tcPr>
            <w:tcW w:w="0" w:type="auto"/>
            <w:tcBorders>
              <w:top w:val="nil"/>
              <w:left w:val="nil"/>
              <w:bottom w:val="nil"/>
              <w:right w:val="nil"/>
            </w:tcBorders>
            <w:vAlign w:val="center"/>
            <w:hideMark/>
          </w:tcPr>
          <w:p w14:paraId="0310511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(69,423)</w:t>
            </w:r>
          </w:p>
        </w:tc>
        <w:tc>
          <w:tcPr>
            <w:tcW w:w="0" w:type="auto"/>
            <w:tcBorders>
              <w:top w:val="nil"/>
              <w:left w:val="nil"/>
              <w:bottom w:val="nil"/>
              <w:right w:val="nil"/>
            </w:tcBorders>
            <w:vAlign w:val="center"/>
            <w:hideMark/>
          </w:tcPr>
          <w:p w14:paraId="2403745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(72,200)</w:t>
            </w:r>
          </w:p>
        </w:tc>
        <w:tc>
          <w:tcPr>
            <w:tcW w:w="0" w:type="auto"/>
            <w:tcBorders>
              <w:top w:val="nil"/>
              <w:left w:val="nil"/>
              <w:bottom w:val="nil"/>
              <w:right w:val="nil"/>
            </w:tcBorders>
            <w:vAlign w:val="center"/>
            <w:hideMark/>
          </w:tcPr>
          <w:p w14:paraId="3392DBB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(75,088)</w:t>
            </w:r>
          </w:p>
        </w:tc>
        <w:tc>
          <w:tcPr>
            <w:tcW w:w="0" w:type="auto"/>
            <w:tcBorders>
              <w:top w:val="nil"/>
              <w:left w:val="nil"/>
              <w:bottom w:val="nil"/>
              <w:right w:val="nil"/>
            </w:tcBorders>
            <w:vAlign w:val="center"/>
            <w:hideMark/>
          </w:tcPr>
          <w:p w14:paraId="2402D49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(78,091)</w:t>
            </w:r>
          </w:p>
        </w:tc>
        <w:tc>
          <w:tcPr>
            <w:tcW w:w="0" w:type="auto"/>
            <w:tcBorders>
              <w:top w:val="nil"/>
              <w:left w:val="nil"/>
              <w:bottom w:val="nil"/>
              <w:right w:val="nil"/>
            </w:tcBorders>
            <w:vAlign w:val="center"/>
            <w:hideMark/>
          </w:tcPr>
          <w:p w14:paraId="1BA3778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(81,215)</w:t>
            </w:r>
          </w:p>
        </w:tc>
        <w:tc>
          <w:tcPr>
            <w:tcW w:w="0" w:type="auto"/>
            <w:tcBorders>
              <w:top w:val="nil"/>
              <w:left w:val="nil"/>
              <w:bottom w:val="nil"/>
              <w:right w:val="nil"/>
            </w:tcBorders>
            <w:vAlign w:val="center"/>
            <w:hideMark/>
          </w:tcPr>
          <w:p w14:paraId="692D76D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(84,464)</w:t>
            </w:r>
          </w:p>
        </w:tc>
        <w:tc>
          <w:tcPr>
            <w:tcW w:w="0" w:type="auto"/>
            <w:tcBorders>
              <w:top w:val="nil"/>
              <w:left w:val="nil"/>
              <w:bottom w:val="nil"/>
              <w:right w:val="nil"/>
            </w:tcBorders>
            <w:vAlign w:val="center"/>
            <w:hideMark/>
          </w:tcPr>
          <w:p w14:paraId="10351F8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(80,622)</w:t>
            </w:r>
          </w:p>
        </w:tc>
        <w:tc>
          <w:tcPr>
            <w:tcW w:w="0" w:type="auto"/>
            <w:tcBorders>
              <w:top w:val="nil"/>
              <w:left w:val="nil"/>
              <w:bottom w:val="nil"/>
              <w:right w:val="nil"/>
            </w:tcBorders>
            <w:vAlign w:val="center"/>
            <w:hideMark/>
          </w:tcPr>
          <w:p w14:paraId="6107367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(91,067)</w:t>
            </w:r>
          </w:p>
        </w:tc>
      </w:tr>
      <w:tr w:rsidR="0022670C" w:rsidRPr="00572FD8" w14:paraId="7C9BF600" w14:textId="77777777" w:rsidTr="0022670C">
        <w:trPr>
          <w:trHeight w:val="260"/>
        </w:trPr>
        <w:tc>
          <w:tcPr>
            <w:tcW w:w="0" w:type="auto"/>
            <w:tcBorders>
              <w:top w:val="nil"/>
              <w:left w:val="nil"/>
              <w:bottom w:val="nil"/>
              <w:right w:val="nil"/>
            </w:tcBorders>
            <w:hideMark/>
          </w:tcPr>
          <w:p w14:paraId="4D6BEC15"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Materials and services</w:t>
            </w:r>
          </w:p>
        </w:tc>
        <w:tc>
          <w:tcPr>
            <w:tcW w:w="0" w:type="auto"/>
            <w:tcBorders>
              <w:top w:val="nil"/>
              <w:left w:val="nil"/>
              <w:bottom w:val="nil"/>
              <w:right w:val="nil"/>
            </w:tcBorders>
            <w:vAlign w:val="center"/>
            <w:hideMark/>
          </w:tcPr>
          <w:p w14:paraId="404CC8A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(98,073)</w:t>
            </w:r>
          </w:p>
        </w:tc>
        <w:tc>
          <w:tcPr>
            <w:tcW w:w="0" w:type="auto"/>
            <w:tcBorders>
              <w:top w:val="nil"/>
              <w:left w:val="nil"/>
              <w:bottom w:val="nil"/>
              <w:right w:val="nil"/>
            </w:tcBorders>
          </w:tcPr>
          <w:p w14:paraId="54F7F4CF"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5CBAA581" w14:textId="436A02BD"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(87,398)</w:t>
            </w:r>
          </w:p>
        </w:tc>
        <w:tc>
          <w:tcPr>
            <w:tcW w:w="0" w:type="auto"/>
            <w:tcBorders>
              <w:top w:val="nil"/>
              <w:left w:val="nil"/>
              <w:bottom w:val="nil"/>
              <w:right w:val="nil"/>
            </w:tcBorders>
            <w:vAlign w:val="center"/>
            <w:hideMark/>
          </w:tcPr>
          <w:p w14:paraId="7F6C22D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(89,970)</w:t>
            </w:r>
          </w:p>
        </w:tc>
        <w:tc>
          <w:tcPr>
            <w:tcW w:w="0" w:type="auto"/>
            <w:tcBorders>
              <w:top w:val="nil"/>
              <w:left w:val="nil"/>
              <w:bottom w:val="nil"/>
              <w:right w:val="nil"/>
            </w:tcBorders>
            <w:vAlign w:val="center"/>
            <w:hideMark/>
          </w:tcPr>
          <w:p w14:paraId="7281C8A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(94,078)</w:t>
            </w:r>
          </w:p>
        </w:tc>
        <w:tc>
          <w:tcPr>
            <w:tcW w:w="0" w:type="auto"/>
            <w:tcBorders>
              <w:top w:val="nil"/>
              <w:left w:val="nil"/>
              <w:bottom w:val="nil"/>
              <w:right w:val="nil"/>
            </w:tcBorders>
            <w:vAlign w:val="center"/>
            <w:hideMark/>
          </w:tcPr>
          <w:p w14:paraId="77FAB49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(98,309)</w:t>
            </w:r>
          </w:p>
        </w:tc>
        <w:tc>
          <w:tcPr>
            <w:tcW w:w="0" w:type="auto"/>
            <w:tcBorders>
              <w:top w:val="nil"/>
              <w:left w:val="nil"/>
              <w:bottom w:val="nil"/>
              <w:right w:val="nil"/>
            </w:tcBorders>
            <w:vAlign w:val="center"/>
            <w:hideMark/>
          </w:tcPr>
          <w:p w14:paraId="67EFA2B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(102,797)</w:t>
            </w:r>
          </w:p>
        </w:tc>
        <w:tc>
          <w:tcPr>
            <w:tcW w:w="0" w:type="auto"/>
            <w:tcBorders>
              <w:top w:val="nil"/>
              <w:left w:val="nil"/>
              <w:bottom w:val="nil"/>
              <w:right w:val="nil"/>
            </w:tcBorders>
            <w:vAlign w:val="center"/>
            <w:hideMark/>
          </w:tcPr>
          <w:p w14:paraId="6F41D21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(107,468)</w:t>
            </w:r>
          </w:p>
        </w:tc>
        <w:tc>
          <w:tcPr>
            <w:tcW w:w="0" w:type="auto"/>
            <w:tcBorders>
              <w:top w:val="nil"/>
              <w:left w:val="nil"/>
              <w:bottom w:val="nil"/>
              <w:right w:val="nil"/>
            </w:tcBorders>
            <w:vAlign w:val="center"/>
            <w:hideMark/>
          </w:tcPr>
          <w:p w14:paraId="4B25C27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(112,376)</w:t>
            </w:r>
          </w:p>
        </w:tc>
        <w:tc>
          <w:tcPr>
            <w:tcW w:w="0" w:type="auto"/>
            <w:tcBorders>
              <w:top w:val="nil"/>
              <w:left w:val="nil"/>
              <w:bottom w:val="nil"/>
              <w:right w:val="nil"/>
            </w:tcBorders>
            <w:vAlign w:val="center"/>
            <w:hideMark/>
          </w:tcPr>
          <w:p w14:paraId="02A2A18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(117,431)</w:t>
            </w:r>
          </w:p>
        </w:tc>
        <w:tc>
          <w:tcPr>
            <w:tcW w:w="0" w:type="auto"/>
            <w:tcBorders>
              <w:top w:val="nil"/>
              <w:left w:val="nil"/>
              <w:bottom w:val="nil"/>
              <w:right w:val="nil"/>
            </w:tcBorders>
            <w:vAlign w:val="center"/>
            <w:hideMark/>
          </w:tcPr>
          <w:p w14:paraId="341C994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(122,795)</w:t>
            </w:r>
          </w:p>
        </w:tc>
        <w:tc>
          <w:tcPr>
            <w:tcW w:w="0" w:type="auto"/>
            <w:tcBorders>
              <w:top w:val="nil"/>
              <w:left w:val="nil"/>
              <w:bottom w:val="nil"/>
              <w:right w:val="nil"/>
            </w:tcBorders>
            <w:vAlign w:val="center"/>
            <w:hideMark/>
          </w:tcPr>
          <w:p w14:paraId="4830363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(128,376)</w:t>
            </w:r>
          </w:p>
        </w:tc>
      </w:tr>
      <w:tr w:rsidR="0022670C" w:rsidRPr="00572FD8" w14:paraId="0DE23C2D" w14:textId="77777777" w:rsidTr="0022670C">
        <w:trPr>
          <w:trHeight w:val="260"/>
        </w:trPr>
        <w:tc>
          <w:tcPr>
            <w:tcW w:w="0" w:type="auto"/>
            <w:tcBorders>
              <w:top w:val="nil"/>
              <w:left w:val="nil"/>
              <w:bottom w:val="nil"/>
              <w:right w:val="nil"/>
            </w:tcBorders>
            <w:hideMark/>
          </w:tcPr>
          <w:p w14:paraId="0639560A"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Short-term, low value and variable lease payments</w:t>
            </w:r>
          </w:p>
        </w:tc>
        <w:tc>
          <w:tcPr>
            <w:tcW w:w="0" w:type="auto"/>
            <w:tcBorders>
              <w:top w:val="nil"/>
              <w:left w:val="nil"/>
              <w:bottom w:val="nil"/>
              <w:right w:val="nil"/>
            </w:tcBorders>
            <w:vAlign w:val="center"/>
            <w:hideMark/>
          </w:tcPr>
          <w:p w14:paraId="60A670C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(387)</w:t>
            </w:r>
          </w:p>
        </w:tc>
        <w:tc>
          <w:tcPr>
            <w:tcW w:w="0" w:type="auto"/>
            <w:tcBorders>
              <w:top w:val="nil"/>
              <w:left w:val="nil"/>
              <w:bottom w:val="nil"/>
              <w:right w:val="nil"/>
            </w:tcBorders>
          </w:tcPr>
          <w:p w14:paraId="51AE087D"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6C42915C" w14:textId="47779578"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50CF604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3EAE106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36B86CF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5C389A3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0280239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08E13C6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43D632C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0B65D49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5C99A88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r>
      <w:tr w:rsidR="0022670C" w:rsidRPr="00572FD8" w14:paraId="33193138" w14:textId="77777777" w:rsidTr="0022670C">
        <w:trPr>
          <w:trHeight w:val="260"/>
        </w:trPr>
        <w:tc>
          <w:tcPr>
            <w:tcW w:w="0" w:type="auto"/>
            <w:tcBorders>
              <w:top w:val="nil"/>
              <w:left w:val="nil"/>
              <w:bottom w:val="nil"/>
              <w:right w:val="nil"/>
            </w:tcBorders>
            <w:hideMark/>
          </w:tcPr>
          <w:p w14:paraId="3B2B3F9F"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Other payments</w:t>
            </w:r>
          </w:p>
        </w:tc>
        <w:tc>
          <w:tcPr>
            <w:tcW w:w="0" w:type="auto"/>
            <w:tcBorders>
              <w:top w:val="nil"/>
              <w:left w:val="nil"/>
              <w:bottom w:val="nil"/>
              <w:right w:val="nil"/>
            </w:tcBorders>
            <w:vAlign w:val="center"/>
            <w:hideMark/>
          </w:tcPr>
          <w:p w14:paraId="0534963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(1,913)</w:t>
            </w:r>
          </w:p>
        </w:tc>
        <w:tc>
          <w:tcPr>
            <w:tcW w:w="0" w:type="auto"/>
            <w:tcBorders>
              <w:top w:val="nil"/>
              <w:left w:val="nil"/>
              <w:bottom w:val="nil"/>
              <w:right w:val="nil"/>
            </w:tcBorders>
          </w:tcPr>
          <w:p w14:paraId="3E75ACAD"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4D73CBEB" w14:textId="1C8892D5"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(2,784)</w:t>
            </w:r>
          </w:p>
        </w:tc>
        <w:tc>
          <w:tcPr>
            <w:tcW w:w="0" w:type="auto"/>
            <w:tcBorders>
              <w:top w:val="nil"/>
              <w:left w:val="nil"/>
              <w:bottom w:val="nil"/>
              <w:right w:val="nil"/>
            </w:tcBorders>
            <w:vAlign w:val="center"/>
            <w:hideMark/>
          </w:tcPr>
          <w:p w14:paraId="6E62CD9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2,234</w:t>
            </w:r>
          </w:p>
        </w:tc>
        <w:tc>
          <w:tcPr>
            <w:tcW w:w="0" w:type="auto"/>
            <w:tcBorders>
              <w:top w:val="nil"/>
              <w:left w:val="nil"/>
              <w:bottom w:val="nil"/>
              <w:right w:val="nil"/>
            </w:tcBorders>
            <w:vAlign w:val="center"/>
            <w:hideMark/>
          </w:tcPr>
          <w:p w14:paraId="5F75DDD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5,646</w:t>
            </w:r>
          </w:p>
        </w:tc>
        <w:tc>
          <w:tcPr>
            <w:tcW w:w="0" w:type="auto"/>
            <w:tcBorders>
              <w:top w:val="nil"/>
              <w:left w:val="nil"/>
              <w:bottom w:val="nil"/>
              <w:right w:val="nil"/>
            </w:tcBorders>
            <w:vAlign w:val="center"/>
            <w:hideMark/>
          </w:tcPr>
          <w:p w14:paraId="47CB6B2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5,236</w:t>
            </w:r>
          </w:p>
        </w:tc>
        <w:tc>
          <w:tcPr>
            <w:tcW w:w="0" w:type="auto"/>
            <w:tcBorders>
              <w:top w:val="nil"/>
              <w:left w:val="nil"/>
              <w:bottom w:val="nil"/>
              <w:right w:val="nil"/>
            </w:tcBorders>
            <w:vAlign w:val="center"/>
            <w:hideMark/>
          </w:tcPr>
          <w:p w14:paraId="61DB656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7,734</w:t>
            </w:r>
          </w:p>
        </w:tc>
        <w:tc>
          <w:tcPr>
            <w:tcW w:w="0" w:type="auto"/>
            <w:tcBorders>
              <w:top w:val="nil"/>
              <w:left w:val="nil"/>
              <w:bottom w:val="nil"/>
              <w:right w:val="nil"/>
            </w:tcBorders>
            <w:vAlign w:val="center"/>
            <w:hideMark/>
          </w:tcPr>
          <w:p w14:paraId="38CEFCC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9,913</w:t>
            </w:r>
          </w:p>
        </w:tc>
        <w:tc>
          <w:tcPr>
            <w:tcW w:w="0" w:type="auto"/>
            <w:tcBorders>
              <w:top w:val="nil"/>
              <w:left w:val="nil"/>
              <w:bottom w:val="nil"/>
              <w:right w:val="nil"/>
            </w:tcBorders>
            <w:vAlign w:val="center"/>
            <w:hideMark/>
          </w:tcPr>
          <w:p w14:paraId="77C3897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10,018</w:t>
            </w:r>
          </w:p>
        </w:tc>
        <w:tc>
          <w:tcPr>
            <w:tcW w:w="0" w:type="auto"/>
            <w:tcBorders>
              <w:top w:val="nil"/>
              <w:left w:val="nil"/>
              <w:bottom w:val="nil"/>
              <w:right w:val="nil"/>
            </w:tcBorders>
            <w:vAlign w:val="center"/>
            <w:hideMark/>
          </w:tcPr>
          <w:p w14:paraId="237DCF7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13,367</w:t>
            </w:r>
          </w:p>
        </w:tc>
        <w:tc>
          <w:tcPr>
            <w:tcW w:w="0" w:type="auto"/>
            <w:tcBorders>
              <w:top w:val="nil"/>
              <w:left w:val="nil"/>
              <w:bottom w:val="nil"/>
              <w:right w:val="nil"/>
            </w:tcBorders>
            <w:vAlign w:val="center"/>
            <w:hideMark/>
          </w:tcPr>
          <w:p w14:paraId="2C8D8A8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14,201</w:t>
            </w:r>
          </w:p>
        </w:tc>
        <w:tc>
          <w:tcPr>
            <w:tcW w:w="0" w:type="auto"/>
            <w:tcBorders>
              <w:top w:val="nil"/>
              <w:left w:val="nil"/>
              <w:bottom w:val="nil"/>
              <w:right w:val="nil"/>
            </w:tcBorders>
            <w:vAlign w:val="center"/>
            <w:hideMark/>
          </w:tcPr>
          <w:p w14:paraId="4D077B7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14,171</w:t>
            </w:r>
          </w:p>
        </w:tc>
      </w:tr>
      <w:tr w:rsidR="0022670C" w:rsidRPr="00572FD8" w14:paraId="66F564D7" w14:textId="77777777" w:rsidTr="0022670C">
        <w:trPr>
          <w:trHeight w:val="260"/>
        </w:trPr>
        <w:tc>
          <w:tcPr>
            <w:tcW w:w="0" w:type="auto"/>
            <w:tcBorders>
              <w:top w:val="nil"/>
              <w:left w:val="nil"/>
              <w:bottom w:val="nil"/>
              <w:right w:val="nil"/>
            </w:tcBorders>
            <w:hideMark/>
          </w:tcPr>
          <w:p w14:paraId="6881FDC5" w14:textId="77777777" w:rsidR="0022670C" w:rsidRPr="00572FD8" w:rsidRDefault="0022670C" w:rsidP="00572FD8">
            <w:pPr>
              <w:spacing w:before="0" w:after="0"/>
              <w:rPr>
                <w:rFonts w:ascii="Arial" w:hAnsi="Arial" w:cs="Arial"/>
                <w:b/>
                <w:bCs/>
                <w:sz w:val="16"/>
                <w:szCs w:val="16"/>
              </w:rPr>
            </w:pPr>
            <w:r w:rsidRPr="00572FD8">
              <w:rPr>
                <w:rFonts w:ascii="Arial" w:hAnsi="Arial" w:cs="Arial"/>
                <w:b/>
                <w:bCs/>
                <w:sz w:val="16"/>
                <w:szCs w:val="16"/>
              </w:rPr>
              <w:t>Net cash provided by</w:t>
            </w:r>
            <w:proofErr w:type="gramStart"/>
            <w:r w:rsidRPr="00572FD8">
              <w:rPr>
                <w:rFonts w:ascii="Arial" w:hAnsi="Arial" w:cs="Arial"/>
                <w:b/>
                <w:bCs/>
                <w:sz w:val="16"/>
                <w:szCs w:val="16"/>
              </w:rPr>
              <w:t>/(</w:t>
            </w:r>
            <w:proofErr w:type="gramEnd"/>
            <w:r w:rsidRPr="00572FD8">
              <w:rPr>
                <w:rFonts w:ascii="Arial" w:hAnsi="Arial" w:cs="Arial"/>
                <w:b/>
                <w:bCs/>
                <w:sz w:val="16"/>
                <w:szCs w:val="16"/>
              </w:rPr>
              <w:t xml:space="preserve">used in) operating activities </w:t>
            </w:r>
          </w:p>
        </w:tc>
        <w:tc>
          <w:tcPr>
            <w:tcW w:w="0" w:type="auto"/>
            <w:tcBorders>
              <w:top w:val="single" w:sz="4" w:space="0" w:color="auto"/>
              <w:left w:val="nil"/>
              <w:bottom w:val="single" w:sz="4" w:space="0" w:color="auto"/>
              <w:right w:val="nil"/>
            </w:tcBorders>
            <w:vAlign w:val="center"/>
            <w:hideMark/>
          </w:tcPr>
          <w:p w14:paraId="5DF152E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77,334</w:t>
            </w:r>
          </w:p>
        </w:tc>
        <w:tc>
          <w:tcPr>
            <w:tcW w:w="0" w:type="auto"/>
            <w:tcBorders>
              <w:top w:val="single" w:sz="4" w:space="0" w:color="auto"/>
              <w:left w:val="nil"/>
              <w:bottom w:val="single" w:sz="4" w:space="0" w:color="auto"/>
              <w:right w:val="nil"/>
            </w:tcBorders>
          </w:tcPr>
          <w:p w14:paraId="784BE83E" w14:textId="77777777" w:rsidR="0022670C" w:rsidRPr="00572FD8" w:rsidRDefault="0022670C" w:rsidP="00572FD8">
            <w:pPr>
              <w:spacing w:before="0" w:after="0"/>
              <w:jc w:val="right"/>
              <w:rPr>
                <w:rFonts w:ascii="Arial" w:hAnsi="Arial" w:cs="Arial"/>
                <w:sz w:val="16"/>
                <w:szCs w:val="16"/>
              </w:rPr>
            </w:pPr>
          </w:p>
        </w:tc>
        <w:tc>
          <w:tcPr>
            <w:tcW w:w="0" w:type="auto"/>
            <w:tcBorders>
              <w:top w:val="single" w:sz="4" w:space="0" w:color="auto"/>
              <w:left w:val="nil"/>
              <w:bottom w:val="single" w:sz="4" w:space="0" w:color="auto"/>
              <w:right w:val="nil"/>
            </w:tcBorders>
            <w:vAlign w:val="center"/>
            <w:hideMark/>
          </w:tcPr>
          <w:p w14:paraId="0E05FD5A" w14:textId="436E44A3"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112,191</w:t>
            </w:r>
          </w:p>
        </w:tc>
        <w:tc>
          <w:tcPr>
            <w:tcW w:w="0" w:type="auto"/>
            <w:tcBorders>
              <w:top w:val="single" w:sz="4" w:space="0" w:color="auto"/>
              <w:left w:val="nil"/>
              <w:bottom w:val="single" w:sz="4" w:space="0" w:color="auto"/>
              <w:right w:val="nil"/>
            </w:tcBorders>
            <w:vAlign w:val="center"/>
            <w:hideMark/>
          </w:tcPr>
          <w:p w14:paraId="16D5173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70,860</w:t>
            </w:r>
          </w:p>
        </w:tc>
        <w:tc>
          <w:tcPr>
            <w:tcW w:w="0" w:type="auto"/>
            <w:tcBorders>
              <w:top w:val="single" w:sz="4" w:space="0" w:color="auto"/>
              <w:left w:val="nil"/>
              <w:bottom w:val="single" w:sz="4" w:space="0" w:color="auto"/>
              <w:right w:val="nil"/>
            </w:tcBorders>
            <w:vAlign w:val="center"/>
            <w:hideMark/>
          </w:tcPr>
          <w:p w14:paraId="07E8C20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74,690</w:t>
            </w:r>
          </w:p>
        </w:tc>
        <w:tc>
          <w:tcPr>
            <w:tcW w:w="0" w:type="auto"/>
            <w:tcBorders>
              <w:top w:val="single" w:sz="4" w:space="0" w:color="auto"/>
              <w:left w:val="nil"/>
              <w:bottom w:val="single" w:sz="4" w:space="0" w:color="auto"/>
              <w:right w:val="nil"/>
            </w:tcBorders>
            <w:vAlign w:val="center"/>
            <w:hideMark/>
          </w:tcPr>
          <w:p w14:paraId="07680B4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74,907</w:t>
            </w:r>
          </w:p>
        </w:tc>
        <w:tc>
          <w:tcPr>
            <w:tcW w:w="0" w:type="auto"/>
            <w:tcBorders>
              <w:top w:val="single" w:sz="4" w:space="0" w:color="auto"/>
              <w:left w:val="nil"/>
              <w:bottom w:val="single" w:sz="4" w:space="0" w:color="auto"/>
              <w:right w:val="nil"/>
            </w:tcBorders>
            <w:vAlign w:val="center"/>
            <w:hideMark/>
          </w:tcPr>
          <w:p w14:paraId="3D84F43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82,769</w:t>
            </w:r>
          </w:p>
        </w:tc>
        <w:tc>
          <w:tcPr>
            <w:tcW w:w="0" w:type="auto"/>
            <w:tcBorders>
              <w:top w:val="single" w:sz="4" w:space="0" w:color="auto"/>
              <w:left w:val="nil"/>
              <w:bottom w:val="single" w:sz="4" w:space="0" w:color="auto"/>
              <w:right w:val="nil"/>
            </w:tcBorders>
            <w:vAlign w:val="center"/>
            <w:hideMark/>
          </w:tcPr>
          <w:p w14:paraId="3098B00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71,715</w:t>
            </w:r>
          </w:p>
        </w:tc>
        <w:tc>
          <w:tcPr>
            <w:tcW w:w="0" w:type="auto"/>
            <w:tcBorders>
              <w:top w:val="single" w:sz="4" w:space="0" w:color="auto"/>
              <w:left w:val="nil"/>
              <w:bottom w:val="single" w:sz="4" w:space="0" w:color="auto"/>
              <w:right w:val="nil"/>
            </w:tcBorders>
            <w:vAlign w:val="center"/>
            <w:hideMark/>
          </w:tcPr>
          <w:p w14:paraId="6CA5C72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74,496</w:t>
            </w:r>
          </w:p>
        </w:tc>
        <w:tc>
          <w:tcPr>
            <w:tcW w:w="0" w:type="auto"/>
            <w:tcBorders>
              <w:top w:val="single" w:sz="4" w:space="0" w:color="auto"/>
              <w:left w:val="nil"/>
              <w:bottom w:val="single" w:sz="4" w:space="0" w:color="auto"/>
              <w:right w:val="nil"/>
            </w:tcBorders>
            <w:vAlign w:val="center"/>
            <w:hideMark/>
          </w:tcPr>
          <w:p w14:paraId="2ED6B98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82,034</w:t>
            </w:r>
          </w:p>
        </w:tc>
        <w:tc>
          <w:tcPr>
            <w:tcW w:w="0" w:type="auto"/>
            <w:tcBorders>
              <w:top w:val="single" w:sz="4" w:space="0" w:color="auto"/>
              <w:left w:val="nil"/>
              <w:bottom w:val="single" w:sz="4" w:space="0" w:color="auto"/>
              <w:right w:val="nil"/>
            </w:tcBorders>
            <w:vAlign w:val="center"/>
            <w:hideMark/>
          </w:tcPr>
          <w:p w14:paraId="7E98421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96,273</w:t>
            </w:r>
          </w:p>
        </w:tc>
        <w:tc>
          <w:tcPr>
            <w:tcW w:w="0" w:type="auto"/>
            <w:tcBorders>
              <w:top w:val="single" w:sz="4" w:space="0" w:color="auto"/>
              <w:left w:val="nil"/>
              <w:bottom w:val="single" w:sz="4" w:space="0" w:color="auto"/>
              <w:right w:val="nil"/>
            </w:tcBorders>
            <w:vAlign w:val="center"/>
            <w:hideMark/>
          </w:tcPr>
          <w:p w14:paraId="322C423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90,427</w:t>
            </w:r>
          </w:p>
        </w:tc>
      </w:tr>
      <w:tr w:rsidR="0022670C" w:rsidRPr="00572FD8" w14:paraId="6508EE33" w14:textId="77777777" w:rsidTr="0022670C">
        <w:trPr>
          <w:trHeight w:val="260"/>
        </w:trPr>
        <w:tc>
          <w:tcPr>
            <w:tcW w:w="0" w:type="auto"/>
            <w:tcBorders>
              <w:top w:val="nil"/>
              <w:left w:val="nil"/>
              <w:bottom w:val="nil"/>
              <w:right w:val="nil"/>
            </w:tcBorders>
            <w:hideMark/>
          </w:tcPr>
          <w:p w14:paraId="6F2A67AA"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48D7E39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tcPr>
          <w:p w14:paraId="583E2E62"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1D43C572" w14:textId="13199A39"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4BFA5DD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5EEFAAA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2B72611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5E03B7C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4FAF046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0848772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5F0ED7B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5775B60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59D5401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r>
      <w:tr w:rsidR="0022670C" w:rsidRPr="00572FD8" w14:paraId="2947C13E" w14:textId="77777777" w:rsidTr="0022670C">
        <w:trPr>
          <w:trHeight w:val="420"/>
        </w:trPr>
        <w:tc>
          <w:tcPr>
            <w:tcW w:w="0" w:type="auto"/>
            <w:tcBorders>
              <w:top w:val="nil"/>
              <w:left w:val="nil"/>
              <w:bottom w:val="nil"/>
              <w:right w:val="nil"/>
            </w:tcBorders>
            <w:hideMark/>
          </w:tcPr>
          <w:p w14:paraId="22A702AE" w14:textId="77777777" w:rsidR="0022670C" w:rsidRPr="00572FD8" w:rsidRDefault="0022670C" w:rsidP="00572FD8">
            <w:pPr>
              <w:spacing w:before="0" w:after="0"/>
              <w:rPr>
                <w:rFonts w:ascii="Arial" w:hAnsi="Arial" w:cs="Arial"/>
                <w:b/>
                <w:bCs/>
                <w:sz w:val="16"/>
                <w:szCs w:val="16"/>
              </w:rPr>
            </w:pPr>
            <w:r w:rsidRPr="00572FD8">
              <w:rPr>
                <w:rFonts w:ascii="Arial" w:hAnsi="Arial" w:cs="Arial"/>
                <w:b/>
                <w:bCs/>
                <w:sz w:val="16"/>
                <w:szCs w:val="16"/>
              </w:rPr>
              <w:t>Cash flows from investing activities</w:t>
            </w:r>
          </w:p>
        </w:tc>
        <w:tc>
          <w:tcPr>
            <w:tcW w:w="0" w:type="auto"/>
            <w:tcBorders>
              <w:top w:val="nil"/>
              <w:left w:val="nil"/>
              <w:bottom w:val="nil"/>
              <w:right w:val="nil"/>
            </w:tcBorders>
            <w:vAlign w:val="center"/>
            <w:hideMark/>
          </w:tcPr>
          <w:p w14:paraId="7C1E931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tcPr>
          <w:p w14:paraId="0FB22767"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3BFED1CC" w14:textId="64864FD9"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39C3482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13B450E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0791232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65FEA2E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74BD3F6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1B3736E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3043058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1637E74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79B17E5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r>
      <w:tr w:rsidR="0022670C" w:rsidRPr="00572FD8" w14:paraId="12A1A7D5" w14:textId="77777777" w:rsidTr="0022670C">
        <w:trPr>
          <w:trHeight w:val="260"/>
        </w:trPr>
        <w:tc>
          <w:tcPr>
            <w:tcW w:w="0" w:type="auto"/>
            <w:tcBorders>
              <w:top w:val="nil"/>
              <w:left w:val="nil"/>
              <w:bottom w:val="nil"/>
              <w:right w:val="nil"/>
            </w:tcBorders>
            <w:hideMark/>
          </w:tcPr>
          <w:p w14:paraId="40CD3CDE"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xml:space="preserve">Payments for property, infrastructure, plant and equipment </w:t>
            </w:r>
          </w:p>
        </w:tc>
        <w:tc>
          <w:tcPr>
            <w:tcW w:w="0" w:type="auto"/>
            <w:tcBorders>
              <w:top w:val="nil"/>
              <w:left w:val="nil"/>
              <w:bottom w:val="nil"/>
              <w:right w:val="nil"/>
            </w:tcBorders>
            <w:vAlign w:val="center"/>
            <w:hideMark/>
          </w:tcPr>
          <w:p w14:paraId="1CA4E63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(60,222)</w:t>
            </w:r>
          </w:p>
        </w:tc>
        <w:tc>
          <w:tcPr>
            <w:tcW w:w="0" w:type="auto"/>
            <w:tcBorders>
              <w:top w:val="nil"/>
              <w:left w:val="nil"/>
              <w:bottom w:val="nil"/>
              <w:right w:val="nil"/>
            </w:tcBorders>
          </w:tcPr>
          <w:p w14:paraId="16C85D37"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7D20B673" w14:textId="409E5FA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(81,185)</w:t>
            </w:r>
          </w:p>
        </w:tc>
        <w:tc>
          <w:tcPr>
            <w:tcW w:w="0" w:type="auto"/>
            <w:tcBorders>
              <w:top w:val="nil"/>
              <w:left w:val="nil"/>
              <w:bottom w:val="nil"/>
              <w:right w:val="nil"/>
            </w:tcBorders>
            <w:vAlign w:val="center"/>
            <w:hideMark/>
          </w:tcPr>
          <w:p w14:paraId="6B045E4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(78,919)</w:t>
            </w:r>
          </w:p>
        </w:tc>
        <w:tc>
          <w:tcPr>
            <w:tcW w:w="0" w:type="auto"/>
            <w:tcBorders>
              <w:top w:val="nil"/>
              <w:left w:val="nil"/>
              <w:bottom w:val="nil"/>
              <w:right w:val="nil"/>
            </w:tcBorders>
            <w:vAlign w:val="center"/>
            <w:hideMark/>
          </w:tcPr>
          <w:p w14:paraId="21A09C7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(83,406)</w:t>
            </w:r>
          </w:p>
        </w:tc>
        <w:tc>
          <w:tcPr>
            <w:tcW w:w="0" w:type="auto"/>
            <w:tcBorders>
              <w:top w:val="nil"/>
              <w:left w:val="nil"/>
              <w:bottom w:val="nil"/>
              <w:right w:val="nil"/>
            </w:tcBorders>
            <w:vAlign w:val="center"/>
            <w:hideMark/>
          </w:tcPr>
          <w:p w14:paraId="29A015C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(84,628)</w:t>
            </w:r>
          </w:p>
        </w:tc>
        <w:tc>
          <w:tcPr>
            <w:tcW w:w="0" w:type="auto"/>
            <w:tcBorders>
              <w:top w:val="nil"/>
              <w:left w:val="nil"/>
              <w:bottom w:val="nil"/>
              <w:right w:val="nil"/>
            </w:tcBorders>
            <w:vAlign w:val="center"/>
            <w:hideMark/>
          </w:tcPr>
          <w:p w14:paraId="7D70D0E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(76,947)</w:t>
            </w:r>
          </w:p>
        </w:tc>
        <w:tc>
          <w:tcPr>
            <w:tcW w:w="0" w:type="auto"/>
            <w:tcBorders>
              <w:top w:val="nil"/>
              <w:left w:val="nil"/>
              <w:bottom w:val="nil"/>
              <w:right w:val="nil"/>
            </w:tcBorders>
            <w:vAlign w:val="center"/>
            <w:hideMark/>
          </w:tcPr>
          <w:p w14:paraId="6C0C1F8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(75,699)</w:t>
            </w:r>
          </w:p>
        </w:tc>
        <w:tc>
          <w:tcPr>
            <w:tcW w:w="0" w:type="auto"/>
            <w:tcBorders>
              <w:top w:val="nil"/>
              <w:left w:val="nil"/>
              <w:bottom w:val="nil"/>
              <w:right w:val="nil"/>
            </w:tcBorders>
            <w:vAlign w:val="center"/>
            <w:hideMark/>
          </w:tcPr>
          <w:p w14:paraId="2822CC5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(76,759)</w:t>
            </w:r>
          </w:p>
        </w:tc>
        <w:tc>
          <w:tcPr>
            <w:tcW w:w="0" w:type="auto"/>
            <w:tcBorders>
              <w:top w:val="nil"/>
              <w:left w:val="nil"/>
              <w:bottom w:val="nil"/>
              <w:right w:val="nil"/>
            </w:tcBorders>
            <w:vAlign w:val="center"/>
            <w:hideMark/>
          </w:tcPr>
          <w:p w14:paraId="5A0541E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(81,800)</w:t>
            </w:r>
          </w:p>
        </w:tc>
        <w:tc>
          <w:tcPr>
            <w:tcW w:w="0" w:type="auto"/>
            <w:tcBorders>
              <w:top w:val="nil"/>
              <w:left w:val="nil"/>
              <w:bottom w:val="nil"/>
              <w:right w:val="nil"/>
            </w:tcBorders>
            <w:vAlign w:val="center"/>
            <w:hideMark/>
          </w:tcPr>
          <w:p w14:paraId="16BD114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(80,216)</w:t>
            </w:r>
          </w:p>
        </w:tc>
        <w:tc>
          <w:tcPr>
            <w:tcW w:w="0" w:type="auto"/>
            <w:tcBorders>
              <w:top w:val="nil"/>
              <w:left w:val="nil"/>
              <w:bottom w:val="nil"/>
              <w:right w:val="nil"/>
            </w:tcBorders>
            <w:vAlign w:val="center"/>
            <w:hideMark/>
          </w:tcPr>
          <w:p w14:paraId="6E4CC80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(81,827)</w:t>
            </w:r>
          </w:p>
        </w:tc>
      </w:tr>
      <w:tr w:rsidR="0022670C" w:rsidRPr="00572FD8" w14:paraId="3E6D1F76" w14:textId="77777777" w:rsidTr="0022670C">
        <w:trPr>
          <w:trHeight w:val="400"/>
        </w:trPr>
        <w:tc>
          <w:tcPr>
            <w:tcW w:w="0" w:type="auto"/>
            <w:tcBorders>
              <w:top w:val="nil"/>
              <w:left w:val="nil"/>
              <w:bottom w:val="nil"/>
              <w:right w:val="nil"/>
            </w:tcBorders>
            <w:hideMark/>
          </w:tcPr>
          <w:p w14:paraId="5EB0455B"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xml:space="preserve">Proceeds from sale of property, infrastructure, plant and equipment </w:t>
            </w:r>
          </w:p>
        </w:tc>
        <w:tc>
          <w:tcPr>
            <w:tcW w:w="0" w:type="auto"/>
            <w:tcBorders>
              <w:top w:val="nil"/>
              <w:left w:val="nil"/>
              <w:bottom w:val="nil"/>
              <w:right w:val="nil"/>
            </w:tcBorders>
            <w:vAlign w:val="center"/>
            <w:hideMark/>
          </w:tcPr>
          <w:p w14:paraId="2B61AFF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616</w:t>
            </w:r>
          </w:p>
        </w:tc>
        <w:tc>
          <w:tcPr>
            <w:tcW w:w="0" w:type="auto"/>
            <w:tcBorders>
              <w:top w:val="nil"/>
              <w:left w:val="nil"/>
              <w:bottom w:val="nil"/>
              <w:right w:val="nil"/>
            </w:tcBorders>
          </w:tcPr>
          <w:p w14:paraId="4384E921"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5DA96762" w14:textId="1FACCEC4"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c>
          <w:tcPr>
            <w:tcW w:w="0" w:type="auto"/>
            <w:tcBorders>
              <w:top w:val="nil"/>
              <w:left w:val="nil"/>
              <w:bottom w:val="nil"/>
              <w:right w:val="nil"/>
            </w:tcBorders>
            <w:vAlign w:val="center"/>
            <w:hideMark/>
          </w:tcPr>
          <w:p w14:paraId="46EFF8B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c>
          <w:tcPr>
            <w:tcW w:w="0" w:type="auto"/>
            <w:tcBorders>
              <w:top w:val="nil"/>
              <w:left w:val="nil"/>
              <w:bottom w:val="nil"/>
              <w:right w:val="nil"/>
            </w:tcBorders>
            <w:vAlign w:val="center"/>
            <w:hideMark/>
          </w:tcPr>
          <w:p w14:paraId="7F253D5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c>
          <w:tcPr>
            <w:tcW w:w="0" w:type="auto"/>
            <w:tcBorders>
              <w:top w:val="nil"/>
              <w:left w:val="nil"/>
              <w:bottom w:val="nil"/>
              <w:right w:val="nil"/>
            </w:tcBorders>
            <w:vAlign w:val="center"/>
            <w:hideMark/>
          </w:tcPr>
          <w:p w14:paraId="52AF7A5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c>
          <w:tcPr>
            <w:tcW w:w="0" w:type="auto"/>
            <w:tcBorders>
              <w:top w:val="nil"/>
              <w:left w:val="nil"/>
              <w:bottom w:val="nil"/>
              <w:right w:val="nil"/>
            </w:tcBorders>
            <w:vAlign w:val="center"/>
            <w:hideMark/>
          </w:tcPr>
          <w:p w14:paraId="30F6258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c>
          <w:tcPr>
            <w:tcW w:w="0" w:type="auto"/>
            <w:tcBorders>
              <w:top w:val="nil"/>
              <w:left w:val="nil"/>
              <w:bottom w:val="nil"/>
              <w:right w:val="nil"/>
            </w:tcBorders>
            <w:vAlign w:val="center"/>
            <w:hideMark/>
          </w:tcPr>
          <w:p w14:paraId="6E0A09B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c>
          <w:tcPr>
            <w:tcW w:w="0" w:type="auto"/>
            <w:tcBorders>
              <w:top w:val="nil"/>
              <w:left w:val="nil"/>
              <w:bottom w:val="nil"/>
              <w:right w:val="nil"/>
            </w:tcBorders>
            <w:vAlign w:val="center"/>
            <w:hideMark/>
          </w:tcPr>
          <w:p w14:paraId="1223F71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c>
          <w:tcPr>
            <w:tcW w:w="0" w:type="auto"/>
            <w:tcBorders>
              <w:top w:val="nil"/>
              <w:left w:val="nil"/>
              <w:bottom w:val="nil"/>
              <w:right w:val="nil"/>
            </w:tcBorders>
            <w:vAlign w:val="center"/>
            <w:hideMark/>
          </w:tcPr>
          <w:p w14:paraId="08CA209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c>
          <w:tcPr>
            <w:tcW w:w="0" w:type="auto"/>
            <w:tcBorders>
              <w:top w:val="nil"/>
              <w:left w:val="nil"/>
              <w:bottom w:val="nil"/>
              <w:right w:val="nil"/>
            </w:tcBorders>
            <w:vAlign w:val="center"/>
            <w:hideMark/>
          </w:tcPr>
          <w:p w14:paraId="4D5028E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c>
          <w:tcPr>
            <w:tcW w:w="0" w:type="auto"/>
            <w:tcBorders>
              <w:top w:val="nil"/>
              <w:left w:val="nil"/>
              <w:bottom w:val="nil"/>
              <w:right w:val="nil"/>
            </w:tcBorders>
            <w:vAlign w:val="center"/>
            <w:hideMark/>
          </w:tcPr>
          <w:p w14:paraId="173DF1A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550</w:t>
            </w:r>
          </w:p>
        </w:tc>
      </w:tr>
      <w:tr w:rsidR="0022670C" w:rsidRPr="00572FD8" w14:paraId="0A7C73FA" w14:textId="77777777" w:rsidTr="0022670C">
        <w:trPr>
          <w:trHeight w:val="260"/>
        </w:trPr>
        <w:tc>
          <w:tcPr>
            <w:tcW w:w="0" w:type="auto"/>
            <w:tcBorders>
              <w:top w:val="nil"/>
              <w:left w:val="nil"/>
              <w:bottom w:val="nil"/>
              <w:right w:val="nil"/>
            </w:tcBorders>
            <w:hideMark/>
          </w:tcPr>
          <w:p w14:paraId="7B5CD2BF" w14:textId="77777777" w:rsidR="0022670C" w:rsidRPr="00572FD8" w:rsidRDefault="0022670C" w:rsidP="00572FD8">
            <w:pPr>
              <w:spacing w:before="0" w:after="0"/>
              <w:rPr>
                <w:rFonts w:ascii="Arial" w:hAnsi="Arial" w:cs="Arial"/>
                <w:b/>
                <w:bCs/>
                <w:sz w:val="16"/>
                <w:szCs w:val="16"/>
              </w:rPr>
            </w:pPr>
            <w:r w:rsidRPr="00572FD8">
              <w:rPr>
                <w:rFonts w:ascii="Arial" w:hAnsi="Arial" w:cs="Arial"/>
                <w:b/>
                <w:bCs/>
                <w:sz w:val="16"/>
                <w:szCs w:val="16"/>
              </w:rPr>
              <w:lastRenderedPageBreak/>
              <w:t xml:space="preserve">Net cash provided by/ (used in) investing activities </w:t>
            </w:r>
          </w:p>
        </w:tc>
        <w:tc>
          <w:tcPr>
            <w:tcW w:w="0" w:type="auto"/>
            <w:tcBorders>
              <w:top w:val="single" w:sz="4" w:space="0" w:color="auto"/>
              <w:left w:val="nil"/>
              <w:bottom w:val="single" w:sz="4" w:space="0" w:color="auto"/>
              <w:right w:val="nil"/>
            </w:tcBorders>
            <w:vAlign w:val="center"/>
            <w:hideMark/>
          </w:tcPr>
          <w:p w14:paraId="330DE44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(59,606)</w:t>
            </w:r>
          </w:p>
        </w:tc>
        <w:tc>
          <w:tcPr>
            <w:tcW w:w="0" w:type="auto"/>
            <w:tcBorders>
              <w:top w:val="single" w:sz="4" w:space="0" w:color="auto"/>
              <w:left w:val="nil"/>
              <w:bottom w:val="single" w:sz="4" w:space="0" w:color="auto"/>
              <w:right w:val="nil"/>
            </w:tcBorders>
          </w:tcPr>
          <w:p w14:paraId="0E702ED7" w14:textId="77777777" w:rsidR="0022670C" w:rsidRPr="00572FD8" w:rsidRDefault="0022670C" w:rsidP="00572FD8">
            <w:pPr>
              <w:spacing w:before="0" w:after="0"/>
              <w:jc w:val="right"/>
              <w:rPr>
                <w:rFonts w:ascii="Arial" w:hAnsi="Arial" w:cs="Arial"/>
                <w:sz w:val="16"/>
                <w:szCs w:val="16"/>
              </w:rPr>
            </w:pPr>
          </w:p>
        </w:tc>
        <w:tc>
          <w:tcPr>
            <w:tcW w:w="0" w:type="auto"/>
            <w:tcBorders>
              <w:top w:val="single" w:sz="4" w:space="0" w:color="auto"/>
              <w:left w:val="nil"/>
              <w:bottom w:val="single" w:sz="4" w:space="0" w:color="auto"/>
              <w:right w:val="nil"/>
            </w:tcBorders>
            <w:vAlign w:val="center"/>
            <w:hideMark/>
          </w:tcPr>
          <w:p w14:paraId="36FB00B6" w14:textId="5CF06C1B"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(80,635)</w:t>
            </w:r>
          </w:p>
        </w:tc>
        <w:tc>
          <w:tcPr>
            <w:tcW w:w="0" w:type="auto"/>
            <w:tcBorders>
              <w:top w:val="single" w:sz="4" w:space="0" w:color="auto"/>
              <w:left w:val="nil"/>
              <w:bottom w:val="single" w:sz="4" w:space="0" w:color="auto"/>
              <w:right w:val="nil"/>
            </w:tcBorders>
            <w:vAlign w:val="center"/>
            <w:hideMark/>
          </w:tcPr>
          <w:p w14:paraId="5657113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(78,369)</w:t>
            </w:r>
          </w:p>
        </w:tc>
        <w:tc>
          <w:tcPr>
            <w:tcW w:w="0" w:type="auto"/>
            <w:tcBorders>
              <w:top w:val="single" w:sz="4" w:space="0" w:color="auto"/>
              <w:left w:val="nil"/>
              <w:bottom w:val="single" w:sz="4" w:space="0" w:color="auto"/>
              <w:right w:val="nil"/>
            </w:tcBorders>
            <w:vAlign w:val="center"/>
            <w:hideMark/>
          </w:tcPr>
          <w:p w14:paraId="653B852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(82,856)</w:t>
            </w:r>
          </w:p>
        </w:tc>
        <w:tc>
          <w:tcPr>
            <w:tcW w:w="0" w:type="auto"/>
            <w:tcBorders>
              <w:top w:val="single" w:sz="4" w:space="0" w:color="auto"/>
              <w:left w:val="nil"/>
              <w:bottom w:val="single" w:sz="4" w:space="0" w:color="auto"/>
              <w:right w:val="nil"/>
            </w:tcBorders>
            <w:vAlign w:val="center"/>
            <w:hideMark/>
          </w:tcPr>
          <w:p w14:paraId="377008C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(84,078)</w:t>
            </w:r>
          </w:p>
        </w:tc>
        <w:tc>
          <w:tcPr>
            <w:tcW w:w="0" w:type="auto"/>
            <w:tcBorders>
              <w:top w:val="single" w:sz="4" w:space="0" w:color="auto"/>
              <w:left w:val="nil"/>
              <w:bottom w:val="single" w:sz="4" w:space="0" w:color="auto"/>
              <w:right w:val="nil"/>
            </w:tcBorders>
            <w:vAlign w:val="center"/>
            <w:hideMark/>
          </w:tcPr>
          <w:p w14:paraId="600D8B7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(76,397)</w:t>
            </w:r>
          </w:p>
        </w:tc>
        <w:tc>
          <w:tcPr>
            <w:tcW w:w="0" w:type="auto"/>
            <w:tcBorders>
              <w:top w:val="single" w:sz="4" w:space="0" w:color="auto"/>
              <w:left w:val="nil"/>
              <w:bottom w:val="single" w:sz="4" w:space="0" w:color="auto"/>
              <w:right w:val="nil"/>
            </w:tcBorders>
            <w:vAlign w:val="center"/>
            <w:hideMark/>
          </w:tcPr>
          <w:p w14:paraId="02AB3D0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(75,149)</w:t>
            </w:r>
          </w:p>
        </w:tc>
        <w:tc>
          <w:tcPr>
            <w:tcW w:w="0" w:type="auto"/>
            <w:tcBorders>
              <w:top w:val="single" w:sz="4" w:space="0" w:color="auto"/>
              <w:left w:val="nil"/>
              <w:bottom w:val="single" w:sz="4" w:space="0" w:color="auto"/>
              <w:right w:val="nil"/>
            </w:tcBorders>
            <w:vAlign w:val="center"/>
            <w:hideMark/>
          </w:tcPr>
          <w:p w14:paraId="7E50FA4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(76,209)</w:t>
            </w:r>
          </w:p>
        </w:tc>
        <w:tc>
          <w:tcPr>
            <w:tcW w:w="0" w:type="auto"/>
            <w:tcBorders>
              <w:top w:val="single" w:sz="4" w:space="0" w:color="auto"/>
              <w:left w:val="nil"/>
              <w:bottom w:val="single" w:sz="4" w:space="0" w:color="auto"/>
              <w:right w:val="nil"/>
            </w:tcBorders>
            <w:vAlign w:val="center"/>
            <w:hideMark/>
          </w:tcPr>
          <w:p w14:paraId="039D58C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(81,250)</w:t>
            </w:r>
          </w:p>
        </w:tc>
        <w:tc>
          <w:tcPr>
            <w:tcW w:w="0" w:type="auto"/>
            <w:tcBorders>
              <w:top w:val="single" w:sz="4" w:space="0" w:color="auto"/>
              <w:left w:val="nil"/>
              <w:bottom w:val="single" w:sz="4" w:space="0" w:color="auto"/>
              <w:right w:val="nil"/>
            </w:tcBorders>
            <w:vAlign w:val="center"/>
            <w:hideMark/>
          </w:tcPr>
          <w:p w14:paraId="46626CB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(79,666)</w:t>
            </w:r>
          </w:p>
        </w:tc>
        <w:tc>
          <w:tcPr>
            <w:tcW w:w="0" w:type="auto"/>
            <w:tcBorders>
              <w:top w:val="single" w:sz="4" w:space="0" w:color="auto"/>
              <w:left w:val="nil"/>
              <w:bottom w:val="single" w:sz="4" w:space="0" w:color="auto"/>
              <w:right w:val="nil"/>
            </w:tcBorders>
            <w:vAlign w:val="center"/>
            <w:hideMark/>
          </w:tcPr>
          <w:p w14:paraId="48F2178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(81,277)</w:t>
            </w:r>
          </w:p>
        </w:tc>
      </w:tr>
      <w:tr w:rsidR="0022670C" w:rsidRPr="00572FD8" w14:paraId="7DFC6015" w14:textId="77777777" w:rsidTr="0022670C">
        <w:trPr>
          <w:trHeight w:val="260"/>
        </w:trPr>
        <w:tc>
          <w:tcPr>
            <w:tcW w:w="0" w:type="auto"/>
            <w:tcBorders>
              <w:top w:val="nil"/>
              <w:left w:val="nil"/>
              <w:bottom w:val="nil"/>
              <w:right w:val="nil"/>
            </w:tcBorders>
            <w:hideMark/>
          </w:tcPr>
          <w:p w14:paraId="6379F591"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hideMark/>
          </w:tcPr>
          <w:p w14:paraId="58CE9AE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tcPr>
          <w:p w14:paraId="1DF952F8"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shd w:val="clear" w:color="000000" w:fill="FFFFFF"/>
            <w:vAlign w:val="center"/>
            <w:hideMark/>
          </w:tcPr>
          <w:p w14:paraId="0919B151" w14:textId="00C19838"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39B42DA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5047D5C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6EE10E0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4AE4217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2CE4ED6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65748F7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43AFA1A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43D9D8C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shd w:val="clear" w:color="000000" w:fill="FFFFFF"/>
            <w:vAlign w:val="center"/>
            <w:hideMark/>
          </w:tcPr>
          <w:p w14:paraId="175DA12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r>
      <w:tr w:rsidR="0022670C" w:rsidRPr="00572FD8" w14:paraId="6FE78645" w14:textId="77777777" w:rsidTr="0022670C">
        <w:trPr>
          <w:trHeight w:val="285"/>
        </w:trPr>
        <w:tc>
          <w:tcPr>
            <w:tcW w:w="0" w:type="auto"/>
            <w:tcBorders>
              <w:top w:val="nil"/>
              <w:left w:val="nil"/>
              <w:bottom w:val="nil"/>
              <w:right w:val="nil"/>
            </w:tcBorders>
            <w:hideMark/>
          </w:tcPr>
          <w:p w14:paraId="55FEFCB0" w14:textId="77777777" w:rsidR="0022670C" w:rsidRPr="00572FD8" w:rsidRDefault="0022670C" w:rsidP="00572FD8">
            <w:pPr>
              <w:spacing w:before="0" w:after="0"/>
              <w:rPr>
                <w:rFonts w:ascii="Arial" w:hAnsi="Arial" w:cs="Arial"/>
                <w:b/>
                <w:bCs/>
                <w:sz w:val="16"/>
                <w:szCs w:val="16"/>
              </w:rPr>
            </w:pPr>
            <w:r w:rsidRPr="00572FD8">
              <w:rPr>
                <w:rFonts w:ascii="Arial" w:hAnsi="Arial" w:cs="Arial"/>
                <w:b/>
                <w:bCs/>
                <w:sz w:val="16"/>
                <w:szCs w:val="16"/>
              </w:rPr>
              <w:t xml:space="preserve">Cash flows from financing activities </w:t>
            </w:r>
          </w:p>
        </w:tc>
        <w:tc>
          <w:tcPr>
            <w:tcW w:w="0" w:type="auto"/>
            <w:tcBorders>
              <w:top w:val="nil"/>
              <w:left w:val="nil"/>
              <w:bottom w:val="nil"/>
              <w:right w:val="nil"/>
            </w:tcBorders>
            <w:vAlign w:val="center"/>
            <w:hideMark/>
          </w:tcPr>
          <w:p w14:paraId="3230DDE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tcPr>
          <w:p w14:paraId="2DBDADAB"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17BDCB53" w14:textId="00F0B789"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672DF1E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68A671C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5467BBF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2AA35A1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57C4BA6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313050F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259F197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63A13FE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3C1E427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r>
      <w:tr w:rsidR="0022670C" w:rsidRPr="00572FD8" w14:paraId="2BDDD016" w14:textId="77777777" w:rsidTr="0022670C">
        <w:trPr>
          <w:trHeight w:val="260"/>
        </w:trPr>
        <w:tc>
          <w:tcPr>
            <w:tcW w:w="0" w:type="auto"/>
            <w:tcBorders>
              <w:top w:val="nil"/>
              <w:left w:val="nil"/>
              <w:bottom w:val="nil"/>
              <w:right w:val="nil"/>
            </w:tcBorders>
            <w:hideMark/>
          </w:tcPr>
          <w:p w14:paraId="2016FF20"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xml:space="preserve">Finance costs </w:t>
            </w:r>
          </w:p>
        </w:tc>
        <w:tc>
          <w:tcPr>
            <w:tcW w:w="0" w:type="auto"/>
            <w:tcBorders>
              <w:top w:val="nil"/>
              <w:left w:val="nil"/>
              <w:bottom w:val="nil"/>
              <w:right w:val="nil"/>
            </w:tcBorders>
            <w:vAlign w:val="center"/>
            <w:hideMark/>
          </w:tcPr>
          <w:p w14:paraId="2D46446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(274)</w:t>
            </w:r>
          </w:p>
        </w:tc>
        <w:tc>
          <w:tcPr>
            <w:tcW w:w="0" w:type="auto"/>
            <w:tcBorders>
              <w:top w:val="nil"/>
              <w:left w:val="nil"/>
              <w:bottom w:val="nil"/>
              <w:right w:val="nil"/>
            </w:tcBorders>
          </w:tcPr>
          <w:p w14:paraId="30D7D65C"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7BBB95E2" w14:textId="60BC3F5E"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(915)</w:t>
            </w:r>
          </w:p>
        </w:tc>
        <w:tc>
          <w:tcPr>
            <w:tcW w:w="0" w:type="auto"/>
            <w:tcBorders>
              <w:top w:val="nil"/>
              <w:left w:val="nil"/>
              <w:bottom w:val="nil"/>
              <w:right w:val="nil"/>
            </w:tcBorders>
            <w:vAlign w:val="center"/>
            <w:hideMark/>
          </w:tcPr>
          <w:p w14:paraId="6671F73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(1,676)</w:t>
            </w:r>
          </w:p>
        </w:tc>
        <w:tc>
          <w:tcPr>
            <w:tcW w:w="0" w:type="auto"/>
            <w:tcBorders>
              <w:top w:val="nil"/>
              <w:left w:val="nil"/>
              <w:bottom w:val="nil"/>
              <w:right w:val="nil"/>
            </w:tcBorders>
            <w:vAlign w:val="center"/>
            <w:hideMark/>
          </w:tcPr>
          <w:p w14:paraId="3D25B30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(2,554)</w:t>
            </w:r>
          </w:p>
        </w:tc>
        <w:tc>
          <w:tcPr>
            <w:tcW w:w="0" w:type="auto"/>
            <w:tcBorders>
              <w:top w:val="nil"/>
              <w:left w:val="nil"/>
              <w:bottom w:val="nil"/>
              <w:right w:val="nil"/>
            </w:tcBorders>
            <w:vAlign w:val="center"/>
            <w:hideMark/>
          </w:tcPr>
          <w:p w14:paraId="6A52CAC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(3,301)</w:t>
            </w:r>
          </w:p>
        </w:tc>
        <w:tc>
          <w:tcPr>
            <w:tcW w:w="0" w:type="auto"/>
            <w:tcBorders>
              <w:top w:val="nil"/>
              <w:left w:val="nil"/>
              <w:bottom w:val="nil"/>
              <w:right w:val="nil"/>
            </w:tcBorders>
            <w:vAlign w:val="center"/>
            <w:hideMark/>
          </w:tcPr>
          <w:p w14:paraId="053ABC1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(3,964)</w:t>
            </w:r>
          </w:p>
        </w:tc>
        <w:tc>
          <w:tcPr>
            <w:tcW w:w="0" w:type="auto"/>
            <w:tcBorders>
              <w:top w:val="nil"/>
              <w:left w:val="nil"/>
              <w:bottom w:val="nil"/>
              <w:right w:val="nil"/>
            </w:tcBorders>
            <w:vAlign w:val="center"/>
            <w:hideMark/>
          </w:tcPr>
          <w:p w14:paraId="394F93B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(3,714)</w:t>
            </w:r>
          </w:p>
        </w:tc>
        <w:tc>
          <w:tcPr>
            <w:tcW w:w="0" w:type="auto"/>
            <w:tcBorders>
              <w:top w:val="nil"/>
              <w:left w:val="nil"/>
              <w:bottom w:val="nil"/>
              <w:right w:val="nil"/>
            </w:tcBorders>
            <w:vAlign w:val="center"/>
            <w:hideMark/>
          </w:tcPr>
          <w:p w14:paraId="3CE335B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(3,473)</w:t>
            </w:r>
          </w:p>
        </w:tc>
        <w:tc>
          <w:tcPr>
            <w:tcW w:w="0" w:type="auto"/>
            <w:tcBorders>
              <w:top w:val="nil"/>
              <w:left w:val="nil"/>
              <w:bottom w:val="nil"/>
              <w:right w:val="nil"/>
            </w:tcBorders>
            <w:vAlign w:val="center"/>
            <w:hideMark/>
          </w:tcPr>
          <w:p w14:paraId="738F891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(3,138)</w:t>
            </w:r>
          </w:p>
        </w:tc>
        <w:tc>
          <w:tcPr>
            <w:tcW w:w="0" w:type="auto"/>
            <w:tcBorders>
              <w:top w:val="nil"/>
              <w:left w:val="nil"/>
              <w:bottom w:val="nil"/>
              <w:right w:val="nil"/>
            </w:tcBorders>
            <w:vAlign w:val="center"/>
            <w:hideMark/>
          </w:tcPr>
          <w:p w14:paraId="648AFD4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(2,760)</w:t>
            </w:r>
          </w:p>
        </w:tc>
        <w:tc>
          <w:tcPr>
            <w:tcW w:w="0" w:type="auto"/>
            <w:tcBorders>
              <w:top w:val="nil"/>
              <w:left w:val="nil"/>
              <w:bottom w:val="nil"/>
              <w:right w:val="nil"/>
            </w:tcBorders>
            <w:vAlign w:val="center"/>
            <w:hideMark/>
          </w:tcPr>
          <w:p w14:paraId="4322DF5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(2,335)</w:t>
            </w:r>
          </w:p>
        </w:tc>
      </w:tr>
      <w:tr w:rsidR="0022670C" w:rsidRPr="00572FD8" w14:paraId="24BE2A62" w14:textId="77777777" w:rsidTr="0022670C">
        <w:trPr>
          <w:trHeight w:val="260"/>
        </w:trPr>
        <w:tc>
          <w:tcPr>
            <w:tcW w:w="0" w:type="auto"/>
            <w:tcBorders>
              <w:top w:val="nil"/>
              <w:left w:val="nil"/>
              <w:bottom w:val="nil"/>
              <w:right w:val="nil"/>
            </w:tcBorders>
            <w:hideMark/>
          </w:tcPr>
          <w:p w14:paraId="7784B587"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xml:space="preserve">Proceeds from borrowings </w:t>
            </w:r>
          </w:p>
        </w:tc>
        <w:tc>
          <w:tcPr>
            <w:tcW w:w="0" w:type="auto"/>
            <w:tcBorders>
              <w:top w:val="nil"/>
              <w:left w:val="nil"/>
              <w:bottom w:val="nil"/>
              <w:right w:val="nil"/>
            </w:tcBorders>
            <w:vAlign w:val="center"/>
            <w:hideMark/>
          </w:tcPr>
          <w:p w14:paraId="3934FE9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17,510</w:t>
            </w:r>
          </w:p>
        </w:tc>
        <w:tc>
          <w:tcPr>
            <w:tcW w:w="0" w:type="auto"/>
            <w:tcBorders>
              <w:top w:val="nil"/>
              <w:left w:val="nil"/>
              <w:bottom w:val="nil"/>
              <w:right w:val="nil"/>
            </w:tcBorders>
          </w:tcPr>
          <w:p w14:paraId="44319B99"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4116EAB3" w14:textId="63475FC3"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17,000</w:t>
            </w:r>
          </w:p>
        </w:tc>
        <w:tc>
          <w:tcPr>
            <w:tcW w:w="0" w:type="auto"/>
            <w:tcBorders>
              <w:top w:val="nil"/>
              <w:left w:val="nil"/>
              <w:bottom w:val="nil"/>
              <w:right w:val="nil"/>
            </w:tcBorders>
            <w:vAlign w:val="center"/>
            <w:hideMark/>
          </w:tcPr>
          <w:p w14:paraId="2736AFB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21,435</w:t>
            </w:r>
          </w:p>
        </w:tc>
        <w:tc>
          <w:tcPr>
            <w:tcW w:w="0" w:type="auto"/>
            <w:tcBorders>
              <w:top w:val="nil"/>
              <w:left w:val="nil"/>
              <w:bottom w:val="nil"/>
              <w:right w:val="nil"/>
            </w:tcBorders>
            <w:vAlign w:val="center"/>
            <w:hideMark/>
          </w:tcPr>
          <w:p w14:paraId="77FEEAE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20,395</w:t>
            </w:r>
          </w:p>
        </w:tc>
        <w:tc>
          <w:tcPr>
            <w:tcW w:w="0" w:type="auto"/>
            <w:tcBorders>
              <w:top w:val="nil"/>
              <w:left w:val="nil"/>
              <w:bottom w:val="nil"/>
              <w:right w:val="nil"/>
            </w:tcBorders>
            <w:vAlign w:val="center"/>
            <w:hideMark/>
          </w:tcPr>
          <w:p w14:paraId="09864BF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22,398</w:t>
            </w:r>
          </w:p>
        </w:tc>
        <w:tc>
          <w:tcPr>
            <w:tcW w:w="0" w:type="auto"/>
            <w:tcBorders>
              <w:top w:val="nil"/>
              <w:left w:val="nil"/>
              <w:bottom w:val="nil"/>
              <w:right w:val="nil"/>
            </w:tcBorders>
            <w:vAlign w:val="center"/>
            <w:hideMark/>
          </w:tcPr>
          <w:p w14:paraId="001D882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5,000</w:t>
            </w:r>
          </w:p>
        </w:tc>
        <w:tc>
          <w:tcPr>
            <w:tcW w:w="0" w:type="auto"/>
            <w:tcBorders>
              <w:top w:val="nil"/>
              <w:left w:val="nil"/>
              <w:bottom w:val="nil"/>
              <w:right w:val="nil"/>
            </w:tcBorders>
            <w:vAlign w:val="center"/>
            <w:hideMark/>
          </w:tcPr>
          <w:p w14:paraId="07FDA50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5,000</w:t>
            </w:r>
          </w:p>
        </w:tc>
        <w:tc>
          <w:tcPr>
            <w:tcW w:w="0" w:type="auto"/>
            <w:tcBorders>
              <w:top w:val="nil"/>
              <w:left w:val="nil"/>
              <w:bottom w:val="nil"/>
              <w:right w:val="nil"/>
            </w:tcBorders>
            <w:vAlign w:val="center"/>
            <w:hideMark/>
          </w:tcPr>
          <w:p w14:paraId="28AFC08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5,000</w:t>
            </w:r>
          </w:p>
        </w:tc>
        <w:tc>
          <w:tcPr>
            <w:tcW w:w="0" w:type="auto"/>
            <w:tcBorders>
              <w:top w:val="nil"/>
              <w:left w:val="nil"/>
              <w:bottom w:val="nil"/>
              <w:right w:val="nil"/>
            </w:tcBorders>
            <w:vAlign w:val="center"/>
            <w:hideMark/>
          </w:tcPr>
          <w:p w14:paraId="7978CBFF"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5,000</w:t>
            </w:r>
          </w:p>
        </w:tc>
        <w:tc>
          <w:tcPr>
            <w:tcW w:w="0" w:type="auto"/>
            <w:tcBorders>
              <w:top w:val="nil"/>
              <w:left w:val="nil"/>
              <w:bottom w:val="nil"/>
              <w:right w:val="nil"/>
            </w:tcBorders>
            <w:vAlign w:val="center"/>
            <w:hideMark/>
          </w:tcPr>
          <w:p w14:paraId="2A3700F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5,000</w:t>
            </w:r>
          </w:p>
        </w:tc>
        <w:tc>
          <w:tcPr>
            <w:tcW w:w="0" w:type="auto"/>
            <w:tcBorders>
              <w:top w:val="nil"/>
              <w:left w:val="nil"/>
              <w:bottom w:val="nil"/>
              <w:right w:val="nil"/>
            </w:tcBorders>
            <w:vAlign w:val="center"/>
            <w:hideMark/>
          </w:tcPr>
          <w:p w14:paraId="1B2CE79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5,000</w:t>
            </w:r>
          </w:p>
        </w:tc>
      </w:tr>
      <w:tr w:rsidR="0022670C" w:rsidRPr="00572FD8" w14:paraId="660C3B10" w14:textId="77777777" w:rsidTr="0022670C">
        <w:trPr>
          <w:trHeight w:val="260"/>
        </w:trPr>
        <w:tc>
          <w:tcPr>
            <w:tcW w:w="0" w:type="auto"/>
            <w:tcBorders>
              <w:top w:val="nil"/>
              <w:left w:val="nil"/>
              <w:bottom w:val="nil"/>
              <w:right w:val="nil"/>
            </w:tcBorders>
            <w:hideMark/>
          </w:tcPr>
          <w:p w14:paraId="2E6CBBDB"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xml:space="preserve">Repayment of borrowings </w:t>
            </w:r>
          </w:p>
        </w:tc>
        <w:tc>
          <w:tcPr>
            <w:tcW w:w="0" w:type="auto"/>
            <w:tcBorders>
              <w:top w:val="nil"/>
              <w:left w:val="nil"/>
              <w:bottom w:val="nil"/>
              <w:right w:val="nil"/>
            </w:tcBorders>
            <w:vAlign w:val="center"/>
            <w:hideMark/>
          </w:tcPr>
          <w:p w14:paraId="1C6F9AA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(11,690)</w:t>
            </w:r>
          </w:p>
        </w:tc>
        <w:tc>
          <w:tcPr>
            <w:tcW w:w="0" w:type="auto"/>
            <w:tcBorders>
              <w:top w:val="nil"/>
              <w:left w:val="nil"/>
              <w:bottom w:val="nil"/>
              <w:right w:val="nil"/>
            </w:tcBorders>
          </w:tcPr>
          <w:p w14:paraId="16D135DB"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008BAC58" w14:textId="3E2B1BAB"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(1,496)</w:t>
            </w:r>
          </w:p>
        </w:tc>
        <w:tc>
          <w:tcPr>
            <w:tcW w:w="0" w:type="auto"/>
            <w:tcBorders>
              <w:top w:val="nil"/>
              <w:left w:val="nil"/>
              <w:bottom w:val="nil"/>
              <w:right w:val="nil"/>
            </w:tcBorders>
            <w:vAlign w:val="center"/>
            <w:hideMark/>
          </w:tcPr>
          <w:p w14:paraId="095F52A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(2,946)</w:t>
            </w:r>
          </w:p>
        </w:tc>
        <w:tc>
          <w:tcPr>
            <w:tcW w:w="0" w:type="auto"/>
            <w:tcBorders>
              <w:top w:val="nil"/>
              <w:left w:val="nil"/>
              <w:bottom w:val="nil"/>
              <w:right w:val="nil"/>
            </w:tcBorders>
            <w:vAlign w:val="center"/>
            <w:hideMark/>
          </w:tcPr>
          <w:p w14:paraId="28F1E03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(4,785)</w:t>
            </w:r>
          </w:p>
        </w:tc>
        <w:tc>
          <w:tcPr>
            <w:tcW w:w="0" w:type="auto"/>
            <w:tcBorders>
              <w:top w:val="nil"/>
              <w:left w:val="nil"/>
              <w:bottom w:val="nil"/>
              <w:right w:val="nil"/>
            </w:tcBorders>
            <w:vAlign w:val="center"/>
            <w:hideMark/>
          </w:tcPr>
          <w:p w14:paraId="6232F79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(6,655)</w:t>
            </w:r>
          </w:p>
        </w:tc>
        <w:tc>
          <w:tcPr>
            <w:tcW w:w="0" w:type="auto"/>
            <w:tcBorders>
              <w:top w:val="nil"/>
              <w:left w:val="nil"/>
              <w:bottom w:val="nil"/>
              <w:right w:val="nil"/>
            </w:tcBorders>
            <w:vAlign w:val="center"/>
            <w:hideMark/>
          </w:tcPr>
          <w:p w14:paraId="5850D24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(8,656)</w:t>
            </w:r>
          </w:p>
        </w:tc>
        <w:tc>
          <w:tcPr>
            <w:tcW w:w="0" w:type="auto"/>
            <w:tcBorders>
              <w:top w:val="nil"/>
              <w:left w:val="nil"/>
              <w:bottom w:val="nil"/>
              <w:right w:val="nil"/>
            </w:tcBorders>
            <w:vAlign w:val="center"/>
            <w:hideMark/>
          </w:tcPr>
          <w:p w14:paraId="2FA0BAE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(9,514)</w:t>
            </w:r>
          </w:p>
        </w:tc>
        <w:tc>
          <w:tcPr>
            <w:tcW w:w="0" w:type="auto"/>
            <w:tcBorders>
              <w:top w:val="nil"/>
              <w:left w:val="nil"/>
              <w:bottom w:val="nil"/>
              <w:right w:val="nil"/>
            </w:tcBorders>
            <w:vAlign w:val="center"/>
            <w:hideMark/>
          </w:tcPr>
          <w:p w14:paraId="442FDF9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(10,513)</w:t>
            </w:r>
          </w:p>
        </w:tc>
        <w:tc>
          <w:tcPr>
            <w:tcW w:w="0" w:type="auto"/>
            <w:tcBorders>
              <w:top w:val="nil"/>
              <w:left w:val="nil"/>
              <w:bottom w:val="nil"/>
              <w:right w:val="nil"/>
            </w:tcBorders>
            <w:vAlign w:val="center"/>
            <w:hideMark/>
          </w:tcPr>
          <w:p w14:paraId="7BA1F80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(11,456)</w:t>
            </w:r>
          </w:p>
        </w:tc>
        <w:tc>
          <w:tcPr>
            <w:tcW w:w="0" w:type="auto"/>
            <w:tcBorders>
              <w:top w:val="nil"/>
              <w:left w:val="nil"/>
              <w:bottom w:val="nil"/>
              <w:right w:val="nil"/>
            </w:tcBorders>
            <w:vAlign w:val="center"/>
            <w:hideMark/>
          </w:tcPr>
          <w:p w14:paraId="0FB5F42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(12,442)</w:t>
            </w:r>
          </w:p>
        </w:tc>
        <w:tc>
          <w:tcPr>
            <w:tcW w:w="0" w:type="auto"/>
            <w:tcBorders>
              <w:top w:val="nil"/>
              <w:left w:val="nil"/>
              <w:bottom w:val="nil"/>
              <w:right w:val="nil"/>
            </w:tcBorders>
            <w:vAlign w:val="center"/>
            <w:hideMark/>
          </w:tcPr>
          <w:p w14:paraId="52641F2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(13,447)</w:t>
            </w:r>
          </w:p>
        </w:tc>
      </w:tr>
      <w:tr w:rsidR="0022670C" w:rsidRPr="00572FD8" w14:paraId="16DD266F" w14:textId="77777777" w:rsidTr="0022670C">
        <w:trPr>
          <w:trHeight w:val="260"/>
        </w:trPr>
        <w:tc>
          <w:tcPr>
            <w:tcW w:w="0" w:type="auto"/>
            <w:tcBorders>
              <w:top w:val="nil"/>
              <w:left w:val="nil"/>
              <w:bottom w:val="nil"/>
              <w:right w:val="nil"/>
            </w:tcBorders>
            <w:hideMark/>
          </w:tcPr>
          <w:p w14:paraId="7E42C67A"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Interest paid - lease liability</w:t>
            </w:r>
          </w:p>
        </w:tc>
        <w:tc>
          <w:tcPr>
            <w:tcW w:w="0" w:type="auto"/>
            <w:tcBorders>
              <w:top w:val="nil"/>
              <w:left w:val="nil"/>
              <w:bottom w:val="nil"/>
              <w:right w:val="nil"/>
            </w:tcBorders>
            <w:vAlign w:val="center"/>
            <w:hideMark/>
          </w:tcPr>
          <w:p w14:paraId="62C5253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(72)</w:t>
            </w:r>
          </w:p>
        </w:tc>
        <w:tc>
          <w:tcPr>
            <w:tcW w:w="0" w:type="auto"/>
            <w:tcBorders>
              <w:top w:val="nil"/>
              <w:left w:val="nil"/>
              <w:bottom w:val="nil"/>
              <w:right w:val="nil"/>
            </w:tcBorders>
          </w:tcPr>
          <w:p w14:paraId="286AF9E8"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4031823A" w14:textId="730BD804"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(100)</w:t>
            </w:r>
          </w:p>
        </w:tc>
        <w:tc>
          <w:tcPr>
            <w:tcW w:w="0" w:type="auto"/>
            <w:tcBorders>
              <w:top w:val="nil"/>
              <w:left w:val="nil"/>
              <w:bottom w:val="nil"/>
              <w:right w:val="nil"/>
            </w:tcBorders>
            <w:vAlign w:val="center"/>
            <w:hideMark/>
          </w:tcPr>
          <w:p w14:paraId="465DBD5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(73)</w:t>
            </w:r>
          </w:p>
        </w:tc>
        <w:tc>
          <w:tcPr>
            <w:tcW w:w="0" w:type="auto"/>
            <w:tcBorders>
              <w:top w:val="nil"/>
              <w:left w:val="nil"/>
              <w:bottom w:val="nil"/>
              <w:right w:val="nil"/>
            </w:tcBorders>
            <w:vAlign w:val="center"/>
            <w:hideMark/>
          </w:tcPr>
          <w:p w14:paraId="15359D6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(46)</w:t>
            </w:r>
          </w:p>
        </w:tc>
        <w:tc>
          <w:tcPr>
            <w:tcW w:w="0" w:type="auto"/>
            <w:tcBorders>
              <w:top w:val="nil"/>
              <w:left w:val="nil"/>
              <w:bottom w:val="nil"/>
              <w:right w:val="nil"/>
            </w:tcBorders>
            <w:vAlign w:val="center"/>
            <w:hideMark/>
          </w:tcPr>
          <w:p w14:paraId="44E365D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(16)</w:t>
            </w:r>
          </w:p>
        </w:tc>
        <w:tc>
          <w:tcPr>
            <w:tcW w:w="0" w:type="auto"/>
            <w:tcBorders>
              <w:top w:val="nil"/>
              <w:left w:val="nil"/>
              <w:bottom w:val="nil"/>
              <w:right w:val="nil"/>
            </w:tcBorders>
            <w:vAlign w:val="center"/>
            <w:hideMark/>
          </w:tcPr>
          <w:p w14:paraId="62C777A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1946D7A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4DCBF72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24D5C36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37B6024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5C82896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r>
      <w:tr w:rsidR="0022670C" w:rsidRPr="00572FD8" w14:paraId="7DF4D4D0" w14:textId="77777777" w:rsidTr="0022670C">
        <w:trPr>
          <w:trHeight w:val="260"/>
        </w:trPr>
        <w:tc>
          <w:tcPr>
            <w:tcW w:w="0" w:type="auto"/>
            <w:tcBorders>
              <w:top w:val="nil"/>
              <w:left w:val="nil"/>
              <w:bottom w:val="nil"/>
              <w:right w:val="nil"/>
            </w:tcBorders>
            <w:hideMark/>
          </w:tcPr>
          <w:p w14:paraId="3D181BC8"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Repayment of lease liabilities</w:t>
            </w:r>
          </w:p>
        </w:tc>
        <w:tc>
          <w:tcPr>
            <w:tcW w:w="0" w:type="auto"/>
            <w:tcBorders>
              <w:top w:val="nil"/>
              <w:left w:val="nil"/>
              <w:bottom w:val="nil"/>
              <w:right w:val="nil"/>
            </w:tcBorders>
            <w:vAlign w:val="center"/>
            <w:hideMark/>
          </w:tcPr>
          <w:p w14:paraId="60EEAEF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(429)</w:t>
            </w:r>
          </w:p>
        </w:tc>
        <w:tc>
          <w:tcPr>
            <w:tcW w:w="0" w:type="auto"/>
            <w:tcBorders>
              <w:top w:val="nil"/>
              <w:left w:val="nil"/>
              <w:bottom w:val="nil"/>
              <w:right w:val="nil"/>
            </w:tcBorders>
          </w:tcPr>
          <w:p w14:paraId="051B122F"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3FBBBF88" w14:textId="2B01F4DA"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(516)</w:t>
            </w:r>
          </w:p>
        </w:tc>
        <w:tc>
          <w:tcPr>
            <w:tcW w:w="0" w:type="auto"/>
            <w:tcBorders>
              <w:top w:val="nil"/>
              <w:left w:val="nil"/>
              <w:bottom w:val="nil"/>
              <w:right w:val="nil"/>
            </w:tcBorders>
            <w:vAlign w:val="center"/>
            <w:hideMark/>
          </w:tcPr>
          <w:p w14:paraId="20AF90E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(543)</w:t>
            </w:r>
          </w:p>
        </w:tc>
        <w:tc>
          <w:tcPr>
            <w:tcW w:w="0" w:type="auto"/>
            <w:tcBorders>
              <w:top w:val="nil"/>
              <w:left w:val="nil"/>
              <w:bottom w:val="nil"/>
              <w:right w:val="nil"/>
            </w:tcBorders>
            <w:vAlign w:val="center"/>
            <w:hideMark/>
          </w:tcPr>
          <w:p w14:paraId="0A56FF9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(570)</w:t>
            </w:r>
          </w:p>
        </w:tc>
        <w:tc>
          <w:tcPr>
            <w:tcW w:w="0" w:type="auto"/>
            <w:tcBorders>
              <w:top w:val="nil"/>
              <w:left w:val="nil"/>
              <w:bottom w:val="nil"/>
              <w:right w:val="nil"/>
            </w:tcBorders>
            <w:vAlign w:val="center"/>
            <w:hideMark/>
          </w:tcPr>
          <w:p w14:paraId="4697AEC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(600)</w:t>
            </w:r>
          </w:p>
        </w:tc>
        <w:tc>
          <w:tcPr>
            <w:tcW w:w="0" w:type="auto"/>
            <w:tcBorders>
              <w:top w:val="nil"/>
              <w:left w:val="nil"/>
              <w:bottom w:val="nil"/>
              <w:right w:val="nil"/>
            </w:tcBorders>
            <w:vAlign w:val="center"/>
            <w:hideMark/>
          </w:tcPr>
          <w:p w14:paraId="4419C6B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2BEA197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4EDF33FB"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63DA10E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3FC75D43"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c>
          <w:tcPr>
            <w:tcW w:w="0" w:type="auto"/>
            <w:tcBorders>
              <w:top w:val="nil"/>
              <w:left w:val="nil"/>
              <w:bottom w:val="nil"/>
              <w:right w:val="nil"/>
            </w:tcBorders>
            <w:vAlign w:val="center"/>
            <w:hideMark/>
          </w:tcPr>
          <w:p w14:paraId="5E51AA0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w:t>
            </w:r>
          </w:p>
        </w:tc>
      </w:tr>
      <w:tr w:rsidR="0022670C" w:rsidRPr="00572FD8" w14:paraId="75EEE7ED" w14:textId="77777777" w:rsidTr="0022670C">
        <w:trPr>
          <w:trHeight w:val="260"/>
        </w:trPr>
        <w:tc>
          <w:tcPr>
            <w:tcW w:w="0" w:type="auto"/>
            <w:tcBorders>
              <w:top w:val="nil"/>
              <w:left w:val="nil"/>
              <w:bottom w:val="nil"/>
              <w:right w:val="nil"/>
            </w:tcBorders>
            <w:hideMark/>
          </w:tcPr>
          <w:p w14:paraId="34951C96" w14:textId="77777777" w:rsidR="0022670C" w:rsidRPr="00572FD8" w:rsidRDefault="0022670C" w:rsidP="00572FD8">
            <w:pPr>
              <w:spacing w:before="0" w:after="0"/>
              <w:rPr>
                <w:rFonts w:ascii="Arial" w:hAnsi="Arial" w:cs="Arial"/>
                <w:b/>
                <w:bCs/>
                <w:sz w:val="16"/>
                <w:szCs w:val="16"/>
              </w:rPr>
            </w:pPr>
            <w:r w:rsidRPr="00572FD8">
              <w:rPr>
                <w:rFonts w:ascii="Arial" w:hAnsi="Arial" w:cs="Arial"/>
                <w:b/>
                <w:bCs/>
                <w:sz w:val="16"/>
                <w:szCs w:val="16"/>
              </w:rPr>
              <w:t>Net cash provided by</w:t>
            </w:r>
            <w:proofErr w:type="gramStart"/>
            <w:r w:rsidRPr="00572FD8">
              <w:rPr>
                <w:rFonts w:ascii="Arial" w:hAnsi="Arial" w:cs="Arial"/>
                <w:b/>
                <w:bCs/>
                <w:sz w:val="16"/>
                <w:szCs w:val="16"/>
              </w:rPr>
              <w:t>/(</w:t>
            </w:r>
            <w:proofErr w:type="gramEnd"/>
            <w:r w:rsidRPr="00572FD8">
              <w:rPr>
                <w:rFonts w:ascii="Arial" w:hAnsi="Arial" w:cs="Arial"/>
                <w:b/>
                <w:bCs/>
                <w:sz w:val="16"/>
                <w:szCs w:val="16"/>
              </w:rPr>
              <w:t xml:space="preserve">used in) financing activities </w:t>
            </w:r>
          </w:p>
        </w:tc>
        <w:tc>
          <w:tcPr>
            <w:tcW w:w="0" w:type="auto"/>
            <w:tcBorders>
              <w:top w:val="single" w:sz="4" w:space="0" w:color="auto"/>
              <w:left w:val="nil"/>
              <w:bottom w:val="single" w:sz="4" w:space="0" w:color="auto"/>
              <w:right w:val="nil"/>
            </w:tcBorders>
            <w:vAlign w:val="center"/>
            <w:hideMark/>
          </w:tcPr>
          <w:p w14:paraId="5776650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5,045</w:t>
            </w:r>
          </w:p>
        </w:tc>
        <w:tc>
          <w:tcPr>
            <w:tcW w:w="0" w:type="auto"/>
            <w:tcBorders>
              <w:top w:val="single" w:sz="4" w:space="0" w:color="auto"/>
              <w:left w:val="nil"/>
              <w:bottom w:val="single" w:sz="4" w:space="0" w:color="auto"/>
              <w:right w:val="nil"/>
            </w:tcBorders>
          </w:tcPr>
          <w:p w14:paraId="4E46414A" w14:textId="77777777" w:rsidR="0022670C" w:rsidRPr="00572FD8" w:rsidRDefault="0022670C" w:rsidP="00572FD8">
            <w:pPr>
              <w:spacing w:before="0" w:after="0"/>
              <w:jc w:val="right"/>
              <w:rPr>
                <w:rFonts w:ascii="Arial" w:hAnsi="Arial" w:cs="Arial"/>
                <w:sz w:val="16"/>
                <w:szCs w:val="16"/>
              </w:rPr>
            </w:pPr>
          </w:p>
        </w:tc>
        <w:tc>
          <w:tcPr>
            <w:tcW w:w="0" w:type="auto"/>
            <w:tcBorders>
              <w:top w:val="single" w:sz="4" w:space="0" w:color="auto"/>
              <w:left w:val="nil"/>
              <w:bottom w:val="single" w:sz="4" w:space="0" w:color="auto"/>
              <w:right w:val="nil"/>
            </w:tcBorders>
            <w:vAlign w:val="center"/>
            <w:hideMark/>
          </w:tcPr>
          <w:p w14:paraId="740FBD9F" w14:textId="7A955762"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13,973</w:t>
            </w:r>
          </w:p>
        </w:tc>
        <w:tc>
          <w:tcPr>
            <w:tcW w:w="0" w:type="auto"/>
            <w:tcBorders>
              <w:top w:val="single" w:sz="4" w:space="0" w:color="auto"/>
              <w:left w:val="nil"/>
              <w:bottom w:val="single" w:sz="4" w:space="0" w:color="auto"/>
              <w:right w:val="nil"/>
            </w:tcBorders>
            <w:vAlign w:val="center"/>
            <w:hideMark/>
          </w:tcPr>
          <w:p w14:paraId="1AEA806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16,197</w:t>
            </w:r>
          </w:p>
        </w:tc>
        <w:tc>
          <w:tcPr>
            <w:tcW w:w="0" w:type="auto"/>
            <w:tcBorders>
              <w:top w:val="single" w:sz="4" w:space="0" w:color="auto"/>
              <w:left w:val="nil"/>
              <w:bottom w:val="single" w:sz="4" w:space="0" w:color="auto"/>
              <w:right w:val="nil"/>
            </w:tcBorders>
            <w:vAlign w:val="center"/>
            <w:hideMark/>
          </w:tcPr>
          <w:p w14:paraId="314D1B8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12,440</w:t>
            </w:r>
          </w:p>
        </w:tc>
        <w:tc>
          <w:tcPr>
            <w:tcW w:w="0" w:type="auto"/>
            <w:tcBorders>
              <w:top w:val="single" w:sz="4" w:space="0" w:color="auto"/>
              <w:left w:val="nil"/>
              <w:bottom w:val="single" w:sz="4" w:space="0" w:color="auto"/>
              <w:right w:val="nil"/>
            </w:tcBorders>
            <w:vAlign w:val="center"/>
            <w:hideMark/>
          </w:tcPr>
          <w:p w14:paraId="7625ECA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11,826</w:t>
            </w:r>
          </w:p>
        </w:tc>
        <w:tc>
          <w:tcPr>
            <w:tcW w:w="0" w:type="auto"/>
            <w:tcBorders>
              <w:top w:val="single" w:sz="4" w:space="0" w:color="auto"/>
              <w:left w:val="nil"/>
              <w:bottom w:val="single" w:sz="4" w:space="0" w:color="auto"/>
              <w:right w:val="nil"/>
            </w:tcBorders>
            <w:vAlign w:val="center"/>
            <w:hideMark/>
          </w:tcPr>
          <w:p w14:paraId="27F477A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(7,620)</w:t>
            </w:r>
          </w:p>
        </w:tc>
        <w:tc>
          <w:tcPr>
            <w:tcW w:w="0" w:type="auto"/>
            <w:tcBorders>
              <w:top w:val="single" w:sz="4" w:space="0" w:color="auto"/>
              <w:left w:val="nil"/>
              <w:bottom w:val="single" w:sz="4" w:space="0" w:color="auto"/>
              <w:right w:val="nil"/>
            </w:tcBorders>
            <w:vAlign w:val="center"/>
            <w:hideMark/>
          </w:tcPr>
          <w:p w14:paraId="689EB89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(8,227)</w:t>
            </w:r>
          </w:p>
        </w:tc>
        <w:tc>
          <w:tcPr>
            <w:tcW w:w="0" w:type="auto"/>
            <w:tcBorders>
              <w:top w:val="single" w:sz="4" w:space="0" w:color="auto"/>
              <w:left w:val="nil"/>
              <w:bottom w:val="single" w:sz="4" w:space="0" w:color="auto"/>
              <w:right w:val="nil"/>
            </w:tcBorders>
            <w:vAlign w:val="center"/>
            <w:hideMark/>
          </w:tcPr>
          <w:p w14:paraId="2C1CC69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(8,987)</w:t>
            </w:r>
          </w:p>
        </w:tc>
        <w:tc>
          <w:tcPr>
            <w:tcW w:w="0" w:type="auto"/>
            <w:tcBorders>
              <w:top w:val="single" w:sz="4" w:space="0" w:color="auto"/>
              <w:left w:val="nil"/>
              <w:bottom w:val="single" w:sz="4" w:space="0" w:color="auto"/>
              <w:right w:val="nil"/>
            </w:tcBorders>
            <w:vAlign w:val="center"/>
            <w:hideMark/>
          </w:tcPr>
          <w:p w14:paraId="66FC204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(9,594)</w:t>
            </w:r>
          </w:p>
        </w:tc>
        <w:tc>
          <w:tcPr>
            <w:tcW w:w="0" w:type="auto"/>
            <w:tcBorders>
              <w:top w:val="single" w:sz="4" w:space="0" w:color="auto"/>
              <w:left w:val="nil"/>
              <w:bottom w:val="single" w:sz="4" w:space="0" w:color="auto"/>
              <w:right w:val="nil"/>
            </w:tcBorders>
            <w:vAlign w:val="center"/>
            <w:hideMark/>
          </w:tcPr>
          <w:p w14:paraId="716EC97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(10,202)</w:t>
            </w:r>
          </w:p>
        </w:tc>
        <w:tc>
          <w:tcPr>
            <w:tcW w:w="0" w:type="auto"/>
            <w:tcBorders>
              <w:top w:val="single" w:sz="4" w:space="0" w:color="auto"/>
              <w:left w:val="nil"/>
              <w:bottom w:val="single" w:sz="4" w:space="0" w:color="auto"/>
              <w:right w:val="nil"/>
            </w:tcBorders>
            <w:vAlign w:val="center"/>
            <w:hideMark/>
          </w:tcPr>
          <w:p w14:paraId="423492C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(10,782)</w:t>
            </w:r>
          </w:p>
        </w:tc>
      </w:tr>
      <w:tr w:rsidR="0022670C" w:rsidRPr="00572FD8" w14:paraId="795FBC8E" w14:textId="77777777" w:rsidTr="0022670C">
        <w:trPr>
          <w:trHeight w:val="260"/>
        </w:trPr>
        <w:tc>
          <w:tcPr>
            <w:tcW w:w="0" w:type="auto"/>
            <w:tcBorders>
              <w:top w:val="nil"/>
              <w:left w:val="nil"/>
              <w:bottom w:val="nil"/>
              <w:right w:val="nil"/>
            </w:tcBorders>
            <w:hideMark/>
          </w:tcPr>
          <w:p w14:paraId="69446BED"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00ED549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tcPr>
          <w:p w14:paraId="5102D680"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2BD3EBFE" w14:textId="784382EE"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7C114AC2"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3E6DF7D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1BCAB36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4A5223C7"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4C33789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6DA4FC0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6D65C94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74E8555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c>
          <w:tcPr>
            <w:tcW w:w="0" w:type="auto"/>
            <w:tcBorders>
              <w:top w:val="nil"/>
              <w:left w:val="nil"/>
              <w:bottom w:val="nil"/>
              <w:right w:val="nil"/>
            </w:tcBorders>
            <w:vAlign w:val="center"/>
            <w:hideMark/>
          </w:tcPr>
          <w:p w14:paraId="101E66F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 </w:t>
            </w:r>
          </w:p>
        </w:tc>
      </w:tr>
      <w:tr w:rsidR="0022670C" w:rsidRPr="00572FD8" w14:paraId="5514BA2C" w14:textId="77777777" w:rsidTr="0022670C">
        <w:trPr>
          <w:trHeight w:val="260"/>
        </w:trPr>
        <w:tc>
          <w:tcPr>
            <w:tcW w:w="0" w:type="auto"/>
            <w:tcBorders>
              <w:top w:val="nil"/>
              <w:left w:val="nil"/>
              <w:bottom w:val="nil"/>
              <w:right w:val="nil"/>
            </w:tcBorders>
            <w:hideMark/>
          </w:tcPr>
          <w:p w14:paraId="68D19CB4"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xml:space="preserve">Net increase/(decrease) in cash &amp; cash equivalents </w:t>
            </w:r>
          </w:p>
        </w:tc>
        <w:tc>
          <w:tcPr>
            <w:tcW w:w="0" w:type="auto"/>
            <w:tcBorders>
              <w:top w:val="nil"/>
              <w:left w:val="nil"/>
              <w:bottom w:val="nil"/>
              <w:right w:val="nil"/>
            </w:tcBorders>
            <w:vAlign w:val="center"/>
            <w:hideMark/>
          </w:tcPr>
          <w:p w14:paraId="4C758ED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22,773</w:t>
            </w:r>
          </w:p>
        </w:tc>
        <w:tc>
          <w:tcPr>
            <w:tcW w:w="0" w:type="auto"/>
            <w:tcBorders>
              <w:top w:val="nil"/>
              <w:left w:val="nil"/>
              <w:bottom w:val="nil"/>
              <w:right w:val="nil"/>
            </w:tcBorders>
          </w:tcPr>
          <w:p w14:paraId="16CB2AC2"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54F4B134" w14:textId="74EBD805"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45,529</w:t>
            </w:r>
          </w:p>
        </w:tc>
        <w:tc>
          <w:tcPr>
            <w:tcW w:w="0" w:type="auto"/>
            <w:tcBorders>
              <w:top w:val="nil"/>
              <w:left w:val="nil"/>
              <w:bottom w:val="nil"/>
              <w:right w:val="nil"/>
            </w:tcBorders>
            <w:vAlign w:val="center"/>
            <w:hideMark/>
          </w:tcPr>
          <w:p w14:paraId="4A3F0A7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8,688</w:t>
            </w:r>
          </w:p>
        </w:tc>
        <w:tc>
          <w:tcPr>
            <w:tcW w:w="0" w:type="auto"/>
            <w:tcBorders>
              <w:top w:val="nil"/>
              <w:left w:val="nil"/>
              <w:bottom w:val="nil"/>
              <w:right w:val="nil"/>
            </w:tcBorders>
            <w:vAlign w:val="center"/>
            <w:hideMark/>
          </w:tcPr>
          <w:p w14:paraId="6F80F9E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4,274</w:t>
            </w:r>
          </w:p>
        </w:tc>
        <w:tc>
          <w:tcPr>
            <w:tcW w:w="0" w:type="auto"/>
            <w:tcBorders>
              <w:top w:val="nil"/>
              <w:left w:val="nil"/>
              <w:bottom w:val="nil"/>
              <w:right w:val="nil"/>
            </w:tcBorders>
            <w:vAlign w:val="center"/>
            <w:hideMark/>
          </w:tcPr>
          <w:p w14:paraId="4200E79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2,655</w:t>
            </w:r>
          </w:p>
        </w:tc>
        <w:tc>
          <w:tcPr>
            <w:tcW w:w="0" w:type="auto"/>
            <w:tcBorders>
              <w:top w:val="nil"/>
              <w:left w:val="nil"/>
              <w:bottom w:val="nil"/>
              <w:right w:val="nil"/>
            </w:tcBorders>
            <w:vAlign w:val="center"/>
            <w:hideMark/>
          </w:tcPr>
          <w:p w14:paraId="37C26F3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(1,248)</w:t>
            </w:r>
          </w:p>
        </w:tc>
        <w:tc>
          <w:tcPr>
            <w:tcW w:w="0" w:type="auto"/>
            <w:tcBorders>
              <w:top w:val="nil"/>
              <w:left w:val="nil"/>
              <w:bottom w:val="nil"/>
              <w:right w:val="nil"/>
            </w:tcBorders>
            <w:vAlign w:val="center"/>
            <w:hideMark/>
          </w:tcPr>
          <w:p w14:paraId="3932650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(11,661)</w:t>
            </w:r>
          </w:p>
        </w:tc>
        <w:tc>
          <w:tcPr>
            <w:tcW w:w="0" w:type="auto"/>
            <w:tcBorders>
              <w:top w:val="nil"/>
              <w:left w:val="nil"/>
              <w:bottom w:val="nil"/>
              <w:right w:val="nil"/>
            </w:tcBorders>
            <w:vAlign w:val="center"/>
            <w:hideMark/>
          </w:tcPr>
          <w:p w14:paraId="5D59BC2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(10,700)</w:t>
            </w:r>
          </w:p>
        </w:tc>
        <w:tc>
          <w:tcPr>
            <w:tcW w:w="0" w:type="auto"/>
            <w:tcBorders>
              <w:top w:val="nil"/>
              <w:left w:val="nil"/>
              <w:bottom w:val="nil"/>
              <w:right w:val="nil"/>
            </w:tcBorders>
            <w:vAlign w:val="center"/>
            <w:hideMark/>
          </w:tcPr>
          <w:p w14:paraId="569396A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(8,811)</w:t>
            </w:r>
          </w:p>
        </w:tc>
        <w:tc>
          <w:tcPr>
            <w:tcW w:w="0" w:type="auto"/>
            <w:tcBorders>
              <w:top w:val="nil"/>
              <w:left w:val="nil"/>
              <w:bottom w:val="nil"/>
              <w:right w:val="nil"/>
            </w:tcBorders>
            <w:vAlign w:val="center"/>
            <w:hideMark/>
          </w:tcPr>
          <w:p w14:paraId="770876B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6,405</w:t>
            </w:r>
          </w:p>
        </w:tc>
        <w:tc>
          <w:tcPr>
            <w:tcW w:w="0" w:type="auto"/>
            <w:tcBorders>
              <w:top w:val="nil"/>
              <w:left w:val="nil"/>
              <w:bottom w:val="nil"/>
              <w:right w:val="nil"/>
            </w:tcBorders>
            <w:vAlign w:val="center"/>
            <w:hideMark/>
          </w:tcPr>
          <w:p w14:paraId="1AC00F39"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(1,633)</w:t>
            </w:r>
          </w:p>
        </w:tc>
      </w:tr>
      <w:tr w:rsidR="0022670C" w:rsidRPr="00572FD8" w14:paraId="32AB7DF7" w14:textId="77777777" w:rsidTr="0022670C">
        <w:trPr>
          <w:trHeight w:val="260"/>
        </w:trPr>
        <w:tc>
          <w:tcPr>
            <w:tcW w:w="0" w:type="auto"/>
            <w:tcBorders>
              <w:top w:val="nil"/>
              <w:left w:val="nil"/>
              <w:bottom w:val="nil"/>
              <w:right w:val="nil"/>
            </w:tcBorders>
            <w:hideMark/>
          </w:tcPr>
          <w:p w14:paraId="17371A3B" w14:textId="77777777" w:rsidR="0022670C" w:rsidRPr="00572FD8" w:rsidRDefault="0022670C" w:rsidP="00572FD8">
            <w:pPr>
              <w:spacing w:before="0" w:after="0"/>
              <w:rPr>
                <w:rFonts w:ascii="Arial" w:hAnsi="Arial" w:cs="Arial"/>
                <w:sz w:val="16"/>
                <w:szCs w:val="16"/>
              </w:rPr>
            </w:pPr>
            <w:r w:rsidRPr="00572FD8">
              <w:rPr>
                <w:rFonts w:ascii="Arial" w:hAnsi="Arial" w:cs="Arial"/>
                <w:sz w:val="16"/>
                <w:szCs w:val="16"/>
              </w:rPr>
              <w:t xml:space="preserve">Cash and cash equivalents at the beginning of the financial year </w:t>
            </w:r>
          </w:p>
        </w:tc>
        <w:tc>
          <w:tcPr>
            <w:tcW w:w="0" w:type="auto"/>
            <w:tcBorders>
              <w:top w:val="nil"/>
              <w:left w:val="nil"/>
              <w:bottom w:val="nil"/>
              <w:right w:val="nil"/>
            </w:tcBorders>
            <w:vAlign w:val="center"/>
            <w:hideMark/>
          </w:tcPr>
          <w:p w14:paraId="37F600A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146,926</w:t>
            </w:r>
          </w:p>
        </w:tc>
        <w:tc>
          <w:tcPr>
            <w:tcW w:w="0" w:type="auto"/>
            <w:tcBorders>
              <w:top w:val="nil"/>
              <w:left w:val="nil"/>
              <w:bottom w:val="nil"/>
              <w:right w:val="nil"/>
            </w:tcBorders>
          </w:tcPr>
          <w:p w14:paraId="69D0C2E4" w14:textId="77777777" w:rsidR="0022670C" w:rsidRPr="00572FD8" w:rsidRDefault="0022670C" w:rsidP="00572FD8">
            <w:pPr>
              <w:spacing w:before="0" w:after="0"/>
              <w:jc w:val="right"/>
              <w:rPr>
                <w:rFonts w:ascii="Arial" w:hAnsi="Arial" w:cs="Arial"/>
                <w:sz w:val="16"/>
                <w:szCs w:val="16"/>
              </w:rPr>
            </w:pPr>
          </w:p>
        </w:tc>
        <w:tc>
          <w:tcPr>
            <w:tcW w:w="0" w:type="auto"/>
            <w:tcBorders>
              <w:top w:val="nil"/>
              <w:left w:val="nil"/>
              <w:bottom w:val="nil"/>
              <w:right w:val="nil"/>
            </w:tcBorders>
            <w:vAlign w:val="center"/>
            <w:hideMark/>
          </w:tcPr>
          <w:p w14:paraId="738401D9" w14:textId="0B342088"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169,699</w:t>
            </w:r>
          </w:p>
        </w:tc>
        <w:tc>
          <w:tcPr>
            <w:tcW w:w="0" w:type="auto"/>
            <w:tcBorders>
              <w:top w:val="nil"/>
              <w:left w:val="nil"/>
              <w:bottom w:val="nil"/>
              <w:right w:val="nil"/>
            </w:tcBorders>
            <w:vAlign w:val="center"/>
            <w:hideMark/>
          </w:tcPr>
          <w:p w14:paraId="2A47D35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215,228</w:t>
            </w:r>
          </w:p>
        </w:tc>
        <w:tc>
          <w:tcPr>
            <w:tcW w:w="0" w:type="auto"/>
            <w:tcBorders>
              <w:top w:val="nil"/>
              <w:left w:val="nil"/>
              <w:bottom w:val="nil"/>
              <w:right w:val="nil"/>
            </w:tcBorders>
            <w:vAlign w:val="center"/>
            <w:hideMark/>
          </w:tcPr>
          <w:p w14:paraId="2083DE5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223,917</w:t>
            </w:r>
          </w:p>
        </w:tc>
        <w:tc>
          <w:tcPr>
            <w:tcW w:w="0" w:type="auto"/>
            <w:tcBorders>
              <w:top w:val="nil"/>
              <w:left w:val="nil"/>
              <w:bottom w:val="nil"/>
              <w:right w:val="nil"/>
            </w:tcBorders>
            <w:vAlign w:val="center"/>
            <w:hideMark/>
          </w:tcPr>
          <w:p w14:paraId="7DF6783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228,191</w:t>
            </w:r>
          </w:p>
        </w:tc>
        <w:tc>
          <w:tcPr>
            <w:tcW w:w="0" w:type="auto"/>
            <w:tcBorders>
              <w:top w:val="nil"/>
              <w:left w:val="nil"/>
              <w:bottom w:val="nil"/>
              <w:right w:val="nil"/>
            </w:tcBorders>
            <w:vAlign w:val="center"/>
            <w:hideMark/>
          </w:tcPr>
          <w:p w14:paraId="736FAFE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230,846</w:t>
            </w:r>
          </w:p>
        </w:tc>
        <w:tc>
          <w:tcPr>
            <w:tcW w:w="0" w:type="auto"/>
            <w:tcBorders>
              <w:top w:val="nil"/>
              <w:left w:val="nil"/>
              <w:bottom w:val="nil"/>
              <w:right w:val="nil"/>
            </w:tcBorders>
            <w:vAlign w:val="center"/>
            <w:hideMark/>
          </w:tcPr>
          <w:p w14:paraId="1EBCE30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229,597</w:t>
            </w:r>
          </w:p>
        </w:tc>
        <w:tc>
          <w:tcPr>
            <w:tcW w:w="0" w:type="auto"/>
            <w:tcBorders>
              <w:top w:val="nil"/>
              <w:left w:val="nil"/>
              <w:bottom w:val="nil"/>
              <w:right w:val="nil"/>
            </w:tcBorders>
            <w:vAlign w:val="center"/>
            <w:hideMark/>
          </w:tcPr>
          <w:p w14:paraId="4F5D50F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217,936</w:t>
            </w:r>
          </w:p>
        </w:tc>
        <w:tc>
          <w:tcPr>
            <w:tcW w:w="0" w:type="auto"/>
            <w:tcBorders>
              <w:top w:val="nil"/>
              <w:left w:val="nil"/>
              <w:bottom w:val="nil"/>
              <w:right w:val="nil"/>
            </w:tcBorders>
            <w:vAlign w:val="center"/>
            <w:hideMark/>
          </w:tcPr>
          <w:p w14:paraId="49F8D98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207,237</w:t>
            </w:r>
          </w:p>
        </w:tc>
        <w:tc>
          <w:tcPr>
            <w:tcW w:w="0" w:type="auto"/>
            <w:tcBorders>
              <w:top w:val="nil"/>
              <w:left w:val="nil"/>
              <w:bottom w:val="nil"/>
              <w:right w:val="nil"/>
            </w:tcBorders>
            <w:vAlign w:val="center"/>
            <w:hideMark/>
          </w:tcPr>
          <w:p w14:paraId="6ABD9476"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198,426</w:t>
            </w:r>
          </w:p>
        </w:tc>
        <w:tc>
          <w:tcPr>
            <w:tcW w:w="0" w:type="auto"/>
            <w:tcBorders>
              <w:top w:val="nil"/>
              <w:left w:val="nil"/>
              <w:bottom w:val="nil"/>
              <w:right w:val="nil"/>
            </w:tcBorders>
            <w:vAlign w:val="center"/>
            <w:hideMark/>
          </w:tcPr>
          <w:p w14:paraId="05F5683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204,831</w:t>
            </w:r>
          </w:p>
        </w:tc>
      </w:tr>
      <w:tr w:rsidR="0022670C" w:rsidRPr="00572FD8" w14:paraId="6A82B51F" w14:textId="77777777" w:rsidTr="0022670C">
        <w:trPr>
          <w:trHeight w:val="555"/>
        </w:trPr>
        <w:tc>
          <w:tcPr>
            <w:tcW w:w="0" w:type="auto"/>
            <w:tcBorders>
              <w:top w:val="nil"/>
              <w:left w:val="nil"/>
              <w:bottom w:val="nil"/>
              <w:right w:val="nil"/>
            </w:tcBorders>
            <w:vAlign w:val="center"/>
            <w:hideMark/>
          </w:tcPr>
          <w:p w14:paraId="780C35DB" w14:textId="77777777" w:rsidR="0022670C" w:rsidRPr="00572FD8" w:rsidRDefault="0022670C" w:rsidP="00572FD8">
            <w:pPr>
              <w:spacing w:before="0" w:after="0"/>
              <w:rPr>
                <w:rFonts w:ascii="Arial" w:hAnsi="Arial" w:cs="Arial"/>
                <w:b/>
                <w:bCs/>
                <w:sz w:val="16"/>
                <w:szCs w:val="16"/>
              </w:rPr>
            </w:pPr>
            <w:r w:rsidRPr="00572FD8">
              <w:rPr>
                <w:rFonts w:ascii="Arial" w:hAnsi="Arial" w:cs="Arial"/>
                <w:b/>
                <w:bCs/>
                <w:sz w:val="16"/>
                <w:szCs w:val="16"/>
              </w:rPr>
              <w:t xml:space="preserve">Cash and cash equivalents at the end of the financial year </w:t>
            </w:r>
          </w:p>
        </w:tc>
        <w:tc>
          <w:tcPr>
            <w:tcW w:w="0" w:type="auto"/>
            <w:tcBorders>
              <w:top w:val="single" w:sz="4" w:space="0" w:color="auto"/>
              <w:left w:val="nil"/>
              <w:bottom w:val="double" w:sz="6" w:space="0" w:color="auto"/>
              <w:right w:val="nil"/>
            </w:tcBorders>
            <w:vAlign w:val="center"/>
            <w:hideMark/>
          </w:tcPr>
          <w:p w14:paraId="077B1D8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169,699</w:t>
            </w:r>
          </w:p>
        </w:tc>
        <w:tc>
          <w:tcPr>
            <w:tcW w:w="0" w:type="auto"/>
            <w:tcBorders>
              <w:top w:val="single" w:sz="4" w:space="0" w:color="auto"/>
              <w:left w:val="nil"/>
              <w:bottom w:val="double" w:sz="6" w:space="0" w:color="auto"/>
              <w:right w:val="nil"/>
            </w:tcBorders>
          </w:tcPr>
          <w:p w14:paraId="6C4AC5DF" w14:textId="77777777" w:rsidR="0022670C" w:rsidRPr="00572FD8" w:rsidRDefault="0022670C" w:rsidP="00572FD8">
            <w:pPr>
              <w:spacing w:before="0" w:after="0"/>
              <w:jc w:val="right"/>
              <w:rPr>
                <w:rFonts w:ascii="Arial" w:hAnsi="Arial" w:cs="Arial"/>
                <w:sz w:val="16"/>
                <w:szCs w:val="16"/>
              </w:rPr>
            </w:pPr>
          </w:p>
        </w:tc>
        <w:tc>
          <w:tcPr>
            <w:tcW w:w="0" w:type="auto"/>
            <w:tcBorders>
              <w:top w:val="single" w:sz="4" w:space="0" w:color="auto"/>
              <w:left w:val="nil"/>
              <w:bottom w:val="double" w:sz="6" w:space="0" w:color="auto"/>
              <w:right w:val="nil"/>
            </w:tcBorders>
            <w:vAlign w:val="center"/>
            <w:hideMark/>
          </w:tcPr>
          <w:p w14:paraId="192981F7" w14:textId="08D19B98"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215,228</w:t>
            </w:r>
          </w:p>
        </w:tc>
        <w:tc>
          <w:tcPr>
            <w:tcW w:w="0" w:type="auto"/>
            <w:tcBorders>
              <w:top w:val="single" w:sz="4" w:space="0" w:color="auto"/>
              <w:left w:val="nil"/>
              <w:bottom w:val="double" w:sz="6" w:space="0" w:color="auto"/>
              <w:right w:val="nil"/>
            </w:tcBorders>
            <w:vAlign w:val="center"/>
            <w:hideMark/>
          </w:tcPr>
          <w:p w14:paraId="686BAF1A"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223,917</w:t>
            </w:r>
          </w:p>
        </w:tc>
        <w:tc>
          <w:tcPr>
            <w:tcW w:w="0" w:type="auto"/>
            <w:tcBorders>
              <w:top w:val="single" w:sz="4" w:space="0" w:color="auto"/>
              <w:left w:val="nil"/>
              <w:bottom w:val="double" w:sz="6" w:space="0" w:color="auto"/>
              <w:right w:val="nil"/>
            </w:tcBorders>
            <w:vAlign w:val="center"/>
            <w:hideMark/>
          </w:tcPr>
          <w:p w14:paraId="06297880"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228,191</w:t>
            </w:r>
          </w:p>
        </w:tc>
        <w:tc>
          <w:tcPr>
            <w:tcW w:w="0" w:type="auto"/>
            <w:tcBorders>
              <w:top w:val="single" w:sz="4" w:space="0" w:color="auto"/>
              <w:left w:val="nil"/>
              <w:bottom w:val="double" w:sz="6" w:space="0" w:color="auto"/>
              <w:right w:val="nil"/>
            </w:tcBorders>
            <w:vAlign w:val="center"/>
            <w:hideMark/>
          </w:tcPr>
          <w:p w14:paraId="00008A3D"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230,846</w:t>
            </w:r>
          </w:p>
        </w:tc>
        <w:tc>
          <w:tcPr>
            <w:tcW w:w="0" w:type="auto"/>
            <w:tcBorders>
              <w:top w:val="single" w:sz="4" w:space="0" w:color="auto"/>
              <w:left w:val="nil"/>
              <w:bottom w:val="double" w:sz="6" w:space="0" w:color="auto"/>
              <w:right w:val="nil"/>
            </w:tcBorders>
            <w:vAlign w:val="center"/>
            <w:hideMark/>
          </w:tcPr>
          <w:p w14:paraId="2FC4016E"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229,597</w:t>
            </w:r>
          </w:p>
        </w:tc>
        <w:tc>
          <w:tcPr>
            <w:tcW w:w="0" w:type="auto"/>
            <w:tcBorders>
              <w:top w:val="single" w:sz="4" w:space="0" w:color="auto"/>
              <w:left w:val="nil"/>
              <w:bottom w:val="double" w:sz="6" w:space="0" w:color="auto"/>
              <w:right w:val="nil"/>
            </w:tcBorders>
            <w:vAlign w:val="center"/>
            <w:hideMark/>
          </w:tcPr>
          <w:p w14:paraId="0D77A671"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217,936</w:t>
            </w:r>
          </w:p>
        </w:tc>
        <w:tc>
          <w:tcPr>
            <w:tcW w:w="0" w:type="auto"/>
            <w:tcBorders>
              <w:top w:val="single" w:sz="4" w:space="0" w:color="auto"/>
              <w:left w:val="nil"/>
              <w:bottom w:val="double" w:sz="6" w:space="0" w:color="auto"/>
              <w:right w:val="nil"/>
            </w:tcBorders>
            <w:vAlign w:val="center"/>
            <w:hideMark/>
          </w:tcPr>
          <w:p w14:paraId="4238F745"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207,237</w:t>
            </w:r>
          </w:p>
        </w:tc>
        <w:tc>
          <w:tcPr>
            <w:tcW w:w="0" w:type="auto"/>
            <w:tcBorders>
              <w:top w:val="single" w:sz="4" w:space="0" w:color="auto"/>
              <w:left w:val="nil"/>
              <w:bottom w:val="double" w:sz="6" w:space="0" w:color="auto"/>
              <w:right w:val="nil"/>
            </w:tcBorders>
            <w:vAlign w:val="center"/>
            <w:hideMark/>
          </w:tcPr>
          <w:p w14:paraId="1E72F114"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198,426</w:t>
            </w:r>
          </w:p>
        </w:tc>
        <w:tc>
          <w:tcPr>
            <w:tcW w:w="0" w:type="auto"/>
            <w:tcBorders>
              <w:top w:val="single" w:sz="4" w:space="0" w:color="auto"/>
              <w:left w:val="nil"/>
              <w:bottom w:val="double" w:sz="6" w:space="0" w:color="auto"/>
              <w:right w:val="nil"/>
            </w:tcBorders>
            <w:vAlign w:val="center"/>
            <w:hideMark/>
          </w:tcPr>
          <w:p w14:paraId="3A974C08"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204,831</w:t>
            </w:r>
          </w:p>
        </w:tc>
        <w:tc>
          <w:tcPr>
            <w:tcW w:w="0" w:type="auto"/>
            <w:tcBorders>
              <w:top w:val="single" w:sz="4" w:space="0" w:color="auto"/>
              <w:left w:val="nil"/>
              <w:bottom w:val="double" w:sz="6" w:space="0" w:color="auto"/>
              <w:right w:val="nil"/>
            </w:tcBorders>
            <w:vAlign w:val="center"/>
            <w:hideMark/>
          </w:tcPr>
          <w:p w14:paraId="594C987C" w14:textId="77777777" w:rsidR="0022670C" w:rsidRPr="00572FD8" w:rsidRDefault="0022670C" w:rsidP="00572FD8">
            <w:pPr>
              <w:spacing w:before="0" w:after="0"/>
              <w:jc w:val="right"/>
              <w:rPr>
                <w:rFonts w:ascii="Arial" w:hAnsi="Arial" w:cs="Arial"/>
                <w:sz w:val="16"/>
                <w:szCs w:val="16"/>
              </w:rPr>
            </w:pPr>
            <w:r w:rsidRPr="00572FD8">
              <w:rPr>
                <w:rFonts w:ascii="Arial" w:hAnsi="Arial" w:cs="Arial"/>
                <w:sz w:val="16"/>
                <w:szCs w:val="16"/>
              </w:rPr>
              <w:t>203,198</w:t>
            </w:r>
          </w:p>
        </w:tc>
      </w:tr>
    </w:tbl>
    <w:p w14:paraId="3CFF3CD8" w14:textId="77777777" w:rsidR="00C668A5" w:rsidRDefault="00C668A5">
      <w:pPr>
        <w:rPr>
          <w:rFonts w:ascii="Franklin Gothic Demi" w:eastAsiaTheme="majorEastAsia" w:hAnsi="Franklin Gothic Demi" w:cstheme="majorBidi"/>
          <w:i/>
          <w:sz w:val="28"/>
          <w:lang w:eastAsia="en-US"/>
        </w:rPr>
      </w:pPr>
      <w:r>
        <w:br w:type="page"/>
      </w:r>
    </w:p>
    <w:p w14:paraId="3EDDA8EE" w14:textId="060F0C58" w:rsidR="00A82C0D" w:rsidRDefault="0022670C" w:rsidP="0022670C">
      <w:pPr>
        <w:pStyle w:val="Heading2"/>
      </w:pPr>
      <w:bookmarkStart w:id="55" w:name="_Ref205284770"/>
      <w:bookmarkStart w:id="56" w:name="_Toc210205642"/>
      <w:bookmarkStart w:id="57" w:name="_Toc211874596"/>
      <w:r>
        <w:lastRenderedPageBreak/>
        <w:t xml:space="preserve">6.5 </w:t>
      </w:r>
      <w:r w:rsidR="00C668A5">
        <w:t>Statement of Capital Works</w:t>
      </w:r>
      <w:bookmarkEnd w:id="55"/>
      <w:bookmarkEnd w:id="56"/>
      <w:bookmarkEnd w:id="57"/>
    </w:p>
    <w:p w14:paraId="0A9BADB2" w14:textId="77777777" w:rsidR="0022670C" w:rsidRPr="0022670C" w:rsidRDefault="0022670C" w:rsidP="0022670C">
      <w:pPr>
        <w:spacing w:before="0" w:after="0"/>
        <w:rPr>
          <w:lang w:eastAsia="en-US"/>
        </w:rPr>
      </w:pPr>
    </w:p>
    <w:tbl>
      <w:tblPr>
        <w:tblW w:w="5000" w:type="pct"/>
        <w:tblLook w:val="04A0" w:firstRow="1" w:lastRow="0" w:firstColumn="1" w:lastColumn="0" w:noHBand="0" w:noVBand="1"/>
      </w:tblPr>
      <w:tblGrid>
        <w:gridCol w:w="3525"/>
        <w:gridCol w:w="875"/>
        <w:gridCol w:w="875"/>
        <w:gridCol w:w="875"/>
        <w:gridCol w:w="875"/>
        <w:gridCol w:w="874"/>
        <w:gridCol w:w="874"/>
        <w:gridCol w:w="874"/>
        <w:gridCol w:w="874"/>
        <w:gridCol w:w="874"/>
        <w:gridCol w:w="874"/>
        <w:gridCol w:w="861"/>
      </w:tblGrid>
      <w:tr w:rsidR="00C96F13" w:rsidRPr="00C96F13" w14:paraId="09D7CEC4" w14:textId="77777777" w:rsidTr="00D2068B">
        <w:trPr>
          <w:trHeight w:val="285"/>
          <w:tblHeader/>
        </w:trPr>
        <w:tc>
          <w:tcPr>
            <w:tcW w:w="1342" w:type="pct"/>
            <w:tcBorders>
              <w:top w:val="nil"/>
              <w:left w:val="nil"/>
              <w:bottom w:val="nil"/>
              <w:right w:val="nil"/>
            </w:tcBorders>
            <w:shd w:val="clear" w:color="000000" w:fill="002060"/>
            <w:vAlign w:val="center"/>
            <w:hideMark/>
          </w:tcPr>
          <w:p w14:paraId="4F8A003C"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 </w:t>
            </w:r>
          </w:p>
        </w:tc>
        <w:tc>
          <w:tcPr>
            <w:tcW w:w="333" w:type="pct"/>
            <w:tcBorders>
              <w:top w:val="nil"/>
              <w:left w:val="nil"/>
              <w:bottom w:val="nil"/>
              <w:right w:val="nil"/>
            </w:tcBorders>
            <w:shd w:val="clear" w:color="000000" w:fill="002060"/>
            <w:vAlign w:val="center"/>
            <w:hideMark/>
          </w:tcPr>
          <w:p w14:paraId="7C37DD2D"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 </w:t>
            </w:r>
          </w:p>
        </w:tc>
        <w:tc>
          <w:tcPr>
            <w:tcW w:w="3324" w:type="pct"/>
            <w:gridSpan w:val="10"/>
            <w:vMerge w:val="restart"/>
            <w:tcBorders>
              <w:top w:val="nil"/>
              <w:left w:val="nil"/>
              <w:bottom w:val="nil"/>
              <w:right w:val="nil"/>
            </w:tcBorders>
            <w:shd w:val="clear" w:color="000000" w:fill="002060"/>
            <w:vAlign w:val="center"/>
            <w:hideMark/>
          </w:tcPr>
          <w:p w14:paraId="062D1052"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Projections</w:t>
            </w:r>
          </w:p>
        </w:tc>
      </w:tr>
      <w:tr w:rsidR="00C96F13" w:rsidRPr="00C96F13" w14:paraId="2C2A1298" w14:textId="77777777" w:rsidTr="00D2068B">
        <w:trPr>
          <w:trHeight w:val="195"/>
          <w:tblHeader/>
        </w:trPr>
        <w:tc>
          <w:tcPr>
            <w:tcW w:w="1342" w:type="pct"/>
            <w:tcBorders>
              <w:top w:val="nil"/>
              <w:left w:val="nil"/>
              <w:bottom w:val="nil"/>
              <w:right w:val="nil"/>
            </w:tcBorders>
            <w:shd w:val="clear" w:color="000000" w:fill="002060"/>
            <w:vAlign w:val="center"/>
            <w:hideMark/>
          </w:tcPr>
          <w:p w14:paraId="3723F8CA"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 </w:t>
            </w:r>
          </w:p>
        </w:tc>
        <w:tc>
          <w:tcPr>
            <w:tcW w:w="333" w:type="pct"/>
            <w:tcBorders>
              <w:top w:val="nil"/>
              <w:left w:val="nil"/>
              <w:bottom w:val="nil"/>
              <w:right w:val="nil"/>
            </w:tcBorders>
            <w:shd w:val="clear" w:color="000000" w:fill="002060"/>
            <w:vAlign w:val="center"/>
            <w:hideMark/>
          </w:tcPr>
          <w:p w14:paraId="7A0C3113"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Actual</w:t>
            </w:r>
          </w:p>
        </w:tc>
        <w:tc>
          <w:tcPr>
            <w:tcW w:w="3324" w:type="pct"/>
            <w:gridSpan w:val="10"/>
            <w:vMerge/>
            <w:tcBorders>
              <w:top w:val="nil"/>
              <w:left w:val="nil"/>
              <w:bottom w:val="nil"/>
              <w:right w:val="nil"/>
            </w:tcBorders>
            <w:vAlign w:val="center"/>
            <w:hideMark/>
          </w:tcPr>
          <w:p w14:paraId="40C3A1FC" w14:textId="77777777" w:rsidR="00C96F13" w:rsidRPr="00C96F13" w:rsidRDefault="00C96F13" w:rsidP="00C96F13">
            <w:pPr>
              <w:spacing w:before="0" w:after="0"/>
              <w:rPr>
                <w:rFonts w:ascii="Arial" w:hAnsi="Arial" w:cs="Arial"/>
                <w:b/>
                <w:bCs/>
                <w:color w:val="FFFFFF"/>
                <w:sz w:val="16"/>
                <w:szCs w:val="16"/>
              </w:rPr>
            </w:pPr>
          </w:p>
        </w:tc>
      </w:tr>
      <w:tr w:rsidR="00C96F13" w:rsidRPr="00C96F13" w14:paraId="2149ED60" w14:textId="77777777" w:rsidTr="00D2068B">
        <w:trPr>
          <w:trHeight w:val="405"/>
          <w:tblHeader/>
        </w:trPr>
        <w:tc>
          <w:tcPr>
            <w:tcW w:w="1342" w:type="pct"/>
            <w:tcBorders>
              <w:top w:val="nil"/>
              <w:left w:val="nil"/>
              <w:bottom w:val="nil"/>
              <w:right w:val="nil"/>
            </w:tcBorders>
            <w:shd w:val="clear" w:color="000000" w:fill="002060"/>
            <w:vAlign w:val="center"/>
            <w:hideMark/>
          </w:tcPr>
          <w:p w14:paraId="65182716"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 </w:t>
            </w:r>
          </w:p>
        </w:tc>
        <w:tc>
          <w:tcPr>
            <w:tcW w:w="333" w:type="pct"/>
            <w:tcBorders>
              <w:top w:val="nil"/>
              <w:left w:val="nil"/>
              <w:bottom w:val="nil"/>
              <w:right w:val="nil"/>
            </w:tcBorders>
            <w:shd w:val="clear" w:color="000000" w:fill="002060"/>
            <w:vAlign w:val="center"/>
            <w:hideMark/>
          </w:tcPr>
          <w:p w14:paraId="6AA056F9"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2024/25</w:t>
            </w:r>
          </w:p>
        </w:tc>
        <w:tc>
          <w:tcPr>
            <w:tcW w:w="333" w:type="pct"/>
            <w:tcBorders>
              <w:top w:val="nil"/>
              <w:left w:val="nil"/>
              <w:bottom w:val="nil"/>
              <w:right w:val="nil"/>
            </w:tcBorders>
            <w:shd w:val="clear" w:color="000000" w:fill="002060"/>
            <w:vAlign w:val="center"/>
            <w:hideMark/>
          </w:tcPr>
          <w:p w14:paraId="24358273"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2025/26</w:t>
            </w:r>
          </w:p>
        </w:tc>
        <w:tc>
          <w:tcPr>
            <w:tcW w:w="333" w:type="pct"/>
            <w:tcBorders>
              <w:top w:val="nil"/>
              <w:left w:val="nil"/>
              <w:bottom w:val="nil"/>
              <w:right w:val="nil"/>
            </w:tcBorders>
            <w:shd w:val="clear" w:color="000000" w:fill="002060"/>
            <w:vAlign w:val="center"/>
            <w:hideMark/>
          </w:tcPr>
          <w:p w14:paraId="33DA3026"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2026/27</w:t>
            </w:r>
          </w:p>
        </w:tc>
        <w:tc>
          <w:tcPr>
            <w:tcW w:w="333" w:type="pct"/>
            <w:tcBorders>
              <w:top w:val="nil"/>
              <w:left w:val="nil"/>
              <w:bottom w:val="nil"/>
              <w:right w:val="nil"/>
            </w:tcBorders>
            <w:shd w:val="clear" w:color="000000" w:fill="002060"/>
            <w:vAlign w:val="center"/>
            <w:hideMark/>
          </w:tcPr>
          <w:p w14:paraId="5475E863"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2027/28</w:t>
            </w:r>
          </w:p>
        </w:tc>
        <w:tc>
          <w:tcPr>
            <w:tcW w:w="333" w:type="pct"/>
            <w:tcBorders>
              <w:top w:val="nil"/>
              <w:left w:val="nil"/>
              <w:bottom w:val="nil"/>
              <w:right w:val="nil"/>
            </w:tcBorders>
            <w:shd w:val="clear" w:color="000000" w:fill="002060"/>
            <w:vAlign w:val="center"/>
            <w:hideMark/>
          </w:tcPr>
          <w:p w14:paraId="4A60FBDA"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2028/29</w:t>
            </w:r>
          </w:p>
        </w:tc>
        <w:tc>
          <w:tcPr>
            <w:tcW w:w="333" w:type="pct"/>
            <w:tcBorders>
              <w:top w:val="nil"/>
              <w:left w:val="nil"/>
              <w:bottom w:val="nil"/>
              <w:right w:val="nil"/>
            </w:tcBorders>
            <w:shd w:val="clear" w:color="000000" w:fill="002060"/>
            <w:vAlign w:val="center"/>
            <w:hideMark/>
          </w:tcPr>
          <w:p w14:paraId="05AAA487"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2029/30</w:t>
            </w:r>
          </w:p>
        </w:tc>
        <w:tc>
          <w:tcPr>
            <w:tcW w:w="333" w:type="pct"/>
            <w:tcBorders>
              <w:top w:val="nil"/>
              <w:left w:val="nil"/>
              <w:bottom w:val="nil"/>
              <w:right w:val="nil"/>
            </w:tcBorders>
            <w:shd w:val="clear" w:color="000000" w:fill="002060"/>
            <w:vAlign w:val="center"/>
            <w:hideMark/>
          </w:tcPr>
          <w:p w14:paraId="7E7689B5"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2030/31</w:t>
            </w:r>
          </w:p>
        </w:tc>
        <w:tc>
          <w:tcPr>
            <w:tcW w:w="333" w:type="pct"/>
            <w:tcBorders>
              <w:top w:val="nil"/>
              <w:left w:val="nil"/>
              <w:bottom w:val="nil"/>
              <w:right w:val="nil"/>
            </w:tcBorders>
            <w:shd w:val="clear" w:color="000000" w:fill="002060"/>
            <w:vAlign w:val="center"/>
            <w:hideMark/>
          </w:tcPr>
          <w:p w14:paraId="248DED93"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2031/32</w:t>
            </w:r>
          </w:p>
        </w:tc>
        <w:tc>
          <w:tcPr>
            <w:tcW w:w="333" w:type="pct"/>
            <w:tcBorders>
              <w:top w:val="nil"/>
              <w:left w:val="nil"/>
              <w:bottom w:val="nil"/>
              <w:right w:val="nil"/>
            </w:tcBorders>
            <w:shd w:val="clear" w:color="000000" w:fill="002060"/>
            <w:vAlign w:val="center"/>
            <w:hideMark/>
          </w:tcPr>
          <w:p w14:paraId="73DFEDF3"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2032/33</w:t>
            </w:r>
          </w:p>
        </w:tc>
        <w:tc>
          <w:tcPr>
            <w:tcW w:w="333" w:type="pct"/>
            <w:tcBorders>
              <w:top w:val="nil"/>
              <w:left w:val="nil"/>
              <w:bottom w:val="nil"/>
              <w:right w:val="nil"/>
            </w:tcBorders>
            <w:shd w:val="clear" w:color="000000" w:fill="002060"/>
            <w:vAlign w:val="center"/>
            <w:hideMark/>
          </w:tcPr>
          <w:p w14:paraId="70B88367"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2033/34</w:t>
            </w:r>
          </w:p>
        </w:tc>
        <w:tc>
          <w:tcPr>
            <w:tcW w:w="328" w:type="pct"/>
            <w:tcBorders>
              <w:top w:val="nil"/>
              <w:left w:val="nil"/>
              <w:bottom w:val="nil"/>
              <w:right w:val="nil"/>
            </w:tcBorders>
            <w:shd w:val="clear" w:color="000000" w:fill="002060"/>
            <w:vAlign w:val="center"/>
            <w:hideMark/>
          </w:tcPr>
          <w:p w14:paraId="7195F7A2"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2034/35</w:t>
            </w:r>
          </w:p>
        </w:tc>
      </w:tr>
      <w:tr w:rsidR="00C96F13" w:rsidRPr="00C96F13" w14:paraId="1AE4FBD2" w14:textId="77777777" w:rsidTr="00D2068B">
        <w:trPr>
          <w:trHeight w:val="260"/>
          <w:tblHeader/>
        </w:trPr>
        <w:tc>
          <w:tcPr>
            <w:tcW w:w="1342" w:type="pct"/>
            <w:tcBorders>
              <w:top w:val="nil"/>
              <w:left w:val="nil"/>
              <w:bottom w:val="nil"/>
              <w:right w:val="nil"/>
            </w:tcBorders>
            <w:shd w:val="clear" w:color="000000" w:fill="002060"/>
            <w:vAlign w:val="center"/>
            <w:hideMark/>
          </w:tcPr>
          <w:p w14:paraId="2C244887"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 </w:t>
            </w:r>
          </w:p>
        </w:tc>
        <w:tc>
          <w:tcPr>
            <w:tcW w:w="333" w:type="pct"/>
            <w:tcBorders>
              <w:top w:val="nil"/>
              <w:left w:val="nil"/>
              <w:bottom w:val="nil"/>
              <w:right w:val="nil"/>
            </w:tcBorders>
            <w:shd w:val="clear" w:color="000000" w:fill="002060"/>
            <w:vAlign w:val="center"/>
            <w:hideMark/>
          </w:tcPr>
          <w:p w14:paraId="06FF35EB"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33" w:type="pct"/>
            <w:tcBorders>
              <w:top w:val="nil"/>
              <w:left w:val="nil"/>
              <w:bottom w:val="nil"/>
              <w:right w:val="nil"/>
            </w:tcBorders>
            <w:shd w:val="clear" w:color="000000" w:fill="002060"/>
            <w:vAlign w:val="center"/>
            <w:hideMark/>
          </w:tcPr>
          <w:p w14:paraId="07C427CE"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33" w:type="pct"/>
            <w:tcBorders>
              <w:top w:val="nil"/>
              <w:left w:val="nil"/>
              <w:bottom w:val="nil"/>
              <w:right w:val="nil"/>
            </w:tcBorders>
            <w:shd w:val="clear" w:color="000000" w:fill="002060"/>
            <w:vAlign w:val="center"/>
            <w:hideMark/>
          </w:tcPr>
          <w:p w14:paraId="0B37BC7E"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33" w:type="pct"/>
            <w:tcBorders>
              <w:top w:val="nil"/>
              <w:left w:val="nil"/>
              <w:bottom w:val="nil"/>
              <w:right w:val="nil"/>
            </w:tcBorders>
            <w:shd w:val="clear" w:color="000000" w:fill="002060"/>
            <w:vAlign w:val="center"/>
            <w:hideMark/>
          </w:tcPr>
          <w:p w14:paraId="7446D927"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33" w:type="pct"/>
            <w:tcBorders>
              <w:top w:val="nil"/>
              <w:left w:val="nil"/>
              <w:bottom w:val="nil"/>
              <w:right w:val="nil"/>
            </w:tcBorders>
            <w:shd w:val="clear" w:color="000000" w:fill="002060"/>
            <w:vAlign w:val="center"/>
            <w:hideMark/>
          </w:tcPr>
          <w:p w14:paraId="5D05B3E3"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33" w:type="pct"/>
            <w:tcBorders>
              <w:top w:val="nil"/>
              <w:left w:val="nil"/>
              <w:bottom w:val="nil"/>
              <w:right w:val="nil"/>
            </w:tcBorders>
            <w:shd w:val="clear" w:color="000000" w:fill="002060"/>
            <w:vAlign w:val="center"/>
            <w:hideMark/>
          </w:tcPr>
          <w:p w14:paraId="3ED2FC15"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33" w:type="pct"/>
            <w:tcBorders>
              <w:top w:val="nil"/>
              <w:left w:val="nil"/>
              <w:bottom w:val="nil"/>
              <w:right w:val="nil"/>
            </w:tcBorders>
            <w:shd w:val="clear" w:color="000000" w:fill="002060"/>
            <w:vAlign w:val="center"/>
            <w:hideMark/>
          </w:tcPr>
          <w:p w14:paraId="3F1D8BB1"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33" w:type="pct"/>
            <w:tcBorders>
              <w:top w:val="nil"/>
              <w:left w:val="nil"/>
              <w:bottom w:val="nil"/>
              <w:right w:val="nil"/>
            </w:tcBorders>
            <w:shd w:val="clear" w:color="000000" w:fill="002060"/>
            <w:vAlign w:val="center"/>
            <w:hideMark/>
          </w:tcPr>
          <w:p w14:paraId="6B84EBE0"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33" w:type="pct"/>
            <w:tcBorders>
              <w:top w:val="nil"/>
              <w:left w:val="nil"/>
              <w:bottom w:val="nil"/>
              <w:right w:val="nil"/>
            </w:tcBorders>
            <w:shd w:val="clear" w:color="000000" w:fill="002060"/>
            <w:vAlign w:val="center"/>
            <w:hideMark/>
          </w:tcPr>
          <w:p w14:paraId="6559E3C3"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33" w:type="pct"/>
            <w:tcBorders>
              <w:top w:val="nil"/>
              <w:left w:val="nil"/>
              <w:bottom w:val="nil"/>
              <w:right w:val="nil"/>
            </w:tcBorders>
            <w:shd w:val="clear" w:color="000000" w:fill="002060"/>
            <w:vAlign w:val="center"/>
            <w:hideMark/>
          </w:tcPr>
          <w:p w14:paraId="4483A58D"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c>
          <w:tcPr>
            <w:tcW w:w="328" w:type="pct"/>
            <w:tcBorders>
              <w:top w:val="nil"/>
              <w:left w:val="nil"/>
              <w:bottom w:val="nil"/>
              <w:right w:val="nil"/>
            </w:tcBorders>
            <w:shd w:val="clear" w:color="000000" w:fill="002060"/>
            <w:vAlign w:val="center"/>
            <w:hideMark/>
          </w:tcPr>
          <w:p w14:paraId="0972F9C7" w14:textId="77777777" w:rsidR="00C96F13" w:rsidRPr="00C96F13" w:rsidRDefault="00C96F13" w:rsidP="00C96F13">
            <w:pPr>
              <w:spacing w:before="0" w:after="0"/>
              <w:jc w:val="center"/>
              <w:rPr>
                <w:rFonts w:ascii="Arial" w:hAnsi="Arial" w:cs="Arial"/>
                <w:b/>
                <w:bCs/>
                <w:color w:val="FFFFFF"/>
                <w:sz w:val="16"/>
                <w:szCs w:val="16"/>
              </w:rPr>
            </w:pPr>
            <w:r w:rsidRPr="00C96F13">
              <w:rPr>
                <w:rFonts w:ascii="Arial" w:hAnsi="Arial" w:cs="Arial"/>
                <w:b/>
                <w:bCs/>
                <w:color w:val="FFFFFF"/>
                <w:sz w:val="16"/>
                <w:szCs w:val="16"/>
              </w:rPr>
              <w:t>$’000</w:t>
            </w:r>
          </w:p>
        </w:tc>
      </w:tr>
      <w:tr w:rsidR="00347DFC" w:rsidRPr="00C96F13" w14:paraId="4230EDE0" w14:textId="77777777" w:rsidTr="00D2068B">
        <w:trPr>
          <w:trHeight w:val="260"/>
        </w:trPr>
        <w:tc>
          <w:tcPr>
            <w:tcW w:w="1342" w:type="pct"/>
            <w:tcBorders>
              <w:top w:val="nil"/>
              <w:left w:val="nil"/>
              <w:bottom w:val="nil"/>
              <w:right w:val="nil"/>
            </w:tcBorders>
            <w:vAlign w:val="center"/>
            <w:hideMark/>
          </w:tcPr>
          <w:p w14:paraId="5D9D676D"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Property</w:t>
            </w:r>
          </w:p>
        </w:tc>
        <w:tc>
          <w:tcPr>
            <w:tcW w:w="333" w:type="pct"/>
            <w:tcBorders>
              <w:top w:val="nil"/>
              <w:left w:val="nil"/>
              <w:bottom w:val="nil"/>
              <w:right w:val="nil"/>
            </w:tcBorders>
            <w:vAlign w:val="center"/>
            <w:hideMark/>
          </w:tcPr>
          <w:p w14:paraId="7A95AD04"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5B1B6C49"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461613D8"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580431D0"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33F7EB6E"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490F9FE5"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7775F239"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02DA7357"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1187832F"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16C06CDC"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28" w:type="pct"/>
            <w:tcBorders>
              <w:top w:val="nil"/>
              <w:left w:val="nil"/>
              <w:bottom w:val="nil"/>
              <w:right w:val="nil"/>
            </w:tcBorders>
            <w:vAlign w:val="center"/>
            <w:hideMark/>
          </w:tcPr>
          <w:p w14:paraId="6F1CE2AD"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r>
      <w:tr w:rsidR="00347DFC" w:rsidRPr="00C96F13" w14:paraId="0B93106E" w14:textId="77777777" w:rsidTr="00D2068B">
        <w:trPr>
          <w:trHeight w:val="260"/>
        </w:trPr>
        <w:tc>
          <w:tcPr>
            <w:tcW w:w="1342" w:type="pct"/>
            <w:tcBorders>
              <w:top w:val="nil"/>
              <w:left w:val="nil"/>
              <w:bottom w:val="nil"/>
              <w:right w:val="nil"/>
            </w:tcBorders>
            <w:vAlign w:val="center"/>
            <w:hideMark/>
          </w:tcPr>
          <w:p w14:paraId="6A227AEC"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Land</w:t>
            </w:r>
          </w:p>
        </w:tc>
        <w:tc>
          <w:tcPr>
            <w:tcW w:w="333" w:type="pct"/>
            <w:tcBorders>
              <w:top w:val="nil"/>
              <w:left w:val="nil"/>
              <w:bottom w:val="nil"/>
              <w:right w:val="nil"/>
            </w:tcBorders>
            <w:vAlign w:val="center"/>
            <w:hideMark/>
          </w:tcPr>
          <w:p w14:paraId="47D293B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7,210</w:t>
            </w:r>
          </w:p>
        </w:tc>
        <w:tc>
          <w:tcPr>
            <w:tcW w:w="333" w:type="pct"/>
            <w:tcBorders>
              <w:top w:val="nil"/>
              <w:left w:val="nil"/>
              <w:bottom w:val="nil"/>
              <w:right w:val="nil"/>
            </w:tcBorders>
            <w:vAlign w:val="center"/>
            <w:hideMark/>
          </w:tcPr>
          <w:p w14:paraId="7478AC9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3,990</w:t>
            </w:r>
          </w:p>
        </w:tc>
        <w:tc>
          <w:tcPr>
            <w:tcW w:w="333" w:type="pct"/>
            <w:tcBorders>
              <w:top w:val="nil"/>
              <w:left w:val="nil"/>
              <w:bottom w:val="nil"/>
              <w:right w:val="nil"/>
            </w:tcBorders>
            <w:vAlign w:val="center"/>
            <w:hideMark/>
          </w:tcPr>
          <w:p w14:paraId="5482EF8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nil"/>
              <w:left w:val="nil"/>
              <w:bottom w:val="nil"/>
              <w:right w:val="nil"/>
            </w:tcBorders>
            <w:vAlign w:val="center"/>
            <w:hideMark/>
          </w:tcPr>
          <w:p w14:paraId="3E2C0ED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nil"/>
              <w:left w:val="nil"/>
              <w:bottom w:val="nil"/>
              <w:right w:val="nil"/>
            </w:tcBorders>
            <w:vAlign w:val="center"/>
            <w:hideMark/>
          </w:tcPr>
          <w:p w14:paraId="3B42578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nil"/>
              <w:left w:val="nil"/>
              <w:bottom w:val="nil"/>
              <w:right w:val="nil"/>
            </w:tcBorders>
            <w:vAlign w:val="center"/>
            <w:hideMark/>
          </w:tcPr>
          <w:p w14:paraId="7B248E7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nil"/>
              <w:left w:val="nil"/>
              <w:bottom w:val="nil"/>
              <w:right w:val="nil"/>
            </w:tcBorders>
            <w:vAlign w:val="center"/>
            <w:hideMark/>
          </w:tcPr>
          <w:p w14:paraId="447A3C7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nil"/>
              <w:left w:val="nil"/>
              <w:bottom w:val="nil"/>
              <w:right w:val="nil"/>
            </w:tcBorders>
            <w:vAlign w:val="center"/>
            <w:hideMark/>
          </w:tcPr>
          <w:p w14:paraId="206E041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nil"/>
              <w:left w:val="nil"/>
              <w:bottom w:val="nil"/>
              <w:right w:val="nil"/>
            </w:tcBorders>
            <w:vAlign w:val="center"/>
            <w:hideMark/>
          </w:tcPr>
          <w:p w14:paraId="379F809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nil"/>
              <w:left w:val="nil"/>
              <w:bottom w:val="nil"/>
              <w:right w:val="nil"/>
            </w:tcBorders>
            <w:vAlign w:val="center"/>
            <w:hideMark/>
          </w:tcPr>
          <w:p w14:paraId="7D149DA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28" w:type="pct"/>
            <w:tcBorders>
              <w:top w:val="nil"/>
              <w:left w:val="nil"/>
              <w:bottom w:val="nil"/>
              <w:right w:val="nil"/>
            </w:tcBorders>
            <w:vAlign w:val="center"/>
            <w:hideMark/>
          </w:tcPr>
          <w:p w14:paraId="1AF030F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r>
      <w:tr w:rsidR="00347DFC" w:rsidRPr="00C96F13" w14:paraId="4CE839C0" w14:textId="77777777" w:rsidTr="00D2068B">
        <w:trPr>
          <w:trHeight w:val="260"/>
        </w:trPr>
        <w:tc>
          <w:tcPr>
            <w:tcW w:w="1342" w:type="pct"/>
            <w:tcBorders>
              <w:top w:val="nil"/>
              <w:left w:val="nil"/>
              <w:bottom w:val="nil"/>
              <w:right w:val="nil"/>
            </w:tcBorders>
            <w:vAlign w:val="center"/>
            <w:hideMark/>
          </w:tcPr>
          <w:p w14:paraId="23EA153E"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Land improvements</w:t>
            </w:r>
          </w:p>
        </w:tc>
        <w:tc>
          <w:tcPr>
            <w:tcW w:w="333" w:type="pct"/>
            <w:tcBorders>
              <w:top w:val="nil"/>
              <w:left w:val="nil"/>
              <w:bottom w:val="nil"/>
              <w:right w:val="nil"/>
            </w:tcBorders>
            <w:vAlign w:val="center"/>
            <w:hideMark/>
          </w:tcPr>
          <w:p w14:paraId="663DB7B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68BE29F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625DE3C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46F8B98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4EF1BD7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2AFE672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7CC7423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0344210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67B3FCD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7EF84C4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28" w:type="pct"/>
            <w:tcBorders>
              <w:top w:val="nil"/>
              <w:left w:val="nil"/>
              <w:bottom w:val="nil"/>
              <w:right w:val="nil"/>
            </w:tcBorders>
            <w:vAlign w:val="center"/>
            <w:hideMark/>
          </w:tcPr>
          <w:p w14:paraId="169428A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r>
      <w:tr w:rsidR="00347DFC" w:rsidRPr="00C96F13" w14:paraId="13B2E360" w14:textId="77777777" w:rsidTr="00D2068B">
        <w:trPr>
          <w:trHeight w:val="260"/>
        </w:trPr>
        <w:tc>
          <w:tcPr>
            <w:tcW w:w="1342" w:type="pct"/>
            <w:tcBorders>
              <w:top w:val="nil"/>
              <w:left w:val="nil"/>
              <w:bottom w:val="nil"/>
              <w:right w:val="nil"/>
            </w:tcBorders>
            <w:vAlign w:val="center"/>
            <w:hideMark/>
          </w:tcPr>
          <w:p w14:paraId="03FC659A"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Total land</w:t>
            </w:r>
          </w:p>
        </w:tc>
        <w:tc>
          <w:tcPr>
            <w:tcW w:w="333" w:type="pct"/>
            <w:tcBorders>
              <w:top w:val="single" w:sz="4" w:space="0" w:color="auto"/>
              <w:left w:val="nil"/>
              <w:bottom w:val="single" w:sz="4" w:space="0" w:color="auto"/>
              <w:right w:val="nil"/>
            </w:tcBorders>
            <w:vAlign w:val="center"/>
            <w:hideMark/>
          </w:tcPr>
          <w:p w14:paraId="04D2792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7,210</w:t>
            </w:r>
          </w:p>
        </w:tc>
        <w:tc>
          <w:tcPr>
            <w:tcW w:w="333" w:type="pct"/>
            <w:tcBorders>
              <w:top w:val="single" w:sz="4" w:space="0" w:color="auto"/>
              <w:left w:val="nil"/>
              <w:bottom w:val="single" w:sz="4" w:space="0" w:color="auto"/>
              <w:right w:val="nil"/>
            </w:tcBorders>
            <w:vAlign w:val="center"/>
            <w:hideMark/>
          </w:tcPr>
          <w:p w14:paraId="197F579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3,990</w:t>
            </w:r>
          </w:p>
        </w:tc>
        <w:tc>
          <w:tcPr>
            <w:tcW w:w="333" w:type="pct"/>
            <w:tcBorders>
              <w:top w:val="single" w:sz="4" w:space="0" w:color="auto"/>
              <w:left w:val="nil"/>
              <w:bottom w:val="single" w:sz="4" w:space="0" w:color="auto"/>
              <w:right w:val="nil"/>
            </w:tcBorders>
            <w:vAlign w:val="center"/>
            <w:hideMark/>
          </w:tcPr>
          <w:p w14:paraId="4550F89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single" w:sz="4" w:space="0" w:color="auto"/>
              <w:left w:val="nil"/>
              <w:bottom w:val="single" w:sz="4" w:space="0" w:color="auto"/>
              <w:right w:val="nil"/>
            </w:tcBorders>
            <w:vAlign w:val="center"/>
            <w:hideMark/>
          </w:tcPr>
          <w:p w14:paraId="4E5D17B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single" w:sz="4" w:space="0" w:color="auto"/>
              <w:left w:val="nil"/>
              <w:bottom w:val="single" w:sz="4" w:space="0" w:color="auto"/>
              <w:right w:val="nil"/>
            </w:tcBorders>
            <w:vAlign w:val="center"/>
            <w:hideMark/>
          </w:tcPr>
          <w:p w14:paraId="64647C8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single" w:sz="4" w:space="0" w:color="auto"/>
              <w:left w:val="nil"/>
              <w:bottom w:val="single" w:sz="4" w:space="0" w:color="auto"/>
              <w:right w:val="nil"/>
            </w:tcBorders>
            <w:vAlign w:val="center"/>
            <w:hideMark/>
          </w:tcPr>
          <w:p w14:paraId="7E0B5E0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single" w:sz="4" w:space="0" w:color="auto"/>
              <w:left w:val="nil"/>
              <w:bottom w:val="single" w:sz="4" w:space="0" w:color="auto"/>
              <w:right w:val="nil"/>
            </w:tcBorders>
            <w:vAlign w:val="center"/>
            <w:hideMark/>
          </w:tcPr>
          <w:p w14:paraId="15240C5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single" w:sz="4" w:space="0" w:color="auto"/>
              <w:left w:val="nil"/>
              <w:bottom w:val="single" w:sz="4" w:space="0" w:color="auto"/>
              <w:right w:val="nil"/>
            </w:tcBorders>
            <w:vAlign w:val="center"/>
            <w:hideMark/>
          </w:tcPr>
          <w:p w14:paraId="22FA239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single" w:sz="4" w:space="0" w:color="auto"/>
              <w:left w:val="nil"/>
              <w:bottom w:val="single" w:sz="4" w:space="0" w:color="auto"/>
              <w:right w:val="nil"/>
            </w:tcBorders>
            <w:vAlign w:val="center"/>
            <w:hideMark/>
          </w:tcPr>
          <w:p w14:paraId="71337A3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33" w:type="pct"/>
            <w:tcBorders>
              <w:top w:val="single" w:sz="4" w:space="0" w:color="auto"/>
              <w:left w:val="nil"/>
              <w:bottom w:val="single" w:sz="4" w:space="0" w:color="auto"/>
              <w:right w:val="nil"/>
            </w:tcBorders>
            <w:vAlign w:val="center"/>
            <w:hideMark/>
          </w:tcPr>
          <w:p w14:paraId="5EE3A80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c>
          <w:tcPr>
            <w:tcW w:w="328" w:type="pct"/>
            <w:tcBorders>
              <w:top w:val="single" w:sz="4" w:space="0" w:color="auto"/>
              <w:left w:val="nil"/>
              <w:bottom w:val="single" w:sz="4" w:space="0" w:color="auto"/>
              <w:right w:val="nil"/>
            </w:tcBorders>
            <w:vAlign w:val="center"/>
            <w:hideMark/>
          </w:tcPr>
          <w:p w14:paraId="5EB2FD7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6,000</w:t>
            </w:r>
          </w:p>
        </w:tc>
      </w:tr>
      <w:tr w:rsidR="00347DFC" w:rsidRPr="00C96F13" w14:paraId="690F071C" w14:textId="77777777" w:rsidTr="00D2068B">
        <w:trPr>
          <w:trHeight w:val="260"/>
        </w:trPr>
        <w:tc>
          <w:tcPr>
            <w:tcW w:w="1342" w:type="pct"/>
            <w:tcBorders>
              <w:top w:val="nil"/>
              <w:left w:val="nil"/>
              <w:bottom w:val="nil"/>
              <w:right w:val="nil"/>
            </w:tcBorders>
            <w:vAlign w:val="center"/>
            <w:hideMark/>
          </w:tcPr>
          <w:p w14:paraId="50C99A3D"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Buildings</w:t>
            </w:r>
          </w:p>
        </w:tc>
        <w:tc>
          <w:tcPr>
            <w:tcW w:w="333" w:type="pct"/>
            <w:tcBorders>
              <w:top w:val="nil"/>
              <w:left w:val="nil"/>
              <w:bottom w:val="nil"/>
              <w:right w:val="nil"/>
            </w:tcBorders>
            <w:vAlign w:val="center"/>
            <w:hideMark/>
          </w:tcPr>
          <w:p w14:paraId="612EF11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15,177</w:t>
            </w:r>
          </w:p>
        </w:tc>
        <w:tc>
          <w:tcPr>
            <w:tcW w:w="333" w:type="pct"/>
            <w:tcBorders>
              <w:top w:val="nil"/>
              <w:left w:val="nil"/>
              <w:bottom w:val="nil"/>
              <w:right w:val="nil"/>
            </w:tcBorders>
            <w:vAlign w:val="center"/>
            <w:hideMark/>
          </w:tcPr>
          <w:p w14:paraId="60E51FB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10,222</w:t>
            </w:r>
          </w:p>
        </w:tc>
        <w:tc>
          <w:tcPr>
            <w:tcW w:w="333" w:type="pct"/>
            <w:tcBorders>
              <w:top w:val="nil"/>
              <w:left w:val="nil"/>
              <w:bottom w:val="nil"/>
              <w:right w:val="nil"/>
            </w:tcBorders>
            <w:vAlign w:val="center"/>
            <w:hideMark/>
          </w:tcPr>
          <w:p w14:paraId="50FF313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13,367</w:t>
            </w:r>
          </w:p>
        </w:tc>
        <w:tc>
          <w:tcPr>
            <w:tcW w:w="333" w:type="pct"/>
            <w:tcBorders>
              <w:top w:val="nil"/>
              <w:left w:val="nil"/>
              <w:bottom w:val="nil"/>
              <w:right w:val="nil"/>
            </w:tcBorders>
            <w:vAlign w:val="center"/>
            <w:hideMark/>
          </w:tcPr>
          <w:p w14:paraId="69109EA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21,097</w:t>
            </w:r>
          </w:p>
        </w:tc>
        <w:tc>
          <w:tcPr>
            <w:tcW w:w="333" w:type="pct"/>
            <w:tcBorders>
              <w:top w:val="nil"/>
              <w:left w:val="nil"/>
              <w:bottom w:val="nil"/>
              <w:right w:val="nil"/>
            </w:tcBorders>
            <w:vAlign w:val="center"/>
            <w:hideMark/>
          </w:tcPr>
          <w:p w14:paraId="3DA2DD3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17,050</w:t>
            </w:r>
          </w:p>
        </w:tc>
        <w:tc>
          <w:tcPr>
            <w:tcW w:w="333" w:type="pct"/>
            <w:tcBorders>
              <w:top w:val="nil"/>
              <w:left w:val="nil"/>
              <w:bottom w:val="nil"/>
              <w:right w:val="nil"/>
            </w:tcBorders>
            <w:vAlign w:val="center"/>
            <w:hideMark/>
          </w:tcPr>
          <w:p w14:paraId="2C0E109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17,750</w:t>
            </w:r>
          </w:p>
        </w:tc>
        <w:tc>
          <w:tcPr>
            <w:tcW w:w="333" w:type="pct"/>
            <w:tcBorders>
              <w:top w:val="nil"/>
              <w:left w:val="nil"/>
              <w:bottom w:val="nil"/>
              <w:right w:val="nil"/>
            </w:tcBorders>
            <w:vAlign w:val="center"/>
            <w:hideMark/>
          </w:tcPr>
          <w:p w14:paraId="329FBA9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18,050</w:t>
            </w:r>
          </w:p>
        </w:tc>
        <w:tc>
          <w:tcPr>
            <w:tcW w:w="333" w:type="pct"/>
            <w:tcBorders>
              <w:top w:val="nil"/>
              <w:left w:val="nil"/>
              <w:bottom w:val="nil"/>
              <w:right w:val="nil"/>
            </w:tcBorders>
            <w:vAlign w:val="center"/>
            <w:hideMark/>
          </w:tcPr>
          <w:p w14:paraId="34C4FF4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18,180</w:t>
            </w:r>
          </w:p>
        </w:tc>
        <w:tc>
          <w:tcPr>
            <w:tcW w:w="333" w:type="pct"/>
            <w:tcBorders>
              <w:top w:val="nil"/>
              <w:left w:val="nil"/>
              <w:bottom w:val="nil"/>
              <w:right w:val="nil"/>
            </w:tcBorders>
            <w:vAlign w:val="center"/>
            <w:hideMark/>
          </w:tcPr>
          <w:p w14:paraId="04812B6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21,150</w:t>
            </w:r>
          </w:p>
        </w:tc>
        <w:tc>
          <w:tcPr>
            <w:tcW w:w="333" w:type="pct"/>
            <w:tcBorders>
              <w:top w:val="nil"/>
              <w:left w:val="nil"/>
              <w:bottom w:val="nil"/>
              <w:right w:val="nil"/>
            </w:tcBorders>
            <w:vAlign w:val="center"/>
            <w:hideMark/>
          </w:tcPr>
          <w:p w14:paraId="6A6A7FC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19,280</w:t>
            </w:r>
          </w:p>
        </w:tc>
        <w:tc>
          <w:tcPr>
            <w:tcW w:w="328" w:type="pct"/>
            <w:tcBorders>
              <w:top w:val="nil"/>
              <w:left w:val="nil"/>
              <w:bottom w:val="nil"/>
              <w:right w:val="nil"/>
            </w:tcBorders>
            <w:vAlign w:val="center"/>
            <w:hideMark/>
          </w:tcPr>
          <w:p w14:paraId="12B5F1E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20,250</w:t>
            </w:r>
          </w:p>
        </w:tc>
      </w:tr>
      <w:tr w:rsidR="00347DFC" w:rsidRPr="00C96F13" w14:paraId="593ED0C5" w14:textId="77777777" w:rsidTr="00D2068B">
        <w:trPr>
          <w:trHeight w:val="260"/>
        </w:trPr>
        <w:tc>
          <w:tcPr>
            <w:tcW w:w="1342" w:type="pct"/>
            <w:tcBorders>
              <w:top w:val="nil"/>
              <w:left w:val="nil"/>
              <w:bottom w:val="nil"/>
              <w:right w:val="nil"/>
            </w:tcBorders>
            <w:vAlign w:val="center"/>
            <w:hideMark/>
          </w:tcPr>
          <w:p w14:paraId="00909A3D"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Building improvements</w:t>
            </w:r>
          </w:p>
        </w:tc>
        <w:tc>
          <w:tcPr>
            <w:tcW w:w="333" w:type="pct"/>
            <w:tcBorders>
              <w:top w:val="nil"/>
              <w:left w:val="nil"/>
              <w:bottom w:val="nil"/>
              <w:right w:val="nil"/>
            </w:tcBorders>
            <w:vAlign w:val="center"/>
            <w:hideMark/>
          </w:tcPr>
          <w:p w14:paraId="4679BA3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46E91E8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78450AD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0BBDC63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0A6A7D1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324E4D1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00EFAAB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05742B8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54B5E09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6075AEF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28" w:type="pct"/>
            <w:tcBorders>
              <w:top w:val="nil"/>
              <w:left w:val="nil"/>
              <w:bottom w:val="nil"/>
              <w:right w:val="nil"/>
            </w:tcBorders>
            <w:vAlign w:val="center"/>
            <w:hideMark/>
          </w:tcPr>
          <w:p w14:paraId="1DC63DD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r>
      <w:tr w:rsidR="00347DFC" w:rsidRPr="00C96F13" w14:paraId="39C6C7A5" w14:textId="77777777" w:rsidTr="00D2068B">
        <w:trPr>
          <w:trHeight w:val="260"/>
        </w:trPr>
        <w:tc>
          <w:tcPr>
            <w:tcW w:w="1342" w:type="pct"/>
            <w:tcBorders>
              <w:top w:val="nil"/>
              <w:left w:val="nil"/>
              <w:bottom w:val="nil"/>
              <w:right w:val="nil"/>
            </w:tcBorders>
            <w:vAlign w:val="center"/>
            <w:hideMark/>
          </w:tcPr>
          <w:p w14:paraId="59DBFED7"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Total buildings</w:t>
            </w:r>
          </w:p>
        </w:tc>
        <w:tc>
          <w:tcPr>
            <w:tcW w:w="333" w:type="pct"/>
            <w:tcBorders>
              <w:top w:val="single" w:sz="4" w:space="0" w:color="auto"/>
              <w:left w:val="nil"/>
              <w:bottom w:val="single" w:sz="4" w:space="0" w:color="auto"/>
              <w:right w:val="nil"/>
            </w:tcBorders>
            <w:vAlign w:val="center"/>
            <w:hideMark/>
          </w:tcPr>
          <w:p w14:paraId="67CC5FC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15,177</w:t>
            </w:r>
          </w:p>
        </w:tc>
        <w:tc>
          <w:tcPr>
            <w:tcW w:w="333" w:type="pct"/>
            <w:tcBorders>
              <w:top w:val="single" w:sz="4" w:space="0" w:color="auto"/>
              <w:left w:val="nil"/>
              <w:bottom w:val="single" w:sz="4" w:space="0" w:color="auto"/>
              <w:right w:val="nil"/>
            </w:tcBorders>
            <w:vAlign w:val="center"/>
            <w:hideMark/>
          </w:tcPr>
          <w:p w14:paraId="2684830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10,222</w:t>
            </w:r>
          </w:p>
        </w:tc>
        <w:tc>
          <w:tcPr>
            <w:tcW w:w="333" w:type="pct"/>
            <w:tcBorders>
              <w:top w:val="single" w:sz="4" w:space="0" w:color="auto"/>
              <w:left w:val="nil"/>
              <w:bottom w:val="single" w:sz="4" w:space="0" w:color="auto"/>
              <w:right w:val="nil"/>
            </w:tcBorders>
            <w:vAlign w:val="center"/>
            <w:hideMark/>
          </w:tcPr>
          <w:p w14:paraId="44A2B26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13,367</w:t>
            </w:r>
          </w:p>
        </w:tc>
        <w:tc>
          <w:tcPr>
            <w:tcW w:w="333" w:type="pct"/>
            <w:tcBorders>
              <w:top w:val="single" w:sz="4" w:space="0" w:color="auto"/>
              <w:left w:val="nil"/>
              <w:bottom w:val="single" w:sz="4" w:space="0" w:color="auto"/>
              <w:right w:val="nil"/>
            </w:tcBorders>
            <w:vAlign w:val="center"/>
            <w:hideMark/>
          </w:tcPr>
          <w:p w14:paraId="30A2E89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21,097</w:t>
            </w:r>
          </w:p>
        </w:tc>
        <w:tc>
          <w:tcPr>
            <w:tcW w:w="333" w:type="pct"/>
            <w:tcBorders>
              <w:top w:val="single" w:sz="4" w:space="0" w:color="auto"/>
              <w:left w:val="nil"/>
              <w:bottom w:val="single" w:sz="4" w:space="0" w:color="auto"/>
              <w:right w:val="nil"/>
            </w:tcBorders>
            <w:vAlign w:val="center"/>
            <w:hideMark/>
          </w:tcPr>
          <w:p w14:paraId="74C2CF0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17,050</w:t>
            </w:r>
          </w:p>
        </w:tc>
        <w:tc>
          <w:tcPr>
            <w:tcW w:w="333" w:type="pct"/>
            <w:tcBorders>
              <w:top w:val="single" w:sz="4" w:space="0" w:color="auto"/>
              <w:left w:val="nil"/>
              <w:bottom w:val="single" w:sz="4" w:space="0" w:color="auto"/>
              <w:right w:val="nil"/>
            </w:tcBorders>
            <w:vAlign w:val="center"/>
            <w:hideMark/>
          </w:tcPr>
          <w:p w14:paraId="708C893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17,750</w:t>
            </w:r>
          </w:p>
        </w:tc>
        <w:tc>
          <w:tcPr>
            <w:tcW w:w="333" w:type="pct"/>
            <w:tcBorders>
              <w:top w:val="single" w:sz="4" w:space="0" w:color="auto"/>
              <w:left w:val="nil"/>
              <w:bottom w:val="single" w:sz="4" w:space="0" w:color="auto"/>
              <w:right w:val="nil"/>
            </w:tcBorders>
            <w:vAlign w:val="center"/>
            <w:hideMark/>
          </w:tcPr>
          <w:p w14:paraId="5A790F2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18,050</w:t>
            </w:r>
          </w:p>
        </w:tc>
        <w:tc>
          <w:tcPr>
            <w:tcW w:w="333" w:type="pct"/>
            <w:tcBorders>
              <w:top w:val="single" w:sz="4" w:space="0" w:color="auto"/>
              <w:left w:val="nil"/>
              <w:bottom w:val="single" w:sz="4" w:space="0" w:color="auto"/>
              <w:right w:val="nil"/>
            </w:tcBorders>
            <w:vAlign w:val="center"/>
            <w:hideMark/>
          </w:tcPr>
          <w:p w14:paraId="7147DF2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18,180</w:t>
            </w:r>
          </w:p>
        </w:tc>
        <w:tc>
          <w:tcPr>
            <w:tcW w:w="333" w:type="pct"/>
            <w:tcBorders>
              <w:top w:val="single" w:sz="4" w:space="0" w:color="auto"/>
              <w:left w:val="nil"/>
              <w:bottom w:val="single" w:sz="4" w:space="0" w:color="auto"/>
              <w:right w:val="nil"/>
            </w:tcBorders>
            <w:vAlign w:val="center"/>
            <w:hideMark/>
          </w:tcPr>
          <w:p w14:paraId="6D47CE2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21,150</w:t>
            </w:r>
          </w:p>
        </w:tc>
        <w:tc>
          <w:tcPr>
            <w:tcW w:w="333" w:type="pct"/>
            <w:tcBorders>
              <w:top w:val="single" w:sz="4" w:space="0" w:color="auto"/>
              <w:left w:val="nil"/>
              <w:bottom w:val="single" w:sz="4" w:space="0" w:color="auto"/>
              <w:right w:val="nil"/>
            </w:tcBorders>
            <w:vAlign w:val="center"/>
            <w:hideMark/>
          </w:tcPr>
          <w:p w14:paraId="76BC8E0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19,280</w:t>
            </w:r>
          </w:p>
        </w:tc>
        <w:tc>
          <w:tcPr>
            <w:tcW w:w="328" w:type="pct"/>
            <w:tcBorders>
              <w:top w:val="single" w:sz="4" w:space="0" w:color="auto"/>
              <w:left w:val="nil"/>
              <w:bottom w:val="single" w:sz="4" w:space="0" w:color="auto"/>
              <w:right w:val="nil"/>
            </w:tcBorders>
            <w:vAlign w:val="center"/>
            <w:hideMark/>
          </w:tcPr>
          <w:p w14:paraId="3AA07C2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20,250</w:t>
            </w:r>
          </w:p>
        </w:tc>
      </w:tr>
      <w:tr w:rsidR="00347DFC" w:rsidRPr="00C96F13" w14:paraId="28A2E7CA" w14:textId="77777777" w:rsidTr="00D2068B">
        <w:trPr>
          <w:trHeight w:val="260"/>
        </w:trPr>
        <w:tc>
          <w:tcPr>
            <w:tcW w:w="1342" w:type="pct"/>
            <w:tcBorders>
              <w:top w:val="nil"/>
              <w:left w:val="nil"/>
              <w:bottom w:val="nil"/>
              <w:right w:val="nil"/>
            </w:tcBorders>
            <w:vAlign w:val="center"/>
            <w:hideMark/>
          </w:tcPr>
          <w:p w14:paraId="19E5CDA0"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Total property</w:t>
            </w:r>
          </w:p>
        </w:tc>
        <w:tc>
          <w:tcPr>
            <w:tcW w:w="333" w:type="pct"/>
            <w:tcBorders>
              <w:top w:val="nil"/>
              <w:left w:val="nil"/>
              <w:bottom w:val="single" w:sz="4" w:space="0" w:color="auto"/>
              <w:right w:val="nil"/>
            </w:tcBorders>
            <w:vAlign w:val="center"/>
            <w:hideMark/>
          </w:tcPr>
          <w:p w14:paraId="200E2DF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22,387</w:t>
            </w:r>
          </w:p>
        </w:tc>
        <w:tc>
          <w:tcPr>
            <w:tcW w:w="333" w:type="pct"/>
            <w:tcBorders>
              <w:top w:val="nil"/>
              <w:left w:val="nil"/>
              <w:bottom w:val="single" w:sz="4" w:space="0" w:color="auto"/>
              <w:right w:val="nil"/>
            </w:tcBorders>
            <w:vAlign w:val="center"/>
            <w:hideMark/>
          </w:tcPr>
          <w:p w14:paraId="5B0566F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14,212</w:t>
            </w:r>
          </w:p>
        </w:tc>
        <w:tc>
          <w:tcPr>
            <w:tcW w:w="333" w:type="pct"/>
            <w:tcBorders>
              <w:top w:val="nil"/>
              <w:left w:val="nil"/>
              <w:bottom w:val="single" w:sz="4" w:space="0" w:color="auto"/>
              <w:right w:val="nil"/>
            </w:tcBorders>
            <w:vAlign w:val="center"/>
            <w:hideMark/>
          </w:tcPr>
          <w:p w14:paraId="794B171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19,367</w:t>
            </w:r>
          </w:p>
        </w:tc>
        <w:tc>
          <w:tcPr>
            <w:tcW w:w="333" w:type="pct"/>
            <w:tcBorders>
              <w:top w:val="nil"/>
              <w:left w:val="nil"/>
              <w:bottom w:val="single" w:sz="4" w:space="0" w:color="auto"/>
              <w:right w:val="nil"/>
            </w:tcBorders>
            <w:vAlign w:val="center"/>
            <w:hideMark/>
          </w:tcPr>
          <w:p w14:paraId="50C1007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27,097</w:t>
            </w:r>
          </w:p>
        </w:tc>
        <w:tc>
          <w:tcPr>
            <w:tcW w:w="333" w:type="pct"/>
            <w:tcBorders>
              <w:top w:val="nil"/>
              <w:left w:val="nil"/>
              <w:bottom w:val="single" w:sz="4" w:space="0" w:color="auto"/>
              <w:right w:val="nil"/>
            </w:tcBorders>
            <w:vAlign w:val="center"/>
            <w:hideMark/>
          </w:tcPr>
          <w:p w14:paraId="173C3AB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23,050</w:t>
            </w:r>
          </w:p>
        </w:tc>
        <w:tc>
          <w:tcPr>
            <w:tcW w:w="333" w:type="pct"/>
            <w:tcBorders>
              <w:top w:val="nil"/>
              <w:left w:val="nil"/>
              <w:bottom w:val="single" w:sz="4" w:space="0" w:color="auto"/>
              <w:right w:val="nil"/>
            </w:tcBorders>
            <w:vAlign w:val="center"/>
            <w:hideMark/>
          </w:tcPr>
          <w:p w14:paraId="7CA6262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23,750</w:t>
            </w:r>
          </w:p>
        </w:tc>
        <w:tc>
          <w:tcPr>
            <w:tcW w:w="333" w:type="pct"/>
            <w:tcBorders>
              <w:top w:val="nil"/>
              <w:left w:val="nil"/>
              <w:bottom w:val="single" w:sz="4" w:space="0" w:color="auto"/>
              <w:right w:val="nil"/>
            </w:tcBorders>
            <w:vAlign w:val="center"/>
            <w:hideMark/>
          </w:tcPr>
          <w:p w14:paraId="0D12503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24,050</w:t>
            </w:r>
          </w:p>
        </w:tc>
        <w:tc>
          <w:tcPr>
            <w:tcW w:w="333" w:type="pct"/>
            <w:tcBorders>
              <w:top w:val="nil"/>
              <w:left w:val="nil"/>
              <w:bottom w:val="single" w:sz="4" w:space="0" w:color="auto"/>
              <w:right w:val="nil"/>
            </w:tcBorders>
            <w:vAlign w:val="center"/>
            <w:hideMark/>
          </w:tcPr>
          <w:p w14:paraId="129BB0F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24,180</w:t>
            </w:r>
          </w:p>
        </w:tc>
        <w:tc>
          <w:tcPr>
            <w:tcW w:w="333" w:type="pct"/>
            <w:tcBorders>
              <w:top w:val="nil"/>
              <w:left w:val="nil"/>
              <w:bottom w:val="single" w:sz="4" w:space="0" w:color="auto"/>
              <w:right w:val="nil"/>
            </w:tcBorders>
            <w:vAlign w:val="center"/>
            <w:hideMark/>
          </w:tcPr>
          <w:p w14:paraId="79E1821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27,150</w:t>
            </w:r>
          </w:p>
        </w:tc>
        <w:tc>
          <w:tcPr>
            <w:tcW w:w="333" w:type="pct"/>
            <w:tcBorders>
              <w:top w:val="nil"/>
              <w:left w:val="nil"/>
              <w:bottom w:val="single" w:sz="4" w:space="0" w:color="auto"/>
              <w:right w:val="nil"/>
            </w:tcBorders>
            <w:vAlign w:val="center"/>
            <w:hideMark/>
          </w:tcPr>
          <w:p w14:paraId="5B47D42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25,280</w:t>
            </w:r>
          </w:p>
        </w:tc>
        <w:tc>
          <w:tcPr>
            <w:tcW w:w="328" w:type="pct"/>
            <w:tcBorders>
              <w:top w:val="nil"/>
              <w:left w:val="nil"/>
              <w:bottom w:val="single" w:sz="4" w:space="0" w:color="auto"/>
              <w:right w:val="nil"/>
            </w:tcBorders>
            <w:vAlign w:val="center"/>
            <w:hideMark/>
          </w:tcPr>
          <w:p w14:paraId="6DA3313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26,250</w:t>
            </w:r>
          </w:p>
        </w:tc>
      </w:tr>
      <w:tr w:rsidR="00347DFC" w:rsidRPr="00C96F13" w14:paraId="1A227666" w14:textId="77777777" w:rsidTr="00D2068B">
        <w:trPr>
          <w:trHeight w:val="260"/>
        </w:trPr>
        <w:tc>
          <w:tcPr>
            <w:tcW w:w="1342" w:type="pct"/>
            <w:tcBorders>
              <w:top w:val="nil"/>
              <w:left w:val="nil"/>
              <w:bottom w:val="nil"/>
              <w:right w:val="nil"/>
            </w:tcBorders>
            <w:vAlign w:val="center"/>
            <w:hideMark/>
          </w:tcPr>
          <w:p w14:paraId="0CA2F2D9"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624B26B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8199AB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0952377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32261B1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AEABCF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1A6027A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5DCDB2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34D0193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E64601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BC66D8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28" w:type="pct"/>
            <w:tcBorders>
              <w:top w:val="nil"/>
              <w:left w:val="nil"/>
              <w:bottom w:val="nil"/>
              <w:right w:val="nil"/>
            </w:tcBorders>
            <w:vAlign w:val="center"/>
            <w:hideMark/>
          </w:tcPr>
          <w:p w14:paraId="6663B4F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r>
      <w:tr w:rsidR="00347DFC" w:rsidRPr="00C96F13" w14:paraId="77BCCDBB" w14:textId="77777777" w:rsidTr="00D2068B">
        <w:trPr>
          <w:trHeight w:val="260"/>
        </w:trPr>
        <w:tc>
          <w:tcPr>
            <w:tcW w:w="1342" w:type="pct"/>
            <w:tcBorders>
              <w:top w:val="nil"/>
              <w:left w:val="nil"/>
              <w:bottom w:val="nil"/>
              <w:right w:val="nil"/>
            </w:tcBorders>
            <w:vAlign w:val="center"/>
            <w:hideMark/>
          </w:tcPr>
          <w:p w14:paraId="3724D489"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Plant and equipment</w:t>
            </w:r>
          </w:p>
        </w:tc>
        <w:tc>
          <w:tcPr>
            <w:tcW w:w="333" w:type="pct"/>
            <w:tcBorders>
              <w:top w:val="nil"/>
              <w:left w:val="nil"/>
              <w:bottom w:val="nil"/>
              <w:right w:val="nil"/>
            </w:tcBorders>
            <w:vAlign w:val="center"/>
            <w:hideMark/>
          </w:tcPr>
          <w:p w14:paraId="1AFA6F6D"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14917268"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ADEB009"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3C142236"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6B713C65"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226D32B"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68008CA"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08DE0414"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484F2CCF"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076EE39"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28" w:type="pct"/>
            <w:tcBorders>
              <w:top w:val="nil"/>
              <w:left w:val="nil"/>
              <w:bottom w:val="nil"/>
              <w:right w:val="nil"/>
            </w:tcBorders>
            <w:vAlign w:val="center"/>
            <w:hideMark/>
          </w:tcPr>
          <w:p w14:paraId="0D9DBF33"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r>
      <w:tr w:rsidR="00347DFC" w:rsidRPr="00C96F13" w14:paraId="2F7ACB74" w14:textId="77777777" w:rsidTr="00D2068B">
        <w:trPr>
          <w:trHeight w:val="260"/>
        </w:trPr>
        <w:tc>
          <w:tcPr>
            <w:tcW w:w="1342" w:type="pct"/>
            <w:tcBorders>
              <w:top w:val="nil"/>
              <w:left w:val="nil"/>
              <w:bottom w:val="nil"/>
              <w:right w:val="nil"/>
            </w:tcBorders>
            <w:vAlign w:val="center"/>
            <w:hideMark/>
          </w:tcPr>
          <w:p w14:paraId="212D86B5"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Plant, machinery and equipment</w:t>
            </w:r>
          </w:p>
        </w:tc>
        <w:tc>
          <w:tcPr>
            <w:tcW w:w="333" w:type="pct"/>
            <w:tcBorders>
              <w:top w:val="nil"/>
              <w:left w:val="nil"/>
              <w:bottom w:val="nil"/>
              <w:right w:val="nil"/>
            </w:tcBorders>
            <w:vAlign w:val="center"/>
            <w:hideMark/>
          </w:tcPr>
          <w:p w14:paraId="6A95865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2,560</w:t>
            </w:r>
          </w:p>
        </w:tc>
        <w:tc>
          <w:tcPr>
            <w:tcW w:w="333" w:type="pct"/>
            <w:tcBorders>
              <w:top w:val="nil"/>
              <w:left w:val="nil"/>
              <w:bottom w:val="nil"/>
              <w:right w:val="nil"/>
            </w:tcBorders>
            <w:vAlign w:val="center"/>
            <w:hideMark/>
          </w:tcPr>
          <w:p w14:paraId="054EFD5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3,036</w:t>
            </w:r>
          </w:p>
        </w:tc>
        <w:tc>
          <w:tcPr>
            <w:tcW w:w="333" w:type="pct"/>
            <w:tcBorders>
              <w:top w:val="nil"/>
              <w:left w:val="nil"/>
              <w:bottom w:val="nil"/>
              <w:right w:val="nil"/>
            </w:tcBorders>
            <w:vAlign w:val="center"/>
            <w:hideMark/>
          </w:tcPr>
          <w:p w14:paraId="4258B3C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2,700</w:t>
            </w:r>
          </w:p>
        </w:tc>
        <w:tc>
          <w:tcPr>
            <w:tcW w:w="333" w:type="pct"/>
            <w:tcBorders>
              <w:top w:val="nil"/>
              <w:left w:val="nil"/>
              <w:bottom w:val="nil"/>
              <w:right w:val="nil"/>
            </w:tcBorders>
            <w:vAlign w:val="center"/>
            <w:hideMark/>
          </w:tcPr>
          <w:p w14:paraId="5FF5278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2,700</w:t>
            </w:r>
          </w:p>
        </w:tc>
        <w:tc>
          <w:tcPr>
            <w:tcW w:w="333" w:type="pct"/>
            <w:tcBorders>
              <w:top w:val="nil"/>
              <w:left w:val="nil"/>
              <w:bottom w:val="nil"/>
              <w:right w:val="nil"/>
            </w:tcBorders>
            <w:vAlign w:val="center"/>
            <w:hideMark/>
          </w:tcPr>
          <w:p w14:paraId="5AFAC1F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2,700</w:t>
            </w:r>
          </w:p>
        </w:tc>
        <w:tc>
          <w:tcPr>
            <w:tcW w:w="333" w:type="pct"/>
            <w:tcBorders>
              <w:top w:val="nil"/>
              <w:left w:val="nil"/>
              <w:bottom w:val="nil"/>
              <w:right w:val="nil"/>
            </w:tcBorders>
            <w:vAlign w:val="center"/>
            <w:hideMark/>
          </w:tcPr>
          <w:p w14:paraId="60EFB24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2,700</w:t>
            </w:r>
          </w:p>
        </w:tc>
        <w:tc>
          <w:tcPr>
            <w:tcW w:w="333" w:type="pct"/>
            <w:tcBorders>
              <w:top w:val="nil"/>
              <w:left w:val="nil"/>
              <w:bottom w:val="nil"/>
              <w:right w:val="nil"/>
            </w:tcBorders>
            <w:vAlign w:val="center"/>
            <w:hideMark/>
          </w:tcPr>
          <w:p w14:paraId="6696A18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2,700</w:t>
            </w:r>
          </w:p>
        </w:tc>
        <w:tc>
          <w:tcPr>
            <w:tcW w:w="333" w:type="pct"/>
            <w:tcBorders>
              <w:top w:val="nil"/>
              <w:left w:val="nil"/>
              <w:bottom w:val="nil"/>
              <w:right w:val="nil"/>
            </w:tcBorders>
            <w:vAlign w:val="center"/>
            <w:hideMark/>
          </w:tcPr>
          <w:p w14:paraId="3BBEEB0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2,700</w:t>
            </w:r>
          </w:p>
        </w:tc>
        <w:tc>
          <w:tcPr>
            <w:tcW w:w="333" w:type="pct"/>
            <w:tcBorders>
              <w:top w:val="nil"/>
              <w:left w:val="nil"/>
              <w:bottom w:val="nil"/>
              <w:right w:val="nil"/>
            </w:tcBorders>
            <w:vAlign w:val="center"/>
            <w:hideMark/>
          </w:tcPr>
          <w:p w14:paraId="264ADCC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2,700</w:t>
            </w:r>
          </w:p>
        </w:tc>
        <w:tc>
          <w:tcPr>
            <w:tcW w:w="333" w:type="pct"/>
            <w:tcBorders>
              <w:top w:val="nil"/>
              <w:left w:val="nil"/>
              <w:bottom w:val="nil"/>
              <w:right w:val="nil"/>
            </w:tcBorders>
            <w:vAlign w:val="center"/>
            <w:hideMark/>
          </w:tcPr>
          <w:p w14:paraId="2104C6D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2,700</w:t>
            </w:r>
          </w:p>
        </w:tc>
        <w:tc>
          <w:tcPr>
            <w:tcW w:w="328" w:type="pct"/>
            <w:tcBorders>
              <w:top w:val="nil"/>
              <w:left w:val="nil"/>
              <w:bottom w:val="nil"/>
              <w:right w:val="nil"/>
            </w:tcBorders>
            <w:vAlign w:val="center"/>
            <w:hideMark/>
          </w:tcPr>
          <w:p w14:paraId="4F4BF17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2,700</w:t>
            </w:r>
          </w:p>
        </w:tc>
      </w:tr>
      <w:tr w:rsidR="00347DFC" w:rsidRPr="00C96F13" w14:paraId="2FFA9EAE" w14:textId="77777777" w:rsidTr="00D2068B">
        <w:trPr>
          <w:trHeight w:val="260"/>
        </w:trPr>
        <w:tc>
          <w:tcPr>
            <w:tcW w:w="1342" w:type="pct"/>
            <w:tcBorders>
              <w:top w:val="nil"/>
              <w:left w:val="nil"/>
              <w:bottom w:val="nil"/>
              <w:right w:val="nil"/>
            </w:tcBorders>
            <w:vAlign w:val="center"/>
            <w:hideMark/>
          </w:tcPr>
          <w:p w14:paraId="14DBF297"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Fixtures, fittings and furniture</w:t>
            </w:r>
          </w:p>
        </w:tc>
        <w:tc>
          <w:tcPr>
            <w:tcW w:w="333" w:type="pct"/>
            <w:tcBorders>
              <w:top w:val="nil"/>
              <w:left w:val="nil"/>
              <w:bottom w:val="nil"/>
              <w:right w:val="nil"/>
            </w:tcBorders>
            <w:vAlign w:val="center"/>
            <w:hideMark/>
          </w:tcPr>
          <w:p w14:paraId="54F64F5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160</w:t>
            </w:r>
          </w:p>
        </w:tc>
        <w:tc>
          <w:tcPr>
            <w:tcW w:w="333" w:type="pct"/>
            <w:tcBorders>
              <w:top w:val="nil"/>
              <w:left w:val="nil"/>
              <w:bottom w:val="nil"/>
              <w:right w:val="nil"/>
            </w:tcBorders>
            <w:vAlign w:val="center"/>
            <w:hideMark/>
          </w:tcPr>
          <w:p w14:paraId="084E973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1,641</w:t>
            </w:r>
          </w:p>
        </w:tc>
        <w:tc>
          <w:tcPr>
            <w:tcW w:w="333" w:type="pct"/>
            <w:tcBorders>
              <w:top w:val="nil"/>
              <w:left w:val="nil"/>
              <w:bottom w:val="nil"/>
              <w:right w:val="nil"/>
            </w:tcBorders>
            <w:vAlign w:val="center"/>
            <w:hideMark/>
          </w:tcPr>
          <w:p w14:paraId="4A0B23C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1,726</w:t>
            </w:r>
          </w:p>
        </w:tc>
        <w:tc>
          <w:tcPr>
            <w:tcW w:w="333" w:type="pct"/>
            <w:tcBorders>
              <w:top w:val="nil"/>
              <w:left w:val="nil"/>
              <w:bottom w:val="nil"/>
              <w:right w:val="nil"/>
            </w:tcBorders>
            <w:vAlign w:val="center"/>
            <w:hideMark/>
          </w:tcPr>
          <w:p w14:paraId="2868F94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1,743</w:t>
            </w:r>
          </w:p>
        </w:tc>
        <w:tc>
          <w:tcPr>
            <w:tcW w:w="333" w:type="pct"/>
            <w:tcBorders>
              <w:top w:val="nil"/>
              <w:left w:val="nil"/>
              <w:bottom w:val="nil"/>
              <w:right w:val="nil"/>
            </w:tcBorders>
            <w:vAlign w:val="center"/>
            <w:hideMark/>
          </w:tcPr>
          <w:p w14:paraId="5E305DD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1,853</w:t>
            </w:r>
          </w:p>
        </w:tc>
        <w:tc>
          <w:tcPr>
            <w:tcW w:w="333" w:type="pct"/>
            <w:tcBorders>
              <w:top w:val="nil"/>
              <w:left w:val="nil"/>
              <w:bottom w:val="nil"/>
              <w:right w:val="nil"/>
            </w:tcBorders>
            <w:vAlign w:val="center"/>
            <w:hideMark/>
          </w:tcPr>
          <w:p w14:paraId="008D697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1,360</w:t>
            </w:r>
          </w:p>
        </w:tc>
        <w:tc>
          <w:tcPr>
            <w:tcW w:w="333" w:type="pct"/>
            <w:tcBorders>
              <w:top w:val="nil"/>
              <w:left w:val="nil"/>
              <w:bottom w:val="nil"/>
              <w:right w:val="nil"/>
            </w:tcBorders>
            <w:vAlign w:val="center"/>
            <w:hideMark/>
          </w:tcPr>
          <w:p w14:paraId="4C13919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1,060</w:t>
            </w:r>
          </w:p>
        </w:tc>
        <w:tc>
          <w:tcPr>
            <w:tcW w:w="333" w:type="pct"/>
            <w:tcBorders>
              <w:top w:val="nil"/>
              <w:left w:val="nil"/>
              <w:bottom w:val="nil"/>
              <w:right w:val="nil"/>
            </w:tcBorders>
            <w:vAlign w:val="center"/>
            <w:hideMark/>
          </w:tcPr>
          <w:p w14:paraId="25C5DAE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1,060</w:t>
            </w:r>
          </w:p>
        </w:tc>
        <w:tc>
          <w:tcPr>
            <w:tcW w:w="333" w:type="pct"/>
            <w:tcBorders>
              <w:top w:val="nil"/>
              <w:left w:val="nil"/>
              <w:bottom w:val="nil"/>
              <w:right w:val="nil"/>
            </w:tcBorders>
            <w:vAlign w:val="center"/>
            <w:hideMark/>
          </w:tcPr>
          <w:p w14:paraId="326C7F7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1,060</w:t>
            </w:r>
          </w:p>
        </w:tc>
        <w:tc>
          <w:tcPr>
            <w:tcW w:w="333" w:type="pct"/>
            <w:tcBorders>
              <w:top w:val="nil"/>
              <w:left w:val="nil"/>
              <w:bottom w:val="nil"/>
              <w:right w:val="nil"/>
            </w:tcBorders>
            <w:vAlign w:val="center"/>
            <w:hideMark/>
          </w:tcPr>
          <w:p w14:paraId="0762585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1,060</w:t>
            </w:r>
          </w:p>
        </w:tc>
        <w:tc>
          <w:tcPr>
            <w:tcW w:w="328" w:type="pct"/>
            <w:tcBorders>
              <w:top w:val="nil"/>
              <w:left w:val="nil"/>
              <w:bottom w:val="nil"/>
              <w:right w:val="nil"/>
            </w:tcBorders>
            <w:vAlign w:val="center"/>
            <w:hideMark/>
          </w:tcPr>
          <w:p w14:paraId="62E2C05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1,060</w:t>
            </w:r>
          </w:p>
        </w:tc>
      </w:tr>
      <w:tr w:rsidR="00347DFC" w:rsidRPr="00C96F13" w14:paraId="1EE0E2FE" w14:textId="77777777" w:rsidTr="00D2068B">
        <w:trPr>
          <w:trHeight w:val="260"/>
        </w:trPr>
        <w:tc>
          <w:tcPr>
            <w:tcW w:w="1342" w:type="pct"/>
            <w:tcBorders>
              <w:top w:val="nil"/>
              <w:left w:val="nil"/>
              <w:bottom w:val="nil"/>
              <w:right w:val="nil"/>
            </w:tcBorders>
            <w:vAlign w:val="center"/>
            <w:hideMark/>
          </w:tcPr>
          <w:p w14:paraId="3CA64C75"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Computers and telecommunications</w:t>
            </w:r>
          </w:p>
        </w:tc>
        <w:tc>
          <w:tcPr>
            <w:tcW w:w="333" w:type="pct"/>
            <w:tcBorders>
              <w:top w:val="nil"/>
              <w:left w:val="nil"/>
              <w:bottom w:val="nil"/>
              <w:right w:val="nil"/>
            </w:tcBorders>
            <w:vAlign w:val="center"/>
            <w:hideMark/>
          </w:tcPr>
          <w:p w14:paraId="52CFF6C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169</w:t>
            </w:r>
          </w:p>
        </w:tc>
        <w:tc>
          <w:tcPr>
            <w:tcW w:w="333" w:type="pct"/>
            <w:tcBorders>
              <w:top w:val="nil"/>
              <w:left w:val="nil"/>
              <w:bottom w:val="nil"/>
              <w:right w:val="nil"/>
            </w:tcBorders>
            <w:vAlign w:val="center"/>
            <w:hideMark/>
          </w:tcPr>
          <w:p w14:paraId="0F3AF4B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2,665</w:t>
            </w:r>
          </w:p>
        </w:tc>
        <w:tc>
          <w:tcPr>
            <w:tcW w:w="333" w:type="pct"/>
            <w:tcBorders>
              <w:top w:val="nil"/>
              <w:left w:val="nil"/>
              <w:bottom w:val="nil"/>
              <w:right w:val="nil"/>
            </w:tcBorders>
            <w:vAlign w:val="center"/>
            <w:hideMark/>
          </w:tcPr>
          <w:p w14:paraId="63CA710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10,550</w:t>
            </w:r>
          </w:p>
        </w:tc>
        <w:tc>
          <w:tcPr>
            <w:tcW w:w="333" w:type="pct"/>
            <w:tcBorders>
              <w:top w:val="nil"/>
              <w:left w:val="nil"/>
              <w:bottom w:val="nil"/>
              <w:right w:val="nil"/>
            </w:tcBorders>
            <w:vAlign w:val="center"/>
            <w:hideMark/>
          </w:tcPr>
          <w:p w14:paraId="685E4ED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10,550</w:t>
            </w:r>
          </w:p>
        </w:tc>
        <w:tc>
          <w:tcPr>
            <w:tcW w:w="333" w:type="pct"/>
            <w:tcBorders>
              <w:top w:val="nil"/>
              <w:left w:val="nil"/>
              <w:bottom w:val="nil"/>
              <w:right w:val="nil"/>
            </w:tcBorders>
            <w:vAlign w:val="center"/>
            <w:hideMark/>
          </w:tcPr>
          <w:p w14:paraId="0503644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10,550</w:t>
            </w:r>
          </w:p>
        </w:tc>
        <w:tc>
          <w:tcPr>
            <w:tcW w:w="333" w:type="pct"/>
            <w:tcBorders>
              <w:top w:val="nil"/>
              <w:left w:val="nil"/>
              <w:bottom w:val="nil"/>
              <w:right w:val="nil"/>
            </w:tcBorders>
            <w:vAlign w:val="center"/>
            <w:hideMark/>
          </w:tcPr>
          <w:p w14:paraId="6E2AA6E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550</w:t>
            </w:r>
          </w:p>
        </w:tc>
        <w:tc>
          <w:tcPr>
            <w:tcW w:w="333" w:type="pct"/>
            <w:tcBorders>
              <w:top w:val="nil"/>
              <w:left w:val="nil"/>
              <w:bottom w:val="nil"/>
              <w:right w:val="nil"/>
            </w:tcBorders>
            <w:vAlign w:val="center"/>
            <w:hideMark/>
          </w:tcPr>
          <w:p w14:paraId="75528F3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550</w:t>
            </w:r>
          </w:p>
        </w:tc>
        <w:tc>
          <w:tcPr>
            <w:tcW w:w="333" w:type="pct"/>
            <w:tcBorders>
              <w:top w:val="nil"/>
              <w:left w:val="nil"/>
              <w:bottom w:val="nil"/>
              <w:right w:val="nil"/>
            </w:tcBorders>
            <w:vAlign w:val="center"/>
            <w:hideMark/>
          </w:tcPr>
          <w:p w14:paraId="7B4DF96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550</w:t>
            </w:r>
          </w:p>
        </w:tc>
        <w:tc>
          <w:tcPr>
            <w:tcW w:w="333" w:type="pct"/>
            <w:tcBorders>
              <w:top w:val="nil"/>
              <w:left w:val="nil"/>
              <w:bottom w:val="nil"/>
              <w:right w:val="nil"/>
            </w:tcBorders>
            <w:vAlign w:val="center"/>
            <w:hideMark/>
          </w:tcPr>
          <w:p w14:paraId="7965504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550</w:t>
            </w:r>
          </w:p>
        </w:tc>
        <w:tc>
          <w:tcPr>
            <w:tcW w:w="333" w:type="pct"/>
            <w:tcBorders>
              <w:top w:val="nil"/>
              <w:left w:val="nil"/>
              <w:bottom w:val="nil"/>
              <w:right w:val="nil"/>
            </w:tcBorders>
            <w:vAlign w:val="center"/>
            <w:hideMark/>
          </w:tcPr>
          <w:p w14:paraId="3EC4F99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550</w:t>
            </w:r>
          </w:p>
        </w:tc>
        <w:tc>
          <w:tcPr>
            <w:tcW w:w="328" w:type="pct"/>
            <w:tcBorders>
              <w:top w:val="nil"/>
              <w:left w:val="nil"/>
              <w:bottom w:val="nil"/>
              <w:right w:val="nil"/>
            </w:tcBorders>
            <w:vAlign w:val="center"/>
            <w:hideMark/>
          </w:tcPr>
          <w:p w14:paraId="25A7512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550</w:t>
            </w:r>
          </w:p>
        </w:tc>
      </w:tr>
      <w:tr w:rsidR="00347DFC" w:rsidRPr="00C96F13" w14:paraId="34F96C7F" w14:textId="77777777" w:rsidTr="00D2068B">
        <w:trPr>
          <w:trHeight w:val="260"/>
        </w:trPr>
        <w:tc>
          <w:tcPr>
            <w:tcW w:w="1342" w:type="pct"/>
            <w:tcBorders>
              <w:top w:val="nil"/>
              <w:left w:val="nil"/>
              <w:bottom w:val="nil"/>
              <w:right w:val="nil"/>
            </w:tcBorders>
            <w:vAlign w:val="center"/>
            <w:hideMark/>
          </w:tcPr>
          <w:p w14:paraId="3470E8FD"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Total plant and equipment</w:t>
            </w:r>
          </w:p>
        </w:tc>
        <w:tc>
          <w:tcPr>
            <w:tcW w:w="333" w:type="pct"/>
            <w:tcBorders>
              <w:top w:val="single" w:sz="4" w:space="0" w:color="auto"/>
              <w:left w:val="nil"/>
              <w:bottom w:val="single" w:sz="4" w:space="0" w:color="auto"/>
              <w:right w:val="nil"/>
            </w:tcBorders>
            <w:vAlign w:val="center"/>
            <w:hideMark/>
          </w:tcPr>
          <w:p w14:paraId="6AA70D0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2,889</w:t>
            </w:r>
          </w:p>
        </w:tc>
        <w:tc>
          <w:tcPr>
            <w:tcW w:w="333" w:type="pct"/>
            <w:tcBorders>
              <w:top w:val="single" w:sz="4" w:space="0" w:color="auto"/>
              <w:left w:val="nil"/>
              <w:bottom w:val="single" w:sz="4" w:space="0" w:color="auto"/>
              <w:right w:val="nil"/>
            </w:tcBorders>
            <w:vAlign w:val="center"/>
            <w:hideMark/>
          </w:tcPr>
          <w:p w14:paraId="25AB743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7,341</w:t>
            </w:r>
          </w:p>
        </w:tc>
        <w:tc>
          <w:tcPr>
            <w:tcW w:w="333" w:type="pct"/>
            <w:tcBorders>
              <w:top w:val="single" w:sz="4" w:space="0" w:color="auto"/>
              <w:left w:val="nil"/>
              <w:bottom w:val="single" w:sz="4" w:space="0" w:color="auto"/>
              <w:right w:val="nil"/>
            </w:tcBorders>
            <w:vAlign w:val="center"/>
            <w:hideMark/>
          </w:tcPr>
          <w:p w14:paraId="3D968EC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14,976</w:t>
            </w:r>
          </w:p>
        </w:tc>
        <w:tc>
          <w:tcPr>
            <w:tcW w:w="333" w:type="pct"/>
            <w:tcBorders>
              <w:top w:val="single" w:sz="4" w:space="0" w:color="auto"/>
              <w:left w:val="nil"/>
              <w:bottom w:val="single" w:sz="4" w:space="0" w:color="auto"/>
              <w:right w:val="nil"/>
            </w:tcBorders>
            <w:vAlign w:val="center"/>
            <w:hideMark/>
          </w:tcPr>
          <w:p w14:paraId="53EFC9C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14,993</w:t>
            </w:r>
          </w:p>
        </w:tc>
        <w:tc>
          <w:tcPr>
            <w:tcW w:w="333" w:type="pct"/>
            <w:tcBorders>
              <w:top w:val="single" w:sz="4" w:space="0" w:color="auto"/>
              <w:left w:val="nil"/>
              <w:bottom w:val="single" w:sz="4" w:space="0" w:color="auto"/>
              <w:right w:val="nil"/>
            </w:tcBorders>
            <w:vAlign w:val="center"/>
            <w:hideMark/>
          </w:tcPr>
          <w:p w14:paraId="311D73B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15,103</w:t>
            </w:r>
          </w:p>
        </w:tc>
        <w:tc>
          <w:tcPr>
            <w:tcW w:w="333" w:type="pct"/>
            <w:tcBorders>
              <w:top w:val="single" w:sz="4" w:space="0" w:color="auto"/>
              <w:left w:val="nil"/>
              <w:bottom w:val="single" w:sz="4" w:space="0" w:color="auto"/>
              <w:right w:val="nil"/>
            </w:tcBorders>
            <w:vAlign w:val="center"/>
            <w:hideMark/>
          </w:tcPr>
          <w:p w14:paraId="51ED472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4,610</w:t>
            </w:r>
          </w:p>
        </w:tc>
        <w:tc>
          <w:tcPr>
            <w:tcW w:w="333" w:type="pct"/>
            <w:tcBorders>
              <w:top w:val="single" w:sz="4" w:space="0" w:color="auto"/>
              <w:left w:val="nil"/>
              <w:bottom w:val="single" w:sz="4" w:space="0" w:color="auto"/>
              <w:right w:val="nil"/>
            </w:tcBorders>
            <w:vAlign w:val="center"/>
            <w:hideMark/>
          </w:tcPr>
          <w:p w14:paraId="16CFF0A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4,310</w:t>
            </w:r>
          </w:p>
        </w:tc>
        <w:tc>
          <w:tcPr>
            <w:tcW w:w="333" w:type="pct"/>
            <w:tcBorders>
              <w:top w:val="single" w:sz="4" w:space="0" w:color="auto"/>
              <w:left w:val="nil"/>
              <w:bottom w:val="single" w:sz="4" w:space="0" w:color="auto"/>
              <w:right w:val="nil"/>
            </w:tcBorders>
            <w:vAlign w:val="center"/>
            <w:hideMark/>
          </w:tcPr>
          <w:p w14:paraId="424EDFD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4,310</w:t>
            </w:r>
          </w:p>
        </w:tc>
        <w:tc>
          <w:tcPr>
            <w:tcW w:w="333" w:type="pct"/>
            <w:tcBorders>
              <w:top w:val="single" w:sz="4" w:space="0" w:color="auto"/>
              <w:left w:val="nil"/>
              <w:bottom w:val="single" w:sz="4" w:space="0" w:color="auto"/>
              <w:right w:val="nil"/>
            </w:tcBorders>
            <w:vAlign w:val="center"/>
            <w:hideMark/>
          </w:tcPr>
          <w:p w14:paraId="66EE6AB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4,310</w:t>
            </w:r>
          </w:p>
        </w:tc>
        <w:tc>
          <w:tcPr>
            <w:tcW w:w="333" w:type="pct"/>
            <w:tcBorders>
              <w:top w:val="single" w:sz="4" w:space="0" w:color="auto"/>
              <w:left w:val="nil"/>
              <w:bottom w:val="single" w:sz="4" w:space="0" w:color="auto"/>
              <w:right w:val="nil"/>
            </w:tcBorders>
            <w:vAlign w:val="center"/>
            <w:hideMark/>
          </w:tcPr>
          <w:p w14:paraId="6381A58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4,310</w:t>
            </w:r>
          </w:p>
        </w:tc>
        <w:tc>
          <w:tcPr>
            <w:tcW w:w="328" w:type="pct"/>
            <w:tcBorders>
              <w:top w:val="single" w:sz="4" w:space="0" w:color="auto"/>
              <w:left w:val="nil"/>
              <w:bottom w:val="single" w:sz="4" w:space="0" w:color="auto"/>
              <w:right w:val="nil"/>
            </w:tcBorders>
            <w:vAlign w:val="center"/>
            <w:hideMark/>
          </w:tcPr>
          <w:p w14:paraId="7FB745B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4,310</w:t>
            </w:r>
          </w:p>
        </w:tc>
      </w:tr>
      <w:tr w:rsidR="00347DFC" w:rsidRPr="00C96F13" w14:paraId="74A928A4" w14:textId="77777777" w:rsidTr="00D2068B">
        <w:trPr>
          <w:trHeight w:val="260"/>
        </w:trPr>
        <w:tc>
          <w:tcPr>
            <w:tcW w:w="1342" w:type="pct"/>
            <w:tcBorders>
              <w:top w:val="nil"/>
              <w:left w:val="nil"/>
              <w:bottom w:val="nil"/>
              <w:right w:val="nil"/>
            </w:tcBorders>
            <w:vAlign w:val="center"/>
            <w:hideMark/>
          </w:tcPr>
          <w:p w14:paraId="5FC40BD7"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7F0730C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1E78E9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3B57507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1FB7A66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637677F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2E5C07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31628E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142B967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6738DCD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0B7D6DD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28" w:type="pct"/>
            <w:tcBorders>
              <w:top w:val="nil"/>
              <w:left w:val="nil"/>
              <w:bottom w:val="nil"/>
              <w:right w:val="nil"/>
            </w:tcBorders>
            <w:vAlign w:val="center"/>
            <w:hideMark/>
          </w:tcPr>
          <w:p w14:paraId="65EA9D8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r>
      <w:tr w:rsidR="00347DFC" w:rsidRPr="00C96F13" w14:paraId="0E62AB5E" w14:textId="77777777" w:rsidTr="00D2068B">
        <w:trPr>
          <w:trHeight w:val="260"/>
        </w:trPr>
        <w:tc>
          <w:tcPr>
            <w:tcW w:w="1342" w:type="pct"/>
            <w:tcBorders>
              <w:top w:val="nil"/>
              <w:left w:val="nil"/>
              <w:bottom w:val="nil"/>
              <w:right w:val="nil"/>
            </w:tcBorders>
            <w:vAlign w:val="center"/>
            <w:hideMark/>
          </w:tcPr>
          <w:p w14:paraId="1889000F"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Infrastructure</w:t>
            </w:r>
          </w:p>
        </w:tc>
        <w:tc>
          <w:tcPr>
            <w:tcW w:w="333" w:type="pct"/>
            <w:tcBorders>
              <w:top w:val="nil"/>
              <w:left w:val="nil"/>
              <w:bottom w:val="nil"/>
              <w:right w:val="nil"/>
            </w:tcBorders>
            <w:vAlign w:val="center"/>
            <w:hideMark/>
          </w:tcPr>
          <w:p w14:paraId="5AD40941"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1373D93C"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E61855F"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E467EA7"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175B125"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B19C889"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172EFF6C"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010988F0"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65D7033A"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04A3B013"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28" w:type="pct"/>
            <w:tcBorders>
              <w:top w:val="nil"/>
              <w:left w:val="nil"/>
              <w:bottom w:val="nil"/>
              <w:right w:val="nil"/>
            </w:tcBorders>
            <w:vAlign w:val="center"/>
            <w:hideMark/>
          </w:tcPr>
          <w:p w14:paraId="16A68C57"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r>
      <w:tr w:rsidR="00347DFC" w:rsidRPr="00C96F13" w14:paraId="49E9D4C6" w14:textId="77777777" w:rsidTr="00D2068B">
        <w:trPr>
          <w:trHeight w:val="260"/>
        </w:trPr>
        <w:tc>
          <w:tcPr>
            <w:tcW w:w="1342" w:type="pct"/>
            <w:tcBorders>
              <w:top w:val="nil"/>
              <w:left w:val="nil"/>
              <w:bottom w:val="nil"/>
              <w:right w:val="nil"/>
            </w:tcBorders>
            <w:vAlign w:val="center"/>
            <w:hideMark/>
          </w:tcPr>
          <w:p w14:paraId="7A54ECBE"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Roads</w:t>
            </w:r>
          </w:p>
        </w:tc>
        <w:tc>
          <w:tcPr>
            <w:tcW w:w="333" w:type="pct"/>
            <w:tcBorders>
              <w:top w:val="nil"/>
              <w:left w:val="nil"/>
              <w:bottom w:val="nil"/>
              <w:right w:val="nil"/>
            </w:tcBorders>
            <w:vAlign w:val="center"/>
            <w:hideMark/>
          </w:tcPr>
          <w:p w14:paraId="270B2CB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27,279</w:t>
            </w:r>
          </w:p>
        </w:tc>
        <w:tc>
          <w:tcPr>
            <w:tcW w:w="333" w:type="pct"/>
            <w:tcBorders>
              <w:top w:val="nil"/>
              <w:left w:val="nil"/>
              <w:bottom w:val="nil"/>
              <w:right w:val="nil"/>
            </w:tcBorders>
            <w:vAlign w:val="center"/>
            <w:hideMark/>
          </w:tcPr>
          <w:p w14:paraId="72BE128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37,244</w:t>
            </w:r>
          </w:p>
        </w:tc>
        <w:tc>
          <w:tcPr>
            <w:tcW w:w="333" w:type="pct"/>
            <w:tcBorders>
              <w:top w:val="nil"/>
              <w:left w:val="nil"/>
              <w:bottom w:val="nil"/>
              <w:right w:val="nil"/>
            </w:tcBorders>
            <w:vAlign w:val="center"/>
            <w:hideMark/>
          </w:tcPr>
          <w:p w14:paraId="00DAE1C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28,034</w:t>
            </w:r>
          </w:p>
        </w:tc>
        <w:tc>
          <w:tcPr>
            <w:tcW w:w="333" w:type="pct"/>
            <w:tcBorders>
              <w:top w:val="nil"/>
              <w:left w:val="nil"/>
              <w:bottom w:val="nil"/>
              <w:right w:val="nil"/>
            </w:tcBorders>
            <w:vAlign w:val="center"/>
            <w:hideMark/>
          </w:tcPr>
          <w:p w14:paraId="6813488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22,352</w:t>
            </w:r>
          </w:p>
        </w:tc>
        <w:tc>
          <w:tcPr>
            <w:tcW w:w="333" w:type="pct"/>
            <w:tcBorders>
              <w:top w:val="nil"/>
              <w:left w:val="nil"/>
              <w:bottom w:val="nil"/>
              <w:right w:val="nil"/>
            </w:tcBorders>
            <w:vAlign w:val="center"/>
            <w:hideMark/>
          </w:tcPr>
          <w:p w14:paraId="46D1813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26,497</w:t>
            </w:r>
          </w:p>
        </w:tc>
        <w:tc>
          <w:tcPr>
            <w:tcW w:w="333" w:type="pct"/>
            <w:tcBorders>
              <w:top w:val="nil"/>
              <w:left w:val="nil"/>
              <w:bottom w:val="nil"/>
              <w:right w:val="nil"/>
            </w:tcBorders>
            <w:vAlign w:val="center"/>
            <w:hideMark/>
          </w:tcPr>
          <w:p w14:paraId="6E55EB3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28,495</w:t>
            </w:r>
          </w:p>
        </w:tc>
        <w:tc>
          <w:tcPr>
            <w:tcW w:w="333" w:type="pct"/>
            <w:tcBorders>
              <w:top w:val="nil"/>
              <w:left w:val="nil"/>
              <w:bottom w:val="nil"/>
              <w:right w:val="nil"/>
            </w:tcBorders>
            <w:vAlign w:val="center"/>
            <w:hideMark/>
          </w:tcPr>
          <w:p w14:paraId="712CD86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28,667</w:t>
            </w:r>
          </w:p>
        </w:tc>
        <w:tc>
          <w:tcPr>
            <w:tcW w:w="333" w:type="pct"/>
            <w:tcBorders>
              <w:top w:val="nil"/>
              <w:left w:val="nil"/>
              <w:bottom w:val="nil"/>
              <w:right w:val="nil"/>
            </w:tcBorders>
            <w:vAlign w:val="center"/>
            <w:hideMark/>
          </w:tcPr>
          <w:p w14:paraId="6077796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29,212</w:t>
            </w:r>
          </w:p>
        </w:tc>
        <w:tc>
          <w:tcPr>
            <w:tcW w:w="333" w:type="pct"/>
            <w:tcBorders>
              <w:top w:val="nil"/>
              <w:left w:val="nil"/>
              <w:bottom w:val="nil"/>
              <w:right w:val="nil"/>
            </w:tcBorders>
            <w:vAlign w:val="center"/>
            <w:hideMark/>
          </w:tcPr>
          <w:p w14:paraId="627A54D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29,612</w:t>
            </w:r>
          </w:p>
        </w:tc>
        <w:tc>
          <w:tcPr>
            <w:tcW w:w="333" w:type="pct"/>
            <w:tcBorders>
              <w:top w:val="nil"/>
              <w:left w:val="nil"/>
              <w:bottom w:val="nil"/>
              <w:right w:val="nil"/>
            </w:tcBorders>
            <w:vAlign w:val="center"/>
            <w:hideMark/>
          </w:tcPr>
          <w:p w14:paraId="0A159AD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29,212</w:t>
            </w:r>
          </w:p>
        </w:tc>
        <w:tc>
          <w:tcPr>
            <w:tcW w:w="328" w:type="pct"/>
            <w:tcBorders>
              <w:top w:val="nil"/>
              <w:left w:val="nil"/>
              <w:bottom w:val="nil"/>
              <w:right w:val="nil"/>
            </w:tcBorders>
            <w:vAlign w:val="center"/>
            <w:hideMark/>
          </w:tcPr>
          <w:p w14:paraId="79E10E2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29,612</w:t>
            </w:r>
          </w:p>
        </w:tc>
      </w:tr>
      <w:tr w:rsidR="00347DFC" w:rsidRPr="00C96F13" w14:paraId="2E9A2857" w14:textId="77777777" w:rsidTr="00D2068B">
        <w:trPr>
          <w:trHeight w:val="260"/>
        </w:trPr>
        <w:tc>
          <w:tcPr>
            <w:tcW w:w="1342" w:type="pct"/>
            <w:tcBorders>
              <w:top w:val="nil"/>
              <w:left w:val="nil"/>
              <w:bottom w:val="nil"/>
              <w:right w:val="nil"/>
            </w:tcBorders>
            <w:vAlign w:val="center"/>
            <w:hideMark/>
          </w:tcPr>
          <w:p w14:paraId="2A9496A8"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Bridges</w:t>
            </w:r>
          </w:p>
        </w:tc>
        <w:tc>
          <w:tcPr>
            <w:tcW w:w="333" w:type="pct"/>
            <w:tcBorders>
              <w:top w:val="nil"/>
              <w:left w:val="nil"/>
              <w:bottom w:val="nil"/>
              <w:right w:val="nil"/>
            </w:tcBorders>
            <w:vAlign w:val="center"/>
            <w:hideMark/>
          </w:tcPr>
          <w:p w14:paraId="216485F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875</w:t>
            </w:r>
          </w:p>
        </w:tc>
        <w:tc>
          <w:tcPr>
            <w:tcW w:w="333" w:type="pct"/>
            <w:tcBorders>
              <w:top w:val="nil"/>
              <w:left w:val="nil"/>
              <w:bottom w:val="nil"/>
              <w:right w:val="nil"/>
            </w:tcBorders>
            <w:vAlign w:val="center"/>
            <w:hideMark/>
          </w:tcPr>
          <w:p w14:paraId="28754EB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1,057</w:t>
            </w:r>
          </w:p>
        </w:tc>
        <w:tc>
          <w:tcPr>
            <w:tcW w:w="333" w:type="pct"/>
            <w:tcBorders>
              <w:top w:val="nil"/>
              <w:left w:val="nil"/>
              <w:bottom w:val="nil"/>
              <w:right w:val="nil"/>
            </w:tcBorders>
            <w:vAlign w:val="center"/>
            <w:hideMark/>
          </w:tcPr>
          <w:p w14:paraId="375AB75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1,337</w:t>
            </w:r>
          </w:p>
        </w:tc>
        <w:tc>
          <w:tcPr>
            <w:tcW w:w="333" w:type="pct"/>
            <w:tcBorders>
              <w:top w:val="nil"/>
              <w:left w:val="nil"/>
              <w:bottom w:val="nil"/>
              <w:right w:val="nil"/>
            </w:tcBorders>
            <w:vAlign w:val="center"/>
            <w:hideMark/>
          </w:tcPr>
          <w:p w14:paraId="2E37BF0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1,397</w:t>
            </w:r>
          </w:p>
        </w:tc>
        <w:tc>
          <w:tcPr>
            <w:tcW w:w="333" w:type="pct"/>
            <w:tcBorders>
              <w:top w:val="nil"/>
              <w:left w:val="nil"/>
              <w:bottom w:val="nil"/>
              <w:right w:val="nil"/>
            </w:tcBorders>
            <w:vAlign w:val="center"/>
            <w:hideMark/>
          </w:tcPr>
          <w:p w14:paraId="2BA7204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1,400</w:t>
            </w:r>
          </w:p>
        </w:tc>
        <w:tc>
          <w:tcPr>
            <w:tcW w:w="333" w:type="pct"/>
            <w:tcBorders>
              <w:top w:val="nil"/>
              <w:left w:val="nil"/>
              <w:bottom w:val="nil"/>
              <w:right w:val="nil"/>
            </w:tcBorders>
            <w:vAlign w:val="center"/>
            <w:hideMark/>
          </w:tcPr>
          <w:p w14:paraId="458EA70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1,400</w:t>
            </w:r>
          </w:p>
        </w:tc>
        <w:tc>
          <w:tcPr>
            <w:tcW w:w="333" w:type="pct"/>
            <w:tcBorders>
              <w:top w:val="nil"/>
              <w:left w:val="nil"/>
              <w:bottom w:val="nil"/>
              <w:right w:val="nil"/>
            </w:tcBorders>
            <w:vAlign w:val="center"/>
            <w:hideMark/>
          </w:tcPr>
          <w:p w14:paraId="0CAB745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1,400</w:t>
            </w:r>
          </w:p>
        </w:tc>
        <w:tc>
          <w:tcPr>
            <w:tcW w:w="333" w:type="pct"/>
            <w:tcBorders>
              <w:top w:val="nil"/>
              <w:left w:val="nil"/>
              <w:bottom w:val="nil"/>
              <w:right w:val="nil"/>
            </w:tcBorders>
            <w:vAlign w:val="center"/>
            <w:hideMark/>
          </w:tcPr>
          <w:p w14:paraId="289B068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1,800</w:t>
            </w:r>
          </w:p>
        </w:tc>
        <w:tc>
          <w:tcPr>
            <w:tcW w:w="333" w:type="pct"/>
            <w:tcBorders>
              <w:top w:val="nil"/>
              <w:left w:val="nil"/>
              <w:bottom w:val="nil"/>
              <w:right w:val="nil"/>
            </w:tcBorders>
            <w:vAlign w:val="center"/>
            <w:hideMark/>
          </w:tcPr>
          <w:p w14:paraId="5E56F3A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1,800</w:t>
            </w:r>
          </w:p>
        </w:tc>
        <w:tc>
          <w:tcPr>
            <w:tcW w:w="333" w:type="pct"/>
            <w:tcBorders>
              <w:top w:val="nil"/>
              <w:left w:val="nil"/>
              <w:bottom w:val="nil"/>
              <w:right w:val="nil"/>
            </w:tcBorders>
            <w:vAlign w:val="center"/>
            <w:hideMark/>
          </w:tcPr>
          <w:p w14:paraId="48CD98B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1,800</w:t>
            </w:r>
          </w:p>
        </w:tc>
        <w:tc>
          <w:tcPr>
            <w:tcW w:w="328" w:type="pct"/>
            <w:tcBorders>
              <w:top w:val="nil"/>
              <w:left w:val="nil"/>
              <w:bottom w:val="nil"/>
              <w:right w:val="nil"/>
            </w:tcBorders>
            <w:vAlign w:val="center"/>
            <w:hideMark/>
          </w:tcPr>
          <w:p w14:paraId="1267AE6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1,800</w:t>
            </w:r>
          </w:p>
        </w:tc>
      </w:tr>
      <w:tr w:rsidR="00347DFC" w:rsidRPr="00C96F13" w14:paraId="12A34D8F" w14:textId="77777777" w:rsidTr="00D2068B">
        <w:trPr>
          <w:trHeight w:val="260"/>
        </w:trPr>
        <w:tc>
          <w:tcPr>
            <w:tcW w:w="1342" w:type="pct"/>
            <w:tcBorders>
              <w:top w:val="nil"/>
              <w:left w:val="nil"/>
              <w:bottom w:val="nil"/>
              <w:right w:val="nil"/>
            </w:tcBorders>
            <w:vAlign w:val="center"/>
            <w:hideMark/>
          </w:tcPr>
          <w:p w14:paraId="6B0A6EAA"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Footpaths and cycleways</w:t>
            </w:r>
          </w:p>
        </w:tc>
        <w:tc>
          <w:tcPr>
            <w:tcW w:w="333" w:type="pct"/>
            <w:tcBorders>
              <w:top w:val="nil"/>
              <w:left w:val="nil"/>
              <w:bottom w:val="nil"/>
              <w:right w:val="nil"/>
            </w:tcBorders>
            <w:vAlign w:val="center"/>
            <w:hideMark/>
          </w:tcPr>
          <w:p w14:paraId="0A44608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1,567</w:t>
            </w:r>
          </w:p>
        </w:tc>
        <w:tc>
          <w:tcPr>
            <w:tcW w:w="333" w:type="pct"/>
            <w:tcBorders>
              <w:top w:val="nil"/>
              <w:left w:val="nil"/>
              <w:bottom w:val="nil"/>
              <w:right w:val="nil"/>
            </w:tcBorders>
            <w:vAlign w:val="center"/>
            <w:hideMark/>
          </w:tcPr>
          <w:p w14:paraId="7C37DCC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1,835</w:t>
            </w:r>
          </w:p>
        </w:tc>
        <w:tc>
          <w:tcPr>
            <w:tcW w:w="333" w:type="pct"/>
            <w:tcBorders>
              <w:top w:val="nil"/>
              <w:left w:val="nil"/>
              <w:bottom w:val="nil"/>
              <w:right w:val="nil"/>
            </w:tcBorders>
            <w:vAlign w:val="center"/>
            <w:hideMark/>
          </w:tcPr>
          <w:p w14:paraId="061CBD6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1,600</w:t>
            </w:r>
          </w:p>
        </w:tc>
        <w:tc>
          <w:tcPr>
            <w:tcW w:w="333" w:type="pct"/>
            <w:tcBorders>
              <w:top w:val="nil"/>
              <w:left w:val="nil"/>
              <w:bottom w:val="nil"/>
              <w:right w:val="nil"/>
            </w:tcBorders>
            <w:vAlign w:val="center"/>
            <w:hideMark/>
          </w:tcPr>
          <w:p w14:paraId="179B7B8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2,023</w:t>
            </w:r>
          </w:p>
        </w:tc>
        <w:tc>
          <w:tcPr>
            <w:tcW w:w="333" w:type="pct"/>
            <w:tcBorders>
              <w:top w:val="nil"/>
              <w:left w:val="nil"/>
              <w:bottom w:val="nil"/>
              <w:right w:val="nil"/>
            </w:tcBorders>
            <w:vAlign w:val="center"/>
            <w:hideMark/>
          </w:tcPr>
          <w:p w14:paraId="42DEB2B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1,648</w:t>
            </w:r>
          </w:p>
        </w:tc>
        <w:tc>
          <w:tcPr>
            <w:tcW w:w="333" w:type="pct"/>
            <w:tcBorders>
              <w:top w:val="nil"/>
              <w:left w:val="nil"/>
              <w:bottom w:val="nil"/>
              <w:right w:val="nil"/>
            </w:tcBorders>
            <w:vAlign w:val="center"/>
            <w:hideMark/>
          </w:tcPr>
          <w:p w14:paraId="747B446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1,554</w:t>
            </w:r>
          </w:p>
        </w:tc>
        <w:tc>
          <w:tcPr>
            <w:tcW w:w="333" w:type="pct"/>
            <w:tcBorders>
              <w:top w:val="nil"/>
              <w:left w:val="nil"/>
              <w:bottom w:val="nil"/>
              <w:right w:val="nil"/>
            </w:tcBorders>
            <w:vAlign w:val="center"/>
            <w:hideMark/>
          </w:tcPr>
          <w:p w14:paraId="37FB7A5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2,429</w:t>
            </w:r>
          </w:p>
        </w:tc>
        <w:tc>
          <w:tcPr>
            <w:tcW w:w="333" w:type="pct"/>
            <w:tcBorders>
              <w:top w:val="nil"/>
              <w:left w:val="nil"/>
              <w:bottom w:val="nil"/>
              <w:right w:val="nil"/>
            </w:tcBorders>
            <w:vAlign w:val="center"/>
            <w:hideMark/>
          </w:tcPr>
          <w:p w14:paraId="4591E09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3,418</w:t>
            </w:r>
          </w:p>
        </w:tc>
        <w:tc>
          <w:tcPr>
            <w:tcW w:w="333" w:type="pct"/>
            <w:tcBorders>
              <w:top w:val="nil"/>
              <w:left w:val="nil"/>
              <w:bottom w:val="nil"/>
              <w:right w:val="nil"/>
            </w:tcBorders>
            <w:vAlign w:val="center"/>
            <w:hideMark/>
          </w:tcPr>
          <w:p w14:paraId="086180B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3,500</w:t>
            </w:r>
          </w:p>
        </w:tc>
        <w:tc>
          <w:tcPr>
            <w:tcW w:w="333" w:type="pct"/>
            <w:tcBorders>
              <w:top w:val="nil"/>
              <w:left w:val="nil"/>
              <w:bottom w:val="nil"/>
              <w:right w:val="nil"/>
            </w:tcBorders>
            <w:vAlign w:val="center"/>
            <w:hideMark/>
          </w:tcPr>
          <w:p w14:paraId="1F936BA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3,023</w:t>
            </w:r>
          </w:p>
        </w:tc>
        <w:tc>
          <w:tcPr>
            <w:tcW w:w="328" w:type="pct"/>
            <w:tcBorders>
              <w:top w:val="nil"/>
              <w:left w:val="nil"/>
              <w:bottom w:val="nil"/>
              <w:right w:val="nil"/>
            </w:tcBorders>
            <w:vAlign w:val="center"/>
            <w:hideMark/>
          </w:tcPr>
          <w:p w14:paraId="7595E5F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3,234</w:t>
            </w:r>
          </w:p>
        </w:tc>
      </w:tr>
      <w:tr w:rsidR="00347DFC" w:rsidRPr="00C96F13" w14:paraId="07A1F636" w14:textId="77777777" w:rsidTr="00D2068B">
        <w:trPr>
          <w:trHeight w:val="260"/>
        </w:trPr>
        <w:tc>
          <w:tcPr>
            <w:tcW w:w="1342" w:type="pct"/>
            <w:tcBorders>
              <w:top w:val="nil"/>
              <w:left w:val="nil"/>
              <w:bottom w:val="nil"/>
              <w:right w:val="nil"/>
            </w:tcBorders>
            <w:vAlign w:val="center"/>
            <w:hideMark/>
          </w:tcPr>
          <w:p w14:paraId="1DE315EF"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Drainage</w:t>
            </w:r>
          </w:p>
        </w:tc>
        <w:tc>
          <w:tcPr>
            <w:tcW w:w="333" w:type="pct"/>
            <w:tcBorders>
              <w:top w:val="nil"/>
              <w:left w:val="nil"/>
              <w:bottom w:val="nil"/>
              <w:right w:val="nil"/>
            </w:tcBorders>
            <w:vAlign w:val="center"/>
            <w:hideMark/>
          </w:tcPr>
          <w:p w14:paraId="2BCD210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1,075</w:t>
            </w:r>
          </w:p>
        </w:tc>
        <w:tc>
          <w:tcPr>
            <w:tcW w:w="333" w:type="pct"/>
            <w:tcBorders>
              <w:top w:val="nil"/>
              <w:left w:val="nil"/>
              <w:bottom w:val="nil"/>
              <w:right w:val="nil"/>
            </w:tcBorders>
            <w:vAlign w:val="center"/>
            <w:hideMark/>
          </w:tcPr>
          <w:p w14:paraId="7778F40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1,135</w:t>
            </w:r>
          </w:p>
        </w:tc>
        <w:tc>
          <w:tcPr>
            <w:tcW w:w="333" w:type="pct"/>
            <w:tcBorders>
              <w:top w:val="nil"/>
              <w:left w:val="nil"/>
              <w:bottom w:val="nil"/>
              <w:right w:val="nil"/>
            </w:tcBorders>
            <w:vAlign w:val="center"/>
            <w:hideMark/>
          </w:tcPr>
          <w:p w14:paraId="76361B8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950</w:t>
            </w:r>
          </w:p>
        </w:tc>
        <w:tc>
          <w:tcPr>
            <w:tcW w:w="333" w:type="pct"/>
            <w:tcBorders>
              <w:top w:val="nil"/>
              <w:left w:val="nil"/>
              <w:bottom w:val="nil"/>
              <w:right w:val="nil"/>
            </w:tcBorders>
            <w:vAlign w:val="center"/>
            <w:hideMark/>
          </w:tcPr>
          <w:p w14:paraId="14CC428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950</w:t>
            </w:r>
          </w:p>
        </w:tc>
        <w:tc>
          <w:tcPr>
            <w:tcW w:w="333" w:type="pct"/>
            <w:tcBorders>
              <w:top w:val="nil"/>
              <w:left w:val="nil"/>
              <w:bottom w:val="nil"/>
              <w:right w:val="nil"/>
            </w:tcBorders>
            <w:vAlign w:val="center"/>
            <w:hideMark/>
          </w:tcPr>
          <w:p w14:paraId="7B21C99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950</w:t>
            </w:r>
          </w:p>
        </w:tc>
        <w:tc>
          <w:tcPr>
            <w:tcW w:w="333" w:type="pct"/>
            <w:tcBorders>
              <w:top w:val="nil"/>
              <w:left w:val="nil"/>
              <w:bottom w:val="nil"/>
              <w:right w:val="nil"/>
            </w:tcBorders>
            <w:vAlign w:val="center"/>
            <w:hideMark/>
          </w:tcPr>
          <w:p w14:paraId="5A40037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1,000</w:t>
            </w:r>
          </w:p>
        </w:tc>
        <w:tc>
          <w:tcPr>
            <w:tcW w:w="333" w:type="pct"/>
            <w:tcBorders>
              <w:top w:val="nil"/>
              <w:left w:val="nil"/>
              <w:bottom w:val="nil"/>
              <w:right w:val="nil"/>
            </w:tcBorders>
            <w:vAlign w:val="center"/>
            <w:hideMark/>
          </w:tcPr>
          <w:p w14:paraId="64D2DE0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1,050</w:t>
            </w:r>
          </w:p>
        </w:tc>
        <w:tc>
          <w:tcPr>
            <w:tcW w:w="333" w:type="pct"/>
            <w:tcBorders>
              <w:top w:val="nil"/>
              <w:left w:val="nil"/>
              <w:bottom w:val="nil"/>
              <w:right w:val="nil"/>
            </w:tcBorders>
            <w:vAlign w:val="center"/>
            <w:hideMark/>
          </w:tcPr>
          <w:p w14:paraId="089B8F0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1,100</w:t>
            </w:r>
          </w:p>
        </w:tc>
        <w:tc>
          <w:tcPr>
            <w:tcW w:w="333" w:type="pct"/>
            <w:tcBorders>
              <w:top w:val="nil"/>
              <w:left w:val="nil"/>
              <w:bottom w:val="nil"/>
              <w:right w:val="nil"/>
            </w:tcBorders>
            <w:vAlign w:val="center"/>
            <w:hideMark/>
          </w:tcPr>
          <w:p w14:paraId="52CBB28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1,100</w:t>
            </w:r>
          </w:p>
        </w:tc>
        <w:tc>
          <w:tcPr>
            <w:tcW w:w="333" w:type="pct"/>
            <w:tcBorders>
              <w:top w:val="nil"/>
              <w:left w:val="nil"/>
              <w:bottom w:val="nil"/>
              <w:right w:val="nil"/>
            </w:tcBorders>
            <w:vAlign w:val="center"/>
            <w:hideMark/>
          </w:tcPr>
          <w:p w14:paraId="6B8C9F7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1,100</w:t>
            </w:r>
          </w:p>
        </w:tc>
        <w:tc>
          <w:tcPr>
            <w:tcW w:w="328" w:type="pct"/>
            <w:tcBorders>
              <w:top w:val="nil"/>
              <w:left w:val="nil"/>
              <w:bottom w:val="nil"/>
              <w:right w:val="nil"/>
            </w:tcBorders>
            <w:vAlign w:val="center"/>
            <w:hideMark/>
          </w:tcPr>
          <w:p w14:paraId="0CCF4BF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1,100</w:t>
            </w:r>
          </w:p>
        </w:tc>
      </w:tr>
      <w:tr w:rsidR="00347DFC" w:rsidRPr="00C96F13" w14:paraId="67C14823" w14:textId="77777777" w:rsidTr="00D2068B">
        <w:trPr>
          <w:trHeight w:val="260"/>
        </w:trPr>
        <w:tc>
          <w:tcPr>
            <w:tcW w:w="1342" w:type="pct"/>
            <w:tcBorders>
              <w:top w:val="nil"/>
              <w:left w:val="nil"/>
              <w:bottom w:val="nil"/>
              <w:right w:val="nil"/>
            </w:tcBorders>
            <w:vAlign w:val="center"/>
            <w:hideMark/>
          </w:tcPr>
          <w:p w14:paraId="6B6F20EC"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Recreational, leisure and community facilities</w:t>
            </w:r>
          </w:p>
        </w:tc>
        <w:tc>
          <w:tcPr>
            <w:tcW w:w="333" w:type="pct"/>
            <w:tcBorders>
              <w:top w:val="nil"/>
              <w:left w:val="nil"/>
              <w:bottom w:val="nil"/>
              <w:right w:val="nil"/>
            </w:tcBorders>
            <w:vAlign w:val="center"/>
            <w:hideMark/>
          </w:tcPr>
          <w:p w14:paraId="214EFD7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3,480</w:t>
            </w:r>
          </w:p>
        </w:tc>
        <w:tc>
          <w:tcPr>
            <w:tcW w:w="333" w:type="pct"/>
            <w:tcBorders>
              <w:top w:val="nil"/>
              <w:left w:val="nil"/>
              <w:bottom w:val="nil"/>
              <w:right w:val="nil"/>
            </w:tcBorders>
            <w:vAlign w:val="center"/>
            <w:hideMark/>
          </w:tcPr>
          <w:p w14:paraId="6E5F72B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2,156</w:t>
            </w:r>
          </w:p>
        </w:tc>
        <w:tc>
          <w:tcPr>
            <w:tcW w:w="333" w:type="pct"/>
            <w:tcBorders>
              <w:top w:val="nil"/>
              <w:left w:val="nil"/>
              <w:bottom w:val="nil"/>
              <w:right w:val="nil"/>
            </w:tcBorders>
            <w:vAlign w:val="center"/>
            <w:hideMark/>
          </w:tcPr>
          <w:p w14:paraId="5EC082D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2,530</w:t>
            </w:r>
          </w:p>
        </w:tc>
        <w:tc>
          <w:tcPr>
            <w:tcW w:w="333" w:type="pct"/>
            <w:tcBorders>
              <w:top w:val="nil"/>
              <w:left w:val="nil"/>
              <w:bottom w:val="nil"/>
              <w:right w:val="nil"/>
            </w:tcBorders>
            <w:vAlign w:val="center"/>
            <w:hideMark/>
          </w:tcPr>
          <w:p w14:paraId="1A6839F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2,550</w:t>
            </w:r>
          </w:p>
        </w:tc>
        <w:tc>
          <w:tcPr>
            <w:tcW w:w="333" w:type="pct"/>
            <w:tcBorders>
              <w:top w:val="nil"/>
              <w:left w:val="nil"/>
              <w:bottom w:val="nil"/>
              <w:right w:val="nil"/>
            </w:tcBorders>
            <w:vAlign w:val="center"/>
            <w:hideMark/>
          </w:tcPr>
          <w:p w14:paraId="2B8473A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5,621</w:t>
            </w:r>
          </w:p>
        </w:tc>
        <w:tc>
          <w:tcPr>
            <w:tcW w:w="333" w:type="pct"/>
            <w:tcBorders>
              <w:top w:val="nil"/>
              <w:left w:val="nil"/>
              <w:bottom w:val="nil"/>
              <w:right w:val="nil"/>
            </w:tcBorders>
            <w:vAlign w:val="center"/>
            <w:hideMark/>
          </w:tcPr>
          <w:p w14:paraId="1354922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7,370</w:t>
            </w:r>
          </w:p>
        </w:tc>
        <w:tc>
          <w:tcPr>
            <w:tcW w:w="333" w:type="pct"/>
            <w:tcBorders>
              <w:top w:val="nil"/>
              <w:left w:val="nil"/>
              <w:bottom w:val="nil"/>
              <w:right w:val="nil"/>
            </w:tcBorders>
            <w:vAlign w:val="center"/>
            <w:hideMark/>
          </w:tcPr>
          <w:p w14:paraId="2E7696A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4,005</w:t>
            </w:r>
          </w:p>
        </w:tc>
        <w:tc>
          <w:tcPr>
            <w:tcW w:w="333" w:type="pct"/>
            <w:tcBorders>
              <w:top w:val="nil"/>
              <w:left w:val="nil"/>
              <w:bottom w:val="nil"/>
              <w:right w:val="nil"/>
            </w:tcBorders>
            <w:vAlign w:val="center"/>
            <w:hideMark/>
          </w:tcPr>
          <w:p w14:paraId="167EC4B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2,050</w:t>
            </w:r>
          </w:p>
        </w:tc>
        <w:tc>
          <w:tcPr>
            <w:tcW w:w="333" w:type="pct"/>
            <w:tcBorders>
              <w:top w:val="nil"/>
              <w:left w:val="nil"/>
              <w:bottom w:val="nil"/>
              <w:right w:val="nil"/>
            </w:tcBorders>
            <w:vAlign w:val="center"/>
            <w:hideMark/>
          </w:tcPr>
          <w:p w14:paraId="184D428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3,655</w:t>
            </w:r>
          </w:p>
        </w:tc>
        <w:tc>
          <w:tcPr>
            <w:tcW w:w="333" w:type="pct"/>
            <w:tcBorders>
              <w:top w:val="nil"/>
              <w:left w:val="nil"/>
              <w:bottom w:val="nil"/>
              <w:right w:val="nil"/>
            </w:tcBorders>
            <w:vAlign w:val="center"/>
            <w:hideMark/>
          </w:tcPr>
          <w:p w14:paraId="66FCEDC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5,050</w:t>
            </w:r>
          </w:p>
        </w:tc>
        <w:tc>
          <w:tcPr>
            <w:tcW w:w="328" w:type="pct"/>
            <w:tcBorders>
              <w:top w:val="nil"/>
              <w:left w:val="nil"/>
              <w:bottom w:val="nil"/>
              <w:right w:val="nil"/>
            </w:tcBorders>
            <w:vAlign w:val="center"/>
            <w:hideMark/>
          </w:tcPr>
          <w:p w14:paraId="103BF8B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5,845</w:t>
            </w:r>
          </w:p>
        </w:tc>
      </w:tr>
      <w:tr w:rsidR="00347DFC" w:rsidRPr="00C96F13" w14:paraId="47C5C60C" w14:textId="77777777" w:rsidTr="00D2068B">
        <w:trPr>
          <w:trHeight w:val="260"/>
        </w:trPr>
        <w:tc>
          <w:tcPr>
            <w:tcW w:w="1342" w:type="pct"/>
            <w:tcBorders>
              <w:top w:val="nil"/>
              <w:left w:val="nil"/>
              <w:bottom w:val="nil"/>
              <w:right w:val="nil"/>
            </w:tcBorders>
            <w:vAlign w:val="center"/>
            <w:hideMark/>
          </w:tcPr>
          <w:p w14:paraId="7CF967BD"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Parks, open space and streetscapes</w:t>
            </w:r>
          </w:p>
        </w:tc>
        <w:tc>
          <w:tcPr>
            <w:tcW w:w="333" w:type="pct"/>
            <w:tcBorders>
              <w:top w:val="nil"/>
              <w:left w:val="nil"/>
              <w:bottom w:val="nil"/>
              <w:right w:val="nil"/>
            </w:tcBorders>
            <w:vAlign w:val="center"/>
            <w:hideMark/>
          </w:tcPr>
          <w:p w14:paraId="070DB5A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3,954</w:t>
            </w:r>
          </w:p>
        </w:tc>
        <w:tc>
          <w:tcPr>
            <w:tcW w:w="333" w:type="pct"/>
            <w:tcBorders>
              <w:top w:val="nil"/>
              <w:left w:val="nil"/>
              <w:bottom w:val="nil"/>
              <w:right w:val="nil"/>
            </w:tcBorders>
            <w:vAlign w:val="center"/>
            <w:hideMark/>
          </w:tcPr>
          <w:p w14:paraId="33FD674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1,583</w:t>
            </w:r>
          </w:p>
        </w:tc>
        <w:tc>
          <w:tcPr>
            <w:tcW w:w="333" w:type="pct"/>
            <w:tcBorders>
              <w:top w:val="nil"/>
              <w:left w:val="nil"/>
              <w:bottom w:val="nil"/>
              <w:right w:val="nil"/>
            </w:tcBorders>
            <w:vAlign w:val="center"/>
            <w:hideMark/>
          </w:tcPr>
          <w:p w14:paraId="1B6F284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3,097</w:t>
            </w:r>
          </w:p>
        </w:tc>
        <w:tc>
          <w:tcPr>
            <w:tcW w:w="333" w:type="pct"/>
            <w:tcBorders>
              <w:top w:val="nil"/>
              <w:left w:val="nil"/>
              <w:bottom w:val="nil"/>
              <w:right w:val="nil"/>
            </w:tcBorders>
            <w:vAlign w:val="center"/>
            <w:hideMark/>
          </w:tcPr>
          <w:p w14:paraId="12698C8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4,606</w:t>
            </w:r>
          </w:p>
        </w:tc>
        <w:tc>
          <w:tcPr>
            <w:tcW w:w="333" w:type="pct"/>
            <w:tcBorders>
              <w:top w:val="nil"/>
              <w:left w:val="nil"/>
              <w:bottom w:val="nil"/>
              <w:right w:val="nil"/>
            </w:tcBorders>
            <w:vAlign w:val="center"/>
            <w:hideMark/>
          </w:tcPr>
          <w:p w14:paraId="764000B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2,812</w:t>
            </w:r>
          </w:p>
        </w:tc>
        <w:tc>
          <w:tcPr>
            <w:tcW w:w="333" w:type="pct"/>
            <w:tcBorders>
              <w:top w:val="nil"/>
              <w:left w:val="nil"/>
              <w:bottom w:val="nil"/>
              <w:right w:val="nil"/>
            </w:tcBorders>
            <w:vAlign w:val="center"/>
            <w:hideMark/>
          </w:tcPr>
          <w:p w14:paraId="10691E4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1,919</w:t>
            </w:r>
          </w:p>
        </w:tc>
        <w:tc>
          <w:tcPr>
            <w:tcW w:w="333" w:type="pct"/>
            <w:tcBorders>
              <w:top w:val="nil"/>
              <w:left w:val="nil"/>
              <w:bottom w:val="nil"/>
              <w:right w:val="nil"/>
            </w:tcBorders>
            <w:vAlign w:val="center"/>
            <w:hideMark/>
          </w:tcPr>
          <w:p w14:paraId="2BBAD4D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3,051</w:t>
            </w:r>
          </w:p>
        </w:tc>
        <w:tc>
          <w:tcPr>
            <w:tcW w:w="333" w:type="pct"/>
            <w:tcBorders>
              <w:top w:val="nil"/>
              <w:left w:val="nil"/>
              <w:bottom w:val="nil"/>
              <w:right w:val="nil"/>
            </w:tcBorders>
            <w:vAlign w:val="center"/>
            <w:hideMark/>
          </w:tcPr>
          <w:p w14:paraId="3983460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3,856</w:t>
            </w:r>
          </w:p>
        </w:tc>
        <w:tc>
          <w:tcPr>
            <w:tcW w:w="333" w:type="pct"/>
            <w:tcBorders>
              <w:top w:val="nil"/>
              <w:left w:val="nil"/>
              <w:bottom w:val="nil"/>
              <w:right w:val="nil"/>
            </w:tcBorders>
            <w:vAlign w:val="center"/>
            <w:hideMark/>
          </w:tcPr>
          <w:p w14:paraId="7C21FD7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3,382</w:t>
            </w:r>
          </w:p>
        </w:tc>
        <w:tc>
          <w:tcPr>
            <w:tcW w:w="333" w:type="pct"/>
            <w:tcBorders>
              <w:top w:val="nil"/>
              <w:left w:val="nil"/>
              <w:bottom w:val="nil"/>
              <w:right w:val="nil"/>
            </w:tcBorders>
            <w:vAlign w:val="center"/>
            <w:hideMark/>
          </w:tcPr>
          <w:p w14:paraId="3F059B4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3,294</w:t>
            </w:r>
          </w:p>
        </w:tc>
        <w:tc>
          <w:tcPr>
            <w:tcW w:w="328" w:type="pct"/>
            <w:tcBorders>
              <w:top w:val="nil"/>
              <w:left w:val="nil"/>
              <w:bottom w:val="nil"/>
              <w:right w:val="nil"/>
            </w:tcBorders>
            <w:vAlign w:val="center"/>
            <w:hideMark/>
          </w:tcPr>
          <w:p w14:paraId="552356C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2,382</w:t>
            </w:r>
          </w:p>
        </w:tc>
      </w:tr>
      <w:tr w:rsidR="00347DFC" w:rsidRPr="00C96F13" w14:paraId="56900146" w14:textId="77777777" w:rsidTr="00D2068B">
        <w:trPr>
          <w:trHeight w:val="260"/>
        </w:trPr>
        <w:tc>
          <w:tcPr>
            <w:tcW w:w="1342" w:type="pct"/>
            <w:tcBorders>
              <w:top w:val="nil"/>
              <w:left w:val="nil"/>
              <w:bottom w:val="nil"/>
              <w:right w:val="nil"/>
            </w:tcBorders>
            <w:vAlign w:val="center"/>
            <w:hideMark/>
          </w:tcPr>
          <w:p w14:paraId="094B9075"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xml:space="preserve">Off </w:t>
            </w:r>
            <w:proofErr w:type="gramStart"/>
            <w:r w:rsidRPr="00C96F13">
              <w:rPr>
                <w:rFonts w:ascii="Arial" w:hAnsi="Arial" w:cs="Arial"/>
                <w:sz w:val="16"/>
                <w:szCs w:val="16"/>
              </w:rPr>
              <w:t>street car</w:t>
            </w:r>
            <w:proofErr w:type="gramEnd"/>
            <w:r w:rsidRPr="00C96F13">
              <w:rPr>
                <w:rFonts w:ascii="Arial" w:hAnsi="Arial" w:cs="Arial"/>
                <w:sz w:val="16"/>
                <w:szCs w:val="16"/>
              </w:rPr>
              <w:t xml:space="preserve"> parks</w:t>
            </w:r>
          </w:p>
        </w:tc>
        <w:tc>
          <w:tcPr>
            <w:tcW w:w="333" w:type="pct"/>
            <w:tcBorders>
              <w:top w:val="nil"/>
              <w:left w:val="nil"/>
              <w:bottom w:val="nil"/>
              <w:right w:val="nil"/>
            </w:tcBorders>
            <w:vAlign w:val="center"/>
            <w:hideMark/>
          </w:tcPr>
          <w:p w14:paraId="32F180A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1,426</w:t>
            </w:r>
          </w:p>
        </w:tc>
        <w:tc>
          <w:tcPr>
            <w:tcW w:w="333" w:type="pct"/>
            <w:tcBorders>
              <w:top w:val="nil"/>
              <w:left w:val="nil"/>
              <w:bottom w:val="nil"/>
              <w:right w:val="nil"/>
            </w:tcBorders>
            <w:vAlign w:val="center"/>
            <w:hideMark/>
          </w:tcPr>
          <w:p w14:paraId="75E1E16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75904E7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3C1EC10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02E04AB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719F1D2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002E56B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0CC2348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1166DF4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33" w:type="pct"/>
            <w:tcBorders>
              <w:top w:val="nil"/>
              <w:left w:val="nil"/>
              <w:bottom w:val="nil"/>
              <w:right w:val="nil"/>
            </w:tcBorders>
            <w:vAlign w:val="center"/>
            <w:hideMark/>
          </w:tcPr>
          <w:p w14:paraId="3290E87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c>
          <w:tcPr>
            <w:tcW w:w="328" w:type="pct"/>
            <w:tcBorders>
              <w:top w:val="nil"/>
              <w:left w:val="nil"/>
              <w:bottom w:val="nil"/>
              <w:right w:val="nil"/>
            </w:tcBorders>
            <w:vAlign w:val="center"/>
            <w:hideMark/>
          </w:tcPr>
          <w:p w14:paraId="7C33494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w:t>
            </w:r>
          </w:p>
        </w:tc>
      </w:tr>
      <w:tr w:rsidR="00347DFC" w:rsidRPr="00C96F13" w14:paraId="094A4F86" w14:textId="77777777" w:rsidTr="00D2068B">
        <w:trPr>
          <w:trHeight w:val="260"/>
        </w:trPr>
        <w:tc>
          <w:tcPr>
            <w:tcW w:w="1342" w:type="pct"/>
            <w:tcBorders>
              <w:top w:val="nil"/>
              <w:left w:val="nil"/>
              <w:bottom w:val="nil"/>
              <w:right w:val="nil"/>
            </w:tcBorders>
            <w:vAlign w:val="center"/>
            <w:hideMark/>
          </w:tcPr>
          <w:p w14:paraId="6D8DCB0B"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Other infrastructure</w:t>
            </w:r>
          </w:p>
        </w:tc>
        <w:tc>
          <w:tcPr>
            <w:tcW w:w="333" w:type="pct"/>
            <w:tcBorders>
              <w:top w:val="nil"/>
              <w:left w:val="nil"/>
              <w:bottom w:val="nil"/>
              <w:right w:val="nil"/>
            </w:tcBorders>
            <w:vAlign w:val="center"/>
            <w:hideMark/>
          </w:tcPr>
          <w:p w14:paraId="73B3656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314</w:t>
            </w:r>
          </w:p>
        </w:tc>
        <w:tc>
          <w:tcPr>
            <w:tcW w:w="333" w:type="pct"/>
            <w:tcBorders>
              <w:top w:val="nil"/>
              <w:left w:val="nil"/>
              <w:bottom w:val="nil"/>
              <w:right w:val="nil"/>
            </w:tcBorders>
            <w:vAlign w:val="center"/>
            <w:hideMark/>
          </w:tcPr>
          <w:p w14:paraId="4446C6F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7,604</w:t>
            </w:r>
          </w:p>
        </w:tc>
        <w:tc>
          <w:tcPr>
            <w:tcW w:w="333" w:type="pct"/>
            <w:tcBorders>
              <w:top w:val="nil"/>
              <w:left w:val="nil"/>
              <w:bottom w:val="nil"/>
              <w:right w:val="nil"/>
            </w:tcBorders>
            <w:vAlign w:val="center"/>
            <w:hideMark/>
          </w:tcPr>
          <w:p w14:paraId="6A4BA66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w:t>
            </w:r>
          </w:p>
        </w:tc>
        <w:tc>
          <w:tcPr>
            <w:tcW w:w="333" w:type="pct"/>
            <w:tcBorders>
              <w:top w:val="nil"/>
              <w:left w:val="nil"/>
              <w:bottom w:val="nil"/>
              <w:right w:val="nil"/>
            </w:tcBorders>
            <w:vAlign w:val="center"/>
            <w:hideMark/>
          </w:tcPr>
          <w:p w14:paraId="733BB1D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w:t>
            </w:r>
          </w:p>
        </w:tc>
        <w:tc>
          <w:tcPr>
            <w:tcW w:w="333" w:type="pct"/>
            <w:tcBorders>
              <w:top w:val="nil"/>
              <w:left w:val="nil"/>
              <w:bottom w:val="nil"/>
              <w:right w:val="nil"/>
            </w:tcBorders>
            <w:vAlign w:val="center"/>
            <w:hideMark/>
          </w:tcPr>
          <w:p w14:paraId="542302B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w:t>
            </w:r>
          </w:p>
        </w:tc>
        <w:tc>
          <w:tcPr>
            <w:tcW w:w="333" w:type="pct"/>
            <w:tcBorders>
              <w:top w:val="nil"/>
              <w:left w:val="nil"/>
              <w:bottom w:val="nil"/>
              <w:right w:val="nil"/>
            </w:tcBorders>
            <w:vAlign w:val="center"/>
            <w:hideMark/>
          </w:tcPr>
          <w:p w14:paraId="5E2CE0F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w:t>
            </w:r>
          </w:p>
        </w:tc>
        <w:tc>
          <w:tcPr>
            <w:tcW w:w="333" w:type="pct"/>
            <w:tcBorders>
              <w:top w:val="nil"/>
              <w:left w:val="nil"/>
              <w:bottom w:val="nil"/>
              <w:right w:val="nil"/>
            </w:tcBorders>
            <w:vAlign w:val="center"/>
            <w:hideMark/>
          </w:tcPr>
          <w:p w14:paraId="7ABED7B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w:t>
            </w:r>
          </w:p>
        </w:tc>
        <w:tc>
          <w:tcPr>
            <w:tcW w:w="333" w:type="pct"/>
            <w:tcBorders>
              <w:top w:val="nil"/>
              <w:left w:val="nil"/>
              <w:bottom w:val="nil"/>
              <w:right w:val="nil"/>
            </w:tcBorders>
            <w:vAlign w:val="center"/>
            <w:hideMark/>
          </w:tcPr>
          <w:p w14:paraId="06676B7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w:t>
            </w:r>
          </w:p>
        </w:tc>
        <w:tc>
          <w:tcPr>
            <w:tcW w:w="333" w:type="pct"/>
            <w:tcBorders>
              <w:top w:val="nil"/>
              <w:left w:val="nil"/>
              <w:bottom w:val="nil"/>
              <w:right w:val="nil"/>
            </w:tcBorders>
            <w:vAlign w:val="center"/>
            <w:hideMark/>
          </w:tcPr>
          <w:p w14:paraId="48928D2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w:t>
            </w:r>
          </w:p>
        </w:tc>
        <w:tc>
          <w:tcPr>
            <w:tcW w:w="333" w:type="pct"/>
            <w:tcBorders>
              <w:top w:val="nil"/>
              <w:left w:val="nil"/>
              <w:bottom w:val="nil"/>
              <w:right w:val="nil"/>
            </w:tcBorders>
            <w:vAlign w:val="center"/>
            <w:hideMark/>
          </w:tcPr>
          <w:p w14:paraId="393E9BC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w:t>
            </w:r>
          </w:p>
        </w:tc>
        <w:tc>
          <w:tcPr>
            <w:tcW w:w="328" w:type="pct"/>
            <w:tcBorders>
              <w:top w:val="nil"/>
              <w:left w:val="nil"/>
              <w:bottom w:val="nil"/>
              <w:right w:val="nil"/>
            </w:tcBorders>
            <w:vAlign w:val="center"/>
            <w:hideMark/>
          </w:tcPr>
          <w:p w14:paraId="31EA6C5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400</w:t>
            </w:r>
          </w:p>
        </w:tc>
      </w:tr>
      <w:tr w:rsidR="00347DFC" w:rsidRPr="00C96F13" w14:paraId="2993F7F8" w14:textId="77777777" w:rsidTr="00D2068B">
        <w:trPr>
          <w:trHeight w:val="260"/>
        </w:trPr>
        <w:tc>
          <w:tcPr>
            <w:tcW w:w="1342" w:type="pct"/>
            <w:tcBorders>
              <w:top w:val="nil"/>
              <w:left w:val="nil"/>
              <w:bottom w:val="nil"/>
              <w:right w:val="nil"/>
            </w:tcBorders>
            <w:vAlign w:val="center"/>
            <w:hideMark/>
          </w:tcPr>
          <w:p w14:paraId="02D970F8"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Total infrastructure</w:t>
            </w:r>
          </w:p>
        </w:tc>
        <w:tc>
          <w:tcPr>
            <w:tcW w:w="333" w:type="pct"/>
            <w:tcBorders>
              <w:top w:val="nil"/>
              <w:left w:val="nil"/>
              <w:bottom w:val="nil"/>
              <w:right w:val="nil"/>
            </w:tcBorders>
            <w:vAlign w:val="center"/>
            <w:hideMark/>
          </w:tcPr>
          <w:p w14:paraId="6ACF90C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39,970</w:t>
            </w:r>
          </w:p>
        </w:tc>
        <w:tc>
          <w:tcPr>
            <w:tcW w:w="333" w:type="pct"/>
            <w:tcBorders>
              <w:top w:val="nil"/>
              <w:left w:val="nil"/>
              <w:bottom w:val="nil"/>
              <w:right w:val="nil"/>
            </w:tcBorders>
            <w:vAlign w:val="center"/>
            <w:hideMark/>
          </w:tcPr>
          <w:p w14:paraId="37F2862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52,614</w:t>
            </w:r>
          </w:p>
        </w:tc>
        <w:tc>
          <w:tcPr>
            <w:tcW w:w="333" w:type="pct"/>
            <w:tcBorders>
              <w:top w:val="nil"/>
              <w:left w:val="nil"/>
              <w:bottom w:val="nil"/>
              <w:right w:val="nil"/>
            </w:tcBorders>
            <w:vAlign w:val="center"/>
            <w:hideMark/>
          </w:tcPr>
          <w:p w14:paraId="6E115EC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37,947</w:t>
            </w:r>
          </w:p>
        </w:tc>
        <w:tc>
          <w:tcPr>
            <w:tcW w:w="333" w:type="pct"/>
            <w:tcBorders>
              <w:top w:val="nil"/>
              <w:left w:val="nil"/>
              <w:bottom w:val="nil"/>
              <w:right w:val="nil"/>
            </w:tcBorders>
            <w:vAlign w:val="center"/>
            <w:hideMark/>
          </w:tcPr>
          <w:p w14:paraId="2B6F007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34,278</w:t>
            </w:r>
          </w:p>
        </w:tc>
        <w:tc>
          <w:tcPr>
            <w:tcW w:w="333" w:type="pct"/>
            <w:tcBorders>
              <w:top w:val="nil"/>
              <w:left w:val="nil"/>
              <w:bottom w:val="nil"/>
              <w:right w:val="nil"/>
            </w:tcBorders>
            <w:vAlign w:val="center"/>
            <w:hideMark/>
          </w:tcPr>
          <w:p w14:paraId="5C71CA5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39,327</w:t>
            </w:r>
          </w:p>
        </w:tc>
        <w:tc>
          <w:tcPr>
            <w:tcW w:w="333" w:type="pct"/>
            <w:tcBorders>
              <w:top w:val="nil"/>
              <w:left w:val="nil"/>
              <w:bottom w:val="nil"/>
              <w:right w:val="nil"/>
            </w:tcBorders>
            <w:vAlign w:val="center"/>
            <w:hideMark/>
          </w:tcPr>
          <w:p w14:paraId="146C682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42,138</w:t>
            </w:r>
          </w:p>
        </w:tc>
        <w:tc>
          <w:tcPr>
            <w:tcW w:w="333" w:type="pct"/>
            <w:tcBorders>
              <w:top w:val="nil"/>
              <w:left w:val="nil"/>
              <w:bottom w:val="nil"/>
              <w:right w:val="nil"/>
            </w:tcBorders>
            <w:vAlign w:val="center"/>
            <w:hideMark/>
          </w:tcPr>
          <w:p w14:paraId="1DE3DC3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41,003</w:t>
            </w:r>
          </w:p>
        </w:tc>
        <w:tc>
          <w:tcPr>
            <w:tcW w:w="333" w:type="pct"/>
            <w:tcBorders>
              <w:top w:val="nil"/>
              <w:left w:val="nil"/>
              <w:bottom w:val="nil"/>
              <w:right w:val="nil"/>
            </w:tcBorders>
            <w:vAlign w:val="center"/>
            <w:hideMark/>
          </w:tcPr>
          <w:p w14:paraId="4983C0C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41,837</w:t>
            </w:r>
          </w:p>
        </w:tc>
        <w:tc>
          <w:tcPr>
            <w:tcW w:w="333" w:type="pct"/>
            <w:tcBorders>
              <w:top w:val="nil"/>
              <w:left w:val="nil"/>
              <w:bottom w:val="nil"/>
              <w:right w:val="nil"/>
            </w:tcBorders>
            <w:vAlign w:val="center"/>
            <w:hideMark/>
          </w:tcPr>
          <w:p w14:paraId="5E86B4B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43,449</w:t>
            </w:r>
          </w:p>
        </w:tc>
        <w:tc>
          <w:tcPr>
            <w:tcW w:w="333" w:type="pct"/>
            <w:tcBorders>
              <w:top w:val="nil"/>
              <w:left w:val="nil"/>
              <w:bottom w:val="nil"/>
              <w:right w:val="nil"/>
            </w:tcBorders>
            <w:vAlign w:val="center"/>
            <w:hideMark/>
          </w:tcPr>
          <w:p w14:paraId="70CF629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43,879</w:t>
            </w:r>
          </w:p>
        </w:tc>
        <w:tc>
          <w:tcPr>
            <w:tcW w:w="328" w:type="pct"/>
            <w:tcBorders>
              <w:top w:val="nil"/>
              <w:left w:val="nil"/>
              <w:bottom w:val="nil"/>
              <w:right w:val="nil"/>
            </w:tcBorders>
            <w:vAlign w:val="center"/>
            <w:hideMark/>
          </w:tcPr>
          <w:p w14:paraId="5F06F93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44,374</w:t>
            </w:r>
          </w:p>
        </w:tc>
      </w:tr>
      <w:tr w:rsidR="00347DFC" w:rsidRPr="00C96F13" w14:paraId="0A00FCFE" w14:textId="77777777" w:rsidTr="00D2068B">
        <w:trPr>
          <w:trHeight w:val="60"/>
        </w:trPr>
        <w:tc>
          <w:tcPr>
            <w:tcW w:w="1342" w:type="pct"/>
            <w:tcBorders>
              <w:top w:val="nil"/>
              <w:left w:val="nil"/>
              <w:bottom w:val="nil"/>
              <w:right w:val="nil"/>
            </w:tcBorders>
            <w:vAlign w:val="center"/>
            <w:hideMark/>
          </w:tcPr>
          <w:p w14:paraId="2C9CAD07"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 </w:t>
            </w:r>
          </w:p>
        </w:tc>
        <w:tc>
          <w:tcPr>
            <w:tcW w:w="333" w:type="pct"/>
            <w:tcBorders>
              <w:top w:val="nil"/>
              <w:left w:val="nil"/>
              <w:bottom w:val="nil"/>
              <w:right w:val="nil"/>
            </w:tcBorders>
            <w:vAlign w:val="center"/>
            <w:hideMark/>
          </w:tcPr>
          <w:p w14:paraId="11A6A76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41710DA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925CDC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A5547A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4A9C5A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00F78A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0C95276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114F70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C5691C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10225F6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28" w:type="pct"/>
            <w:tcBorders>
              <w:top w:val="nil"/>
              <w:left w:val="nil"/>
              <w:bottom w:val="nil"/>
              <w:right w:val="nil"/>
            </w:tcBorders>
            <w:vAlign w:val="center"/>
            <w:hideMark/>
          </w:tcPr>
          <w:p w14:paraId="11B28E1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r>
      <w:tr w:rsidR="00347DFC" w:rsidRPr="00C96F13" w14:paraId="0F700C70" w14:textId="77777777" w:rsidTr="00D2068B">
        <w:trPr>
          <w:trHeight w:val="270"/>
        </w:trPr>
        <w:tc>
          <w:tcPr>
            <w:tcW w:w="1342" w:type="pct"/>
            <w:tcBorders>
              <w:top w:val="nil"/>
              <w:left w:val="nil"/>
              <w:bottom w:val="nil"/>
              <w:right w:val="nil"/>
            </w:tcBorders>
            <w:vAlign w:val="center"/>
            <w:hideMark/>
          </w:tcPr>
          <w:p w14:paraId="62F65571"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lastRenderedPageBreak/>
              <w:t>Total capital works expenditure</w:t>
            </w:r>
          </w:p>
        </w:tc>
        <w:tc>
          <w:tcPr>
            <w:tcW w:w="333" w:type="pct"/>
            <w:tcBorders>
              <w:top w:val="single" w:sz="4" w:space="0" w:color="auto"/>
              <w:left w:val="nil"/>
              <w:bottom w:val="double" w:sz="6" w:space="0" w:color="auto"/>
              <w:right w:val="nil"/>
            </w:tcBorders>
            <w:vAlign w:val="center"/>
            <w:hideMark/>
          </w:tcPr>
          <w:p w14:paraId="1F38C09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65,246</w:t>
            </w:r>
          </w:p>
        </w:tc>
        <w:tc>
          <w:tcPr>
            <w:tcW w:w="333" w:type="pct"/>
            <w:tcBorders>
              <w:top w:val="single" w:sz="4" w:space="0" w:color="auto"/>
              <w:left w:val="nil"/>
              <w:bottom w:val="double" w:sz="6" w:space="0" w:color="auto"/>
              <w:right w:val="nil"/>
            </w:tcBorders>
            <w:vAlign w:val="center"/>
            <w:hideMark/>
          </w:tcPr>
          <w:p w14:paraId="5F415A5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74,167</w:t>
            </w:r>
          </w:p>
        </w:tc>
        <w:tc>
          <w:tcPr>
            <w:tcW w:w="333" w:type="pct"/>
            <w:tcBorders>
              <w:top w:val="single" w:sz="4" w:space="0" w:color="auto"/>
              <w:left w:val="nil"/>
              <w:bottom w:val="double" w:sz="6" w:space="0" w:color="auto"/>
              <w:right w:val="nil"/>
            </w:tcBorders>
            <w:vAlign w:val="center"/>
            <w:hideMark/>
          </w:tcPr>
          <w:p w14:paraId="693299C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72,290</w:t>
            </w:r>
          </w:p>
        </w:tc>
        <w:tc>
          <w:tcPr>
            <w:tcW w:w="333" w:type="pct"/>
            <w:tcBorders>
              <w:top w:val="single" w:sz="4" w:space="0" w:color="auto"/>
              <w:left w:val="nil"/>
              <w:bottom w:val="double" w:sz="6" w:space="0" w:color="auto"/>
              <w:right w:val="nil"/>
            </w:tcBorders>
            <w:vAlign w:val="center"/>
            <w:hideMark/>
          </w:tcPr>
          <w:p w14:paraId="55419A7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76,369</w:t>
            </w:r>
          </w:p>
        </w:tc>
        <w:tc>
          <w:tcPr>
            <w:tcW w:w="333" w:type="pct"/>
            <w:tcBorders>
              <w:top w:val="single" w:sz="4" w:space="0" w:color="auto"/>
              <w:left w:val="nil"/>
              <w:bottom w:val="double" w:sz="6" w:space="0" w:color="auto"/>
              <w:right w:val="nil"/>
            </w:tcBorders>
            <w:vAlign w:val="center"/>
            <w:hideMark/>
          </w:tcPr>
          <w:p w14:paraId="50D0A6A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77,480</w:t>
            </w:r>
          </w:p>
        </w:tc>
        <w:tc>
          <w:tcPr>
            <w:tcW w:w="333" w:type="pct"/>
            <w:tcBorders>
              <w:top w:val="single" w:sz="4" w:space="0" w:color="auto"/>
              <w:left w:val="nil"/>
              <w:bottom w:val="double" w:sz="6" w:space="0" w:color="auto"/>
              <w:right w:val="nil"/>
            </w:tcBorders>
            <w:vAlign w:val="center"/>
            <w:hideMark/>
          </w:tcPr>
          <w:p w14:paraId="6F95DDB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70,498</w:t>
            </w:r>
          </w:p>
        </w:tc>
        <w:tc>
          <w:tcPr>
            <w:tcW w:w="333" w:type="pct"/>
            <w:tcBorders>
              <w:top w:val="single" w:sz="4" w:space="0" w:color="auto"/>
              <w:left w:val="nil"/>
              <w:bottom w:val="double" w:sz="6" w:space="0" w:color="auto"/>
              <w:right w:val="nil"/>
            </w:tcBorders>
            <w:vAlign w:val="center"/>
            <w:hideMark/>
          </w:tcPr>
          <w:p w14:paraId="63684E4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69,363</w:t>
            </w:r>
          </w:p>
        </w:tc>
        <w:tc>
          <w:tcPr>
            <w:tcW w:w="333" w:type="pct"/>
            <w:tcBorders>
              <w:top w:val="single" w:sz="4" w:space="0" w:color="auto"/>
              <w:left w:val="nil"/>
              <w:bottom w:val="double" w:sz="6" w:space="0" w:color="auto"/>
              <w:right w:val="nil"/>
            </w:tcBorders>
            <w:vAlign w:val="center"/>
            <w:hideMark/>
          </w:tcPr>
          <w:p w14:paraId="339124C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70,327</w:t>
            </w:r>
          </w:p>
        </w:tc>
        <w:tc>
          <w:tcPr>
            <w:tcW w:w="333" w:type="pct"/>
            <w:tcBorders>
              <w:top w:val="single" w:sz="4" w:space="0" w:color="auto"/>
              <w:left w:val="nil"/>
              <w:bottom w:val="double" w:sz="6" w:space="0" w:color="auto"/>
              <w:right w:val="nil"/>
            </w:tcBorders>
            <w:vAlign w:val="center"/>
            <w:hideMark/>
          </w:tcPr>
          <w:p w14:paraId="623DF98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74,909</w:t>
            </w:r>
          </w:p>
        </w:tc>
        <w:tc>
          <w:tcPr>
            <w:tcW w:w="333" w:type="pct"/>
            <w:tcBorders>
              <w:top w:val="single" w:sz="4" w:space="0" w:color="auto"/>
              <w:left w:val="nil"/>
              <w:bottom w:val="double" w:sz="6" w:space="0" w:color="auto"/>
              <w:right w:val="nil"/>
            </w:tcBorders>
            <w:vAlign w:val="center"/>
            <w:hideMark/>
          </w:tcPr>
          <w:p w14:paraId="7E9BAD0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73,469</w:t>
            </w:r>
          </w:p>
        </w:tc>
        <w:tc>
          <w:tcPr>
            <w:tcW w:w="328" w:type="pct"/>
            <w:tcBorders>
              <w:top w:val="single" w:sz="4" w:space="0" w:color="auto"/>
              <w:left w:val="nil"/>
              <w:bottom w:val="double" w:sz="6" w:space="0" w:color="auto"/>
              <w:right w:val="nil"/>
            </w:tcBorders>
            <w:vAlign w:val="center"/>
            <w:hideMark/>
          </w:tcPr>
          <w:p w14:paraId="354ABE3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74,934</w:t>
            </w:r>
          </w:p>
        </w:tc>
      </w:tr>
      <w:tr w:rsidR="00C96F13" w:rsidRPr="00C96F13" w14:paraId="733632F4" w14:textId="77777777" w:rsidTr="00D2068B">
        <w:trPr>
          <w:trHeight w:val="165"/>
        </w:trPr>
        <w:tc>
          <w:tcPr>
            <w:tcW w:w="1342" w:type="pct"/>
            <w:tcBorders>
              <w:top w:val="nil"/>
              <w:left w:val="nil"/>
              <w:bottom w:val="nil"/>
              <w:right w:val="nil"/>
            </w:tcBorders>
            <w:shd w:val="clear" w:color="000000" w:fill="FFFFFF"/>
            <w:vAlign w:val="center"/>
            <w:hideMark/>
          </w:tcPr>
          <w:p w14:paraId="5899F0F7"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24BE0A20"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299731A9"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2858F78A"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781D261F"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114C6DEC"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3C21B78C"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748B5444"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202CAFD0"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6D6182D2"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shd w:val="clear" w:color="000000" w:fill="FFFFFF"/>
            <w:vAlign w:val="center"/>
            <w:hideMark/>
          </w:tcPr>
          <w:p w14:paraId="50E49E56"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28" w:type="pct"/>
            <w:tcBorders>
              <w:top w:val="nil"/>
              <w:left w:val="nil"/>
              <w:bottom w:val="nil"/>
              <w:right w:val="nil"/>
            </w:tcBorders>
            <w:shd w:val="clear" w:color="000000" w:fill="FFFFFF"/>
            <w:vAlign w:val="center"/>
            <w:hideMark/>
          </w:tcPr>
          <w:p w14:paraId="6D9B2062"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r>
      <w:tr w:rsidR="00347DFC" w:rsidRPr="00C96F13" w14:paraId="27293D1B" w14:textId="77777777" w:rsidTr="00D2068B">
        <w:trPr>
          <w:trHeight w:val="260"/>
        </w:trPr>
        <w:tc>
          <w:tcPr>
            <w:tcW w:w="1342" w:type="pct"/>
            <w:tcBorders>
              <w:top w:val="nil"/>
              <w:left w:val="nil"/>
              <w:bottom w:val="nil"/>
              <w:right w:val="nil"/>
            </w:tcBorders>
            <w:vAlign w:val="center"/>
            <w:hideMark/>
          </w:tcPr>
          <w:p w14:paraId="014DB574"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Represented by:</w:t>
            </w:r>
          </w:p>
        </w:tc>
        <w:tc>
          <w:tcPr>
            <w:tcW w:w="333" w:type="pct"/>
            <w:tcBorders>
              <w:top w:val="nil"/>
              <w:left w:val="nil"/>
              <w:bottom w:val="nil"/>
              <w:right w:val="nil"/>
            </w:tcBorders>
            <w:vAlign w:val="center"/>
            <w:hideMark/>
          </w:tcPr>
          <w:p w14:paraId="1D36CB88"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A2AD036"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3782889D"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5BFBADD"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4770833B"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42674B32"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0FBC9210"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03C1B92"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CFA8CE0"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2FB493D"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28" w:type="pct"/>
            <w:tcBorders>
              <w:top w:val="nil"/>
              <w:left w:val="nil"/>
              <w:bottom w:val="nil"/>
              <w:right w:val="nil"/>
            </w:tcBorders>
            <w:vAlign w:val="center"/>
            <w:hideMark/>
          </w:tcPr>
          <w:p w14:paraId="1D35772A"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r>
      <w:tr w:rsidR="00347DFC" w:rsidRPr="00C96F13" w14:paraId="5E4FECAD" w14:textId="77777777" w:rsidTr="00D2068B">
        <w:trPr>
          <w:trHeight w:val="260"/>
        </w:trPr>
        <w:tc>
          <w:tcPr>
            <w:tcW w:w="1342" w:type="pct"/>
            <w:tcBorders>
              <w:top w:val="nil"/>
              <w:left w:val="nil"/>
              <w:bottom w:val="nil"/>
              <w:right w:val="nil"/>
            </w:tcBorders>
            <w:vAlign w:val="center"/>
            <w:hideMark/>
          </w:tcPr>
          <w:p w14:paraId="741A0D25"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New asset expenditure</w:t>
            </w:r>
          </w:p>
        </w:tc>
        <w:tc>
          <w:tcPr>
            <w:tcW w:w="333" w:type="pct"/>
            <w:tcBorders>
              <w:top w:val="nil"/>
              <w:left w:val="nil"/>
              <w:bottom w:val="nil"/>
              <w:right w:val="nil"/>
            </w:tcBorders>
            <w:vAlign w:val="center"/>
            <w:hideMark/>
          </w:tcPr>
          <w:p w14:paraId="26774A9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1,941</w:t>
            </w:r>
          </w:p>
        </w:tc>
        <w:tc>
          <w:tcPr>
            <w:tcW w:w="333" w:type="pct"/>
            <w:tcBorders>
              <w:top w:val="nil"/>
              <w:left w:val="nil"/>
              <w:bottom w:val="nil"/>
              <w:right w:val="nil"/>
            </w:tcBorders>
            <w:vAlign w:val="center"/>
            <w:hideMark/>
          </w:tcPr>
          <w:p w14:paraId="4974558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6,309</w:t>
            </w:r>
          </w:p>
        </w:tc>
        <w:tc>
          <w:tcPr>
            <w:tcW w:w="333" w:type="pct"/>
            <w:tcBorders>
              <w:top w:val="nil"/>
              <w:left w:val="nil"/>
              <w:bottom w:val="nil"/>
              <w:right w:val="nil"/>
            </w:tcBorders>
            <w:vAlign w:val="center"/>
            <w:hideMark/>
          </w:tcPr>
          <w:p w14:paraId="0F02B08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7,050</w:t>
            </w:r>
          </w:p>
        </w:tc>
        <w:tc>
          <w:tcPr>
            <w:tcW w:w="333" w:type="pct"/>
            <w:tcBorders>
              <w:top w:val="nil"/>
              <w:left w:val="nil"/>
              <w:bottom w:val="nil"/>
              <w:right w:val="nil"/>
            </w:tcBorders>
            <w:vAlign w:val="center"/>
            <w:hideMark/>
          </w:tcPr>
          <w:p w14:paraId="753B0E9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12,593</w:t>
            </w:r>
          </w:p>
        </w:tc>
        <w:tc>
          <w:tcPr>
            <w:tcW w:w="333" w:type="pct"/>
            <w:tcBorders>
              <w:top w:val="nil"/>
              <w:left w:val="nil"/>
              <w:bottom w:val="nil"/>
              <w:right w:val="nil"/>
            </w:tcBorders>
            <w:vAlign w:val="center"/>
            <w:hideMark/>
          </w:tcPr>
          <w:p w14:paraId="75ACD2F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11,264</w:t>
            </w:r>
          </w:p>
        </w:tc>
        <w:tc>
          <w:tcPr>
            <w:tcW w:w="333" w:type="pct"/>
            <w:tcBorders>
              <w:top w:val="nil"/>
              <w:left w:val="nil"/>
              <w:bottom w:val="nil"/>
              <w:right w:val="nil"/>
            </w:tcBorders>
            <w:vAlign w:val="center"/>
            <w:hideMark/>
          </w:tcPr>
          <w:p w14:paraId="0226021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9,620</w:t>
            </w:r>
          </w:p>
        </w:tc>
        <w:tc>
          <w:tcPr>
            <w:tcW w:w="333" w:type="pct"/>
            <w:tcBorders>
              <w:top w:val="nil"/>
              <w:left w:val="nil"/>
              <w:bottom w:val="nil"/>
              <w:right w:val="nil"/>
            </w:tcBorders>
            <w:vAlign w:val="center"/>
            <w:hideMark/>
          </w:tcPr>
          <w:p w14:paraId="072B9E7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8,000</w:t>
            </w:r>
          </w:p>
        </w:tc>
        <w:tc>
          <w:tcPr>
            <w:tcW w:w="333" w:type="pct"/>
            <w:tcBorders>
              <w:top w:val="nil"/>
              <w:left w:val="nil"/>
              <w:bottom w:val="nil"/>
              <w:right w:val="nil"/>
            </w:tcBorders>
            <w:vAlign w:val="center"/>
            <w:hideMark/>
          </w:tcPr>
          <w:p w14:paraId="2F6A770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8,620</w:t>
            </w:r>
          </w:p>
        </w:tc>
        <w:tc>
          <w:tcPr>
            <w:tcW w:w="333" w:type="pct"/>
            <w:tcBorders>
              <w:top w:val="nil"/>
              <w:left w:val="nil"/>
              <w:bottom w:val="nil"/>
              <w:right w:val="nil"/>
            </w:tcBorders>
            <w:vAlign w:val="center"/>
            <w:hideMark/>
          </w:tcPr>
          <w:p w14:paraId="2265ECF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8,600</w:t>
            </w:r>
          </w:p>
        </w:tc>
        <w:tc>
          <w:tcPr>
            <w:tcW w:w="333" w:type="pct"/>
            <w:tcBorders>
              <w:top w:val="nil"/>
              <w:left w:val="nil"/>
              <w:bottom w:val="nil"/>
              <w:right w:val="nil"/>
            </w:tcBorders>
            <w:vAlign w:val="center"/>
            <w:hideMark/>
          </w:tcPr>
          <w:p w14:paraId="3B4022E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9,620</w:t>
            </w:r>
          </w:p>
        </w:tc>
        <w:tc>
          <w:tcPr>
            <w:tcW w:w="328" w:type="pct"/>
            <w:tcBorders>
              <w:top w:val="nil"/>
              <w:left w:val="nil"/>
              <w:bottom w:val="nil"/>
              <w:right w:val="nil"/>
            </w:tcBorders>
            <w:vAlign w:val="center"/>
            <w:hideMark/>
          </w:tcPr>
          <w:p w14:paraId="2688848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9,700</w:t>
            </w:r>
          </w:p>
        </w:tc>
      </w:tr>
      <w:tr w:rsidR="00347DFC" w:rsidRPr="00C96F13" w14:paraId="2FC16D1D" w14:textId="77777777" w:rsidTr="00D2068B">
        <w:trPr>
          <w:trHeight w:val="260"/>
        </w:trPr>
        <w:tc>
          <w:tcPr>
            <w:tcW w:w="1342" w:type="pct"/>
            <w:tcBorders>
              <w:top w:val="nil"/>
              <w:left w:val="nil"/>
              <w:bottom w:val="nil"/>
              <w:right w:val="nil"/>
            </w:tcBorders>
            <w:vAlign w:val="center"/>
            <w:hideMark/>
          </w:tcPr>
          <w:p w14:paraId="3B37A24F"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Asset renewal expenditure</w:t>
            </w:r>
          </w:p>
        </w:tc>
        <w:tc>
          <w:tcPr>
            <w:tcW w:w="333" w:type="pct"/>
            <w:tcBorders>
              <w:top w:val="nil"/>
              <w:left w:val="nil"/>
              <w:bottom w:val="nil"/>
              <w:right w:val="nil"/>
            </w:tcBorders>
            <w:vAlign w:val="center"/>
            <w:hideMark/>
          </w:tcPr>
          <w:p w14:paraId="605A750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20,250</w:t>
            </w:r>
          </w:p>
        </w:tc>
        <w:tc>
          <w:tcPr>
            <w:tcW w:w="333" w:type="pct"/>
            <w:tcBorders>
              <w:top w:val="nil"/>
              <w:left w:val="nil"/>
              <w:bottom w:val="nil"/>
              <w:right w:val="nil"/>
            </w:tcBorders>
            <w:vAlign w:val="center"/>
            <w:hideMark/>
          </w:tcPr>
          <w:p w14:paraId="0948A6E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23,244</w:t>
            </w:r>
          </w:p>
        </w:tc>
        <w:tc>
          <w:tcPr>
            <w:tcW w:w="333" w:type="pct"/>
            <w:tcBorders>
              <w:top w:val="nil"/>
              <w:left w:val="nil"/>
              <w:bottom w:val="nil"/>
              <w:right w:val="nil"/>
            </w:tcBorders>
            <w:vAlign w:val="center"/>
            <w:hideMark/>
          </w:tcPr>
          <w:p w14:paraId="43387E9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27,284</w:t>
            </w:r>
          </w:p>
        </w:tc>
        <w:tc>
          <w:tcPr>
            <w:tcW w:w="333" w:type="pct"/>
            <w:tcBorders>
              <w:top w:val="nil"/>
              <w:left w:val="nil"/>
              <w:bottom w:val="nil"/>
              <w:right w:val="nil"/>
            </w:tcBorders>
            <w:vAlign w:val="center"/>
            <w:hideMark/>
          </w:tcPr>
          <w:p w14:paraId="695DD61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29,743</w:t>
            </w:r>
          </w:p>
        </w:tc>
        <w:tc>
          <w:tcPr>
            <w:tcW w:w="333" w:type="pct"/>
            <w:tcBorders>
              <w:top w:val="nil"/>
              <w:left w:val="nil"/>
              <w:bottom w:val="nil"/>
              <w:right w:val="nil"/>
            </w:tcBorders>
            <w:vAlign w:val="center"/>
            <w:hideMark/>
          </w:tcPr>
          <w:p w14:paraId="4FEB7C7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24,698</w:t>
            </w:r>
          </w:p>
        </w:tc>
        <w:tc>
          <w:tcPr>
            <w:tcW w:w="333" w:type="pct"/>
            <w:tcBorders>
              <w:top w:val="nil"/>
              <w:left w:val="nil"/>
              <w:bottom w:val="nil"/>
              <w:right w:val="nil"/>
            </w:tcBorders>
            <w:vAlign w:val="center"/>
            <w:hideMark/>
          </w:tcPr>
          <w:p w14:paraId="18128C9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28,288</w:t>
            </w:r>
          </w:p>
        </w:tc>
        <w:tc>
          <w:tcPr>
            <w:tcW w:w="333" w:type="pct"/>
            <w:tcBorders>
              <w:top w:val="nil"/>
              <w:left w:val="nil"/>
              <w:bottom w:val="nil"/>
              <w:right w:val="nil"/>
            </w:tcBorders>
            <w:vAlign w:val="center"/>
            <w:hideMark/>
          </w:tcPr>
          <w:p w14:paraId="1AA9436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28,573</w:t>
            </w:r>
          </w:p>
        </w:tc>
        <w:tc>
          <w:tcPr>
            <w:tcW w:w="333" w:type="pct"/>
            <w:tcBorders>
              <w:top w:val="nil"/>
              <w:left w:val="nil"/>
              <w:bottom w:val="nil"/>
              <w:right w:val="nil"/>
            </w:tcBorders>
            <w:vAlign w:val="center"/>
            <w:hideMark/>
          </w:tcPr>
          <w:p w14:paraId="6A8B43C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29,317</w:t>
            </w:r>
          </w:p>
        </w:tc>
        <w:tc>
          <w:tcPr>
            <w:tcW w:w="333" w:type="pct"/>
            <w:tcBorders>
              <w:top w:val="nil"/>
              <w:left w:val="nil"/>
              <w:bottom w:val="nil"/>
              <w:right w:val="nil"/>
            </w:tcBorders>
            <w:vAlign w:val="center"/>
            <w:hideMark/>
          </w:tcPr>
          <w:p w14:paraId="7BB4B53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31,619</w:t>
            </w:r>
          </w:p>
        </w:tc>
        <w:tc>
          <w:tcPr>
            <w:tcW w:w="333" w:type="pct"/>
            <w:tcBorders>
              <w:top w:val="nil"/>
              <w:left w:val="nil"/>
              <w:bottom w:val="nil"/>
              <w:right w:val="nil"/>
            </w:tcBorders>
            <w:vAlign w:val="center"/>
            <w:hideMark/>
          </w:tcPr>
          <w:p w14:paraId="5E99AD9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31,459</w:t>
            </w:r>
          </w:p>
        </w:tc>
        <w:tc>
          <w:tcPr>
            <w:tcW w:w="328" w:type="pct"/>
            <w:tcBorders>
              <w:top w:val="nil"/>
              <w:left w:val="nil"/>
              <w:bottom w:val="nil"/>
              <w:right w:val="nil"/>
            </w:tcBorders>
            <w:vAlign w:val="center"/>
            <w:hideMark/>
          </w:tcPr>
          <w:p w14:paraId="48A652C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32,244</w:t>
            </w:r>
          </w:p>
        </w:tc>
      </w:tr>
      <w:tr w:rsidR="00347DFC" w:rsidRPr="00C96F13" w14:paraId="1E3F555B" w14:textId="77777777" w:rsidTr="00D2068B">
        <w:trPr>
          <w:trHeight w:val="260"/>
        </w:trPr>
        <w:tc>
          <w:tcPr>
            <w:tcW w:w="1342" w:type="pct"/>
            <w:tcBorders>
              <w:top w:val="nil"/>
              <w:left w:val="nil"/>
              <w:bottom w:val="nil"/>
              <w:right w:val="nil"/>
            </w:tcBorders>
            <w:vAlign w:val="center"/>
            <w:hideMark/>
          </w:tcPr>
          <w:p w14:paraId="2A83B173"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Asset expansion expenditure</w:t>
            </w:r>
          </w:p>
        </w:tc>
        <w:tc>
          <w:tcPr>
            <w:tcW w:w="333" w:type="pct"/>
            <w:tcBorders>
              <w:top w:val="nil"/>
              <w:left w:val="nil"/>
              <w:bottom w:val="nil"/>
              <w:right w:val="nil"/>
            </w:tcBorders>
            <w:vAlign w:val="center"/>
            <w:hideMark/>
          </w:tcPr>
          <w:p w14:paraId="193B604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24,847</w:t>
            </w:r>
          </w:p>
        </w:tc>
        <w:tc>
          <w:tcPr>
            <w:tcW w:w="333" w:type="pct"/>
            <w:tcBorders>
              <w:top w:val="nil"/>
              <w:left w:val="nil"/>
              <w:bottom w:val="nil"/>
              <w:right w:val="nil"/>
            </w:tcBorders>
            <w:vAlign w:val="center"/>
            <w:hideMark/>
          </w:tcPr>
          <w:p w14:paraId="15E9FD1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12,301</w:t>
            </w:r>
          </w:p>
        </w:tc>
        <w:tc>
          <w:tcPr>
            <w:tcW w:w="333" w:type="pct"/>
            <w:tcBorders>
              <w:top w:val="nil"/>
              <w:left w:val="nil"/>
              <w:bottom w:val="nil"/>
              <w:right w:val="nil"/>
            </w:tcBorders>
            <w:vAlign w:val="center"/>
            <w:hideMark/>
          </w:tcPr>
          <w:p w14:paraId="4C9ECE5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12,272</w:t>
            </w:r>
          </w:p>
        </w:tc>
        <w:tc>
          <w:tcPr>
            <w:tcW w:w="333" w:type="pct"/>
            <w:tcBorders>
              <w:top w:val="nil"/>
              <w:left w:val="nil"/>
              <w:bottom w:val="nil"/>
              <w:right w:val="nil"/>
            </w:tcBorders>
            <w:vAlign w:val="center"/>
            <w:hideMark/>
          </w:tcPr>
          <w:p w14:paraId="035DE26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15,928</w:t>
            </w:r>
          </w:p>
        </w:tc>
        <w:tc>
          <w:tcPr>
            <w:tcW w:w="333" w:type="pct"/>
            <w:tcBorders>
              <w:top w:val="nil"/>
              <w:left w:val="nil"/>
              <w:bottom w:val="nil"/>
              <w:right w:val="nil"/>
            </w:tcBorders>
            <w:vAlign w:val="center"/>
            <w:hideMark/>
          </w:tcPr>
          <w:p w14:paraId="43C34F4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12,200</w:t>
            </w:r>
          </w:p>
        </w:tc>
        <w:tc>
          <w:tcPr>
            <w:tcW w:w="333" w:type="pct"/>
            <w:tcBorders>
              <w:top w:val="nil"/>
              <w:left w:val="nil"/>
              <w:bottom w:val="nil"/>
              <w:right w:val="nil"/>
            </w:tcBorders>
            <w:vAlign w:val="center"/>
            <w:hideMark/>
          </w:tcPr>
          <w:p w14:paraId="36C42F2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12,400</w:t>
            </w:r>
          </w:p>
        </w:tc>
        <w:tc>
          <w:tcPr>
            <w:tcW w:w="333" w:type="pct"/>
            <w:tcBorders>
              <w:top w:val="nil"/>
              <w:left w:val="nil"/>
              <w:bottom w:val="nil"/>
              <w:right w:val="nil"/>
            </w:tcBorders>
            <w:vAlign w:val="center"/>
            <w:hideMark/>
          </w:tcPr>
          <w:p w14:paraId="1F52C4E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12,200</w:t>
            </w:r>
          </w:p>
        </w:tc>
        <w:tc>
          <w:tcPr>
            <w:tcW w:w="333" w:type="pct"/>
            <w:tcBorders>
              <w:top w:val="nil"/>
              <w:left w:val="nil"/>
              <w:bottom w:val="nil"/>
              <w:right w:val="nil"/>
            </w:tcBorders>
            <w:vAlign w:val="center"/>
            <w:hideMark/>
          </w:tcPr>
          <w:p w14:paraId="455815C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12,200</w:t>
            </w:r>
          </w:p>
        </w:tc>
        <w:tc>
          <w:tcPr>
            <w:tcW w:w="333" w:type="pct"/>
            <w:tcBorders>
              <w:top w:val="nil"/>
              <w:left w:val="nil"/>
              <w:bottom w:val="nil"/>
              <w:right w:val="nil"/>
            </w:tcBorders>
            <w:vAlign w:val="center"/>
            <w:hideMark/>
          </w:tcPr>
          <w:p w14:paraId="5F47460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14,100</w:t>
            </w:r>
          </w:p>
        </w:tc>
        <w:tc>
          <w:tcPr>
            <w:tcW w:w="333" w:type="pct"/>
            <w:tcBorders>
              <w:top w:val="nil"/>
              <w:left w:val="nil"/>
              <w:bottom w:val="nil"/>
              <w:right w:val="nil"/>
            </w:tcBorders>
            <w:vAlign w:val="center"/>
            <w:hideMark/>
          </w:tcPr>
          <w:p w14:paraId="4C57891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12,200</w:t>
            </w:r>
          </w:p>
        </w:tc>
        <w:tc>
          <w:tcPr>
            <w:tcW w:w="328" w:type="pct"/>
            <w:tcBorders>
              <w:top w:val="nil"/>
              <w:left w:val="nil"/>
              <w:bottom w:val="nil"/>
              <w:right w:val="nil"/>
            </w:tcBorders>
            <w:vAlign w:val="center"/>
            <w:hideMark/>
          </w:tcPr>
          <w:p w14:paraId="5532F07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12,400</w:t>
            </w:r>
          </w:p>
        </w:tc>
      </w:tr>
      <w:tr w:rsidR="00347DFC" w:rsidRPr="00C96F13" w14:paraId="28E92C48" w14:textId="77777777" w:rsidTr="00D2068B">
        <w:trPr>
          <w:trHeight w:val="260"/>
        </w:trPr>
        <w:tc>
          <w:tcPr>
            <w:tcW w:w="1342" w:type="pct"/>
            <w:tcBorders>
              <w:top w:val="nil"/>
              <w:left w:val="nil"/>
              <w:bottom w:val="nil"/>
              <w:right w:val="nil"/>
            </w:tcBorders>
            <w:vAlign w:val="center"/>
            <w:hideMark/>
          </w:tcPr>
          <w:p w14:paraId="7EBA34E9"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Asset upgrade expenditure</w:t>
            </w:r>
          </w:p>
        </w:tc>
        <w:tc>
          <w:tcPr>
            <w:tcW w:w="333" w:type="pct"/>
            <w:tcBorders>
              <w:top w:val="nil"/>
              <w:left w:val="nil"/>
              <w:bottom w:val="nil"/>
              <w:right w:val="nil"/>
            </w:tcBorders>
            <w:vAlign w:val="center"/>
            <w:hideMark/>
          </w:tcPr>
          <w:p w14:paraId="488CB8F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18,208</w:t>
            </w:r>
          </w:p>
        </w:tc>
        <w:tc>
          <w:tcPr>
            <w:tcW w:w="333" w:type="pct"/>
            <w:tcBorders>
              <w:top w:val="nil"/>
              <w:left w:val="nil"/>
              <w:bottom w:val="nil"/>
              <w:right w:val="nil"/>
            </w:tcBorders>
            <w:vAlign w:val="center"/>
            <w:hideMark/>
          </w:tcPr>
          <w:p w14:paraId="59A0D25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32,313</w:t>
            </w:r>
          </w:p>
        </w:tc>
        <w:tc>
          <w:tcPr>
            <w:tcW w:w="333" w:type="pct"/>
            <w:tcBorders>
              <w:top w:val="nil"/>
              <w:left w:val="nil"/>
              <w:bottom w:val="nil"/>
              <w:right w:val="nil"/>
            </w:tcBorders>
            <w:vAlign w:val="center"/>
            <w:hideMark/>
          </w:tcPr>
          <w:p w14:paraId="09B2420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25,685</w:t>
            </w:r>
          </w:p>
        </w:tc>
        <w:tc>
          <w:tcPr>
            <w:tcW w:w="333" w:type="pct"/>
            <w:tcBorders>
              <w:top w:val="nil"/>
              <w:left w:val="nil"/>
              <w:bottom w:val="nil"/>
              <w:right w:val="nil"/>
            </w:tcBorders>
            <w:vAlign w:val="center"/>
            <w:hideMark/>
          </w:tcPr>
          <w:p w14:paraId="169CBC86"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18,105</w:t>
            </w:r>
          </w:p>
        </w:tc>
        <w:tc>
          <w:tcPr>
            <w:tcW w:w="333" w:type="pct"/>
            <w:tcBorders>
              <w:top w:val="nil"/>
              <w:left w:val="nil"/>
              <w:bottom w:val="nil"/>
              <w:right w:val="nil"/>
            </w:tcBorders>
            <w:vAlign w:val="center"/>
            <w:hideMark/>
          </w:tcPr>
          <w:p w14:paraId="15F9255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29,318</w:t>
            </w:r>
          </w:p>
        </w:tc>
        <w:tc>
          <w:tcPr>
            <w:tcW w:w="333" w:type="pct"/>
            <w:tcBorders>
              <w:top w:val="nil"/>
              <w:left w:val="nil"/>
              <w:bottom w:val="nil"/>
              <w:right w:val="nil"/>
            </w:tcBorders>
            <w:vAlign w:val="center"/>
            <w:hideMark/>
          </w:tcPr>
          <w:p w14:paraId="1219569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20,190</w:t>
            </w:r>
          </w:p>
        </w:tc>
        <w:tc>
          <w:tcPr>
            <w:tcW w:w="333" w:type="pct"/>
            <w:tcBorders>
              <w:top w:val="nil"/>
              <w:left w:val="nil"/>
              <w:bottom w:val="nil"/>
              <w:right w:val="nil"/>
            </w:tcBorders>
            <w:vAlign w:val="center"/>
            <w:hideMark/>
          </w:tcPr>
          <w:p w14:paraId="711BA13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20,590</w:t>
            </w:r>
          </w:p>
        </w:tc>
        <w:tc>
          <w:tcPr>
            <w:tcW w:w="333" w:type="pct"/>
            <w:tcBorders>
              <w:top w:val="nil"/>
              <w:left w:val="nil"/>
              <w:bottom w:val="nil"/>
              <w:right w:val="nil"/>
            </w:tcBorders>
            <w:vAlign w:val="center"/>
            <w:hideMark/>
          </w:tcPr>
          <w:p w14:paraId="4C059ED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20,190</w:t>
            </w:r>
          </w:p>
        </w:tc>
        <w:tc>
          <w:tcPr>
            <w:tcW w:w="333" w:type="pct"/>
            <w:tcBorders>
              <w:top w:val="nil"/>
              <w:left w:val="nil"/>
              <w:bottom w:val="nil"/>
              <w:right w:val="nil"/>
            </w:tcBorders>
            <w:vAlign w:val="center"/>
            <w:hideMark/>
          </w:tcPr>
          <w:p w14:paraId="0EAA82E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20,590</w:t>
            </w:r>
          </w:p>
        </w:tc>
        <w:tc>
          <w:tcPr>
            <w:tcW w:w="333" w:type="pct"/>
            <w:tcBorders>
              <w:top w:val="nil"/>
              <w:left w:val="nil"/>
              <w:bottom w:val="nil"/>
              <w:right w:val="nil"/>
            </w:tcBorders>
            <w:vAlign w:val="center"/>
            <w:hideMark/>
          </w:tcPr>
          <w:p w14:paraId="3E6DB77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20,190</w:t>
            </w:r>
          </w:p>
        </w:tc>
        <w:tc>
          <w:tcPr>
            <w:tcW w:w="328" w:type="pct"/>
            <w:tcBorders>
              <w:top w:val="nil"/>
              <w:left w:val="nil"/>
              <w:bottom w:val="nil"/>
              <w:right w:val="nil"/>
            </w:tcBorders>
            <w:vAlign w:val="center"/>
            <w:hideMark/>
          </w:tcPr>
          <w:p w14:paraId="1224CD6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20,590</w:t>
            </w:r>
          </w:p>
        </w:tc>
      </w:tr>
      <w:tr w:rsidR="00347DFC" w:rsidRPr="00C96F13" w14:paraId="6B71EAEB" w14:textId="77777777" w:rsidTr="00D2068B">
        <w:trPr>
          <w:trHeight w:val="270"/>
        </w:trPr>
        <w:tc>
          <w:tcPr>
            <w:tcW w:w="1342" w:type="pct"/>
            <w:tcBorders>
              <w:top w:val="nil"/>
              <w:left w:val="nil"/>
              <w:bottom w:val="nil"/>
              <w:right w:val="nil"/>
            </w:tcBorders>
            <w:vAlign w:val="center"/>
            <w:hideMark/>
          </w:tcPr>
          <w:p w14:paraId="145498A8"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Total capital works expenditure</w:t>
            </w:r>
          </w:p>
        </w:tc>
        <w:tc>
          <w:tcPr>
            <w:tcW w:w="333" w:type="pct"/>
            <w:tcBorders>
              <w:top w:val="single" w:sz="4" w:space="0" w:color="auto"/>
              <w:left w:val="nil"/>
              <w:bottom w:val="double" w:sz="6" w:space="0" w:color="auto"/>
              <w:right w:val="nil"/>
            </w:tcBorders>
            <w:vAlign w:val="center"/>
            <w:hideMark/>
          </w:tcPr>
          <w:p w14:paraId="0C7117F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65,246</w:t>
            </w:r>
          </w:p>
        </w:tc>
        <w:tc>
          <w:tcPr>
            <w:tcW w:w="333" w:type="pct"/>
            <w:tcBorders>
              <w:top w:val="single" w:sz="4" w:space="0" w:color="auto"/>
              <w:left w:val="nil"/>
              <w:bottom w:val="double" w:sz="6" w:space="0" w:color="auto"/>
              <w:right w:val="nil"/>
            </w:tcBorders>
            <w:vAlign w:val="center"/>
            <w:hideMark/>
          </w:tcPr>
          <w:p w14:paraId="69B1E5C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74,167</w:t>
            </w:r>
          </w:p>
        </w:tc>
        <w:tc>
          <w:tcPr>
            <w:tcW w:w="333" w:type="pct"/>
            <w:tcBorders>
              <w:top w:val="single" w:sz="4" w:space="0" w:color="auto"/>
              <w:left w:val="nil"/>
              <w:bottom w:val="double" w:sz="6" w:space="0" w:color="auto"/>
              <w:right w:val="nil"/>
            </w:tcBorders>
            <w:vAlign w:val="center"/>
            <w:hideMark/>
          </w:tcPr>
          <w:p w14:paraId="68C9DFB5"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72,290</w:t>
            </w:r>
          </w:p>
        </w:tc>
        <w:tc>
          <w:tcPr>
            <w:tcW w:w="333" w:type="pct"/>
            <w:tcBorders>
              <w:top w:val="single" w:sz="4" w:space="0" w:color="auto"/>
              <w:left w:val="nil"/>
              <w:bottom w:val="double" w:sz="6" w:space="0" w:color="auto"/>
              <w:right w:val="nil"/>
            </w:tcBorders>
            <w:vAlign w:val="center"/>
            <w:hideMark/>
          </w:tcPr>
          <w:p w14:paraId="239814B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76,369</w:t>
            </w:r>
          </w:p>
        </w:tc>
        <w:tc>
          <w:tcPr>
            <w:tcW w:w="333" w:type="pct"/>
            <w:tcBorders>
              <w:top w:val="single" w:sz="4" w:space="0" w:color="auto"/>
              <w:left w:val="nil"/>
              <w:bottom w:val="double" w:sz="6" w:space="0" w:color="auto"/>
              <w:right w:val="nil"/>
            </w:tcBorders>
            <w:vAlign w:val="center"/>
            <w:hideMark/>
          </w:tcPr>
          <w:p w14:paraId="1C5FBB4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77,480</w:t>
            </w:r>
          </w:p>
        </w:tc>
        <w:tc>
          <w:tcPr>
            <w:tcW w:w="333" w:type="pct"/>
            <w:tcBorders>
              <w:top w:val="single" w:sz="4" w:space="0" w:color="auto"/>
              <w:left w:val="nil"/>
              <w:bottom w:val="double" w:sz="6" w:space="0" w:color="auto"/>
              <w:right w:val="nil"/>
            </w:tcBorders>
            <w:vAlign w:val="center"/>
            <w:hideMark/>
          </w:tcPr>
          <w:p w14:paraId="1F9F490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70,498</w:t>
            </w:r>
          </w:p>
        </w:tc>
        <w:tc>
          <w:tcPr>
            <w:tcW w:w="333" w:type="pct"/>
            <w:tcBorders>
              <w:top w:val="single" w:sz="4" w:space="0" w:color="auto"/>
              <w:left w:val="nil"/>
              <w:bottom w:val="double" w:sz="6" w:space="0" w:color="auto"/>
              <w:right w:val="nil"/>
            </w:tcBorders>
            <w:vAlign w:val="center"/>
            <w:hideMark/>
          </w:tcPr>
          <w:p w14:paraId="3CC0CBD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69,363</w:t>
            </w:r>
          </w:p>
        </w:tc>
        <w:tc>
          <w:tcPr>
            <w:tcW w:w="333" w:type="pct"/>
            <w:tcBorders>
              <w:top w:val="single" w:sz="4" w:space="0" w:color="auto"/>
              <w:left w:val="nil"/>
              <w:bottom w:val="double" w:sz="6" w:space="0" w:color="auto"/>
              <w:right w:val="nil"/>
            </w:tcBorders>
            <w:vAlign w:val="center"/>
            <w:hideMark/>
          </w:tcPr>
          <w:p w14:paraId="4B59939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70,327</w:t>
            </w:r>
          </w:p>
        </w:tc>
        <w:tc>
          <w:tcPr>
            <w:tcW w:w="333" w:type="pct"/>
            <w:tcBorders>
              <w:top w:val="single" w:sz="4" w:space="0" w:color="auto"/>
              <w:left w:val="nil"/>
              <w:bottom w:val="double" w:sz="6" w:space="0" w:color="auto"/>
              <w:right w:val="nil"/>
            </w:tcBorders>
            <w:vAlign w:val="center"/>
            <w:hideMark/>
          </w:tcPr>
          <w:p w14:paraId="4680959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74,909</w:t>
            </w:r>
          </w:p>
        </w:tc>
        <w:tc>
          <w:tcPr>
            <w:tcW w:w="333" w:type="pct"/>
            <w:tcBorders>
              <w:top w:val="single" w:sz="4" w:space="0" w:color="auto"/>
              <w:left w:val="nil"/>
              <w:bottom w:val="double" w:sz="6" w:space="0" w:color="auto"/>
              <w:right w:val="nil"/>
            </w:tcBorders>
            <w:vAlign w:val="center"/>
            <w:hideMark/>
          </w:tcPr>
          <w:p w14:paraId="4DF7E4D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73,469</w:t>
            </w:r>
          </w:p>
        </w:tc>
        <w:tc>
          <w:tcPr>
            <w:tcW w:w="328" w:type="pct"/>
            <w:tcBorders>
              <w:top w:val="single" w:sz="4" w:space="0" w:color="auto"/>
              <w:left w:val="nil"/>
              <w:bottom w:val="double" w:sz="6" w:space="0" w:color="auto"/>
              <w:right w:val="nil"/>
            </w:tcBorders>
            <w:vAlign w:val="center"/>
            <w:hideMark/>
          </w:tcPr>
          <w:p w14:paraId="3A124F1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74,934</w:t>
            </w:r>
          </w:p>
        </w:tc>
      </w:tr>
      <w:tr w:rsidR="00347DFC" w:rsidRPr="00C96F13" w14:paraId="70B1D7D4" w14:textId="77777777" w:rsidTr="00D2068B">
        <w:trPr>
          <w:trHeight w:val="270"/>
        </w:trPr>
        <w:tc>
          <w:tcPr>
            <w:tcW w:w="1342" w:type="pct"/>
            <w:tcBorders>
              <w:top w:val="nil"/>
              <w:left w:val="nil"/>
              <w:bottom w:val="nil"/>
              <w:right w:val="nil"/>
            </w:tcBorders>
            <w:noWrap/>
            <w:hideMark/>
          </w:tcPr>
          <w:p w14:paraId="0C4E1BFB" w14:textId="77777777" w:rsidR="00C96F13" w:rsidRPr="00C96F13" w:rsidRDefault="00C96F13" w:rsidP="00C96F13">
            <w:pPr>
              <w:spacing w:before="0" w:after="0"/>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B942129"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6CC8E57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218736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F0F2608"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332D9F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00E1E45B"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5022CEE"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6F82974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FF35F7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36A2CAED"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28" w:type="pct"/>
            <w:tcBorders>
              <w:top w:val="nil"/>
              <w:left w:val="nil"/>
              <w:bottom w:val="nil"/>
              <w:right w:val="nil"/>
            </w:tcBorders>
            <w:vAlign w:val="center"/>
            <w:hideMark/>
          </w:tcPr>
          <w:p w14:paraId="1E4FA677"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r>
      <w:tr w:rsidR="00347DFC" w:rsidRPr="00C96F13" w14:paraId="497C58A9" w14:textId="77777777" w:rsidTr="00D2068B">
        <w:trPr>
          <w:trHeight w:val="260"/>
        </w:trPr>
        <w:tc>
          <w:tcPr>
            <w:tcW w:w="1342" w:type="pct"/>
            <w:tcBorders>
              <w:top w:val="nil"/>
              <w:left w:val="nil"/>
              <w:bottom w:val="nil"/>
              <w:right w:val="nil"/>
            </w:tcBorders>
            <w:vAlign w:val="bottom"/>
            <w:hideMark/>
          </w:tcPr>
          <w:p w14:paraId="71B1CD7C" w14:textId="77777777" w:rsidR="00C96F13" w:rsidRPr="00C96F13" w:rsidRDefault="00C96F13" w:rsidP="00C96F13">
            <w:pPr>
              <w:spacing w:before="0" w:after="0"/>
              <w:rPr>
                <w:rFonts w:ascii="Arial" w:hAnsi="Arial" w:cs="Arial"/>
                <w:b/>
                <w:bCs/>
                <w:sz w:val="16"/>
                <w:szCs w:val="16"/>
              </w:rPr>
            </w:pPr>
            <w:r w:rsidRPr="00C96F13">
              <w:rPr>
                <w:rFonts w:ascii="Arial" w:hAnsi="Arial" w:cs="Arial"/>
                <w:b/>
                <w:bCs/>
                <w:sz w:val="16"/>
                <w:szCs w:val="16"/>
              </w:rPr>
              <w:t>Funding sources represented by:</w:t>
            </w:r>
          </w:p>
        </w:tc>
        <w:tc>
          <w:tcPr>
            <w:tcW w:w="333" w:type="pct"/>
            <w:tcBorders>
              <w:top w:val="nil"/>
              <w:left w:val="nil"/>
              <w:bottom w:val="nil"/>
              <w:right w:val="nil"/>
            </w:tcBorders>
            <w:vAlign w:val="center"/>
            <w:hideMark/>
          </w:tcPr>
          <w:p w14:paraId="4D24F66C"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1E0E682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29BD53C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5F434C42"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33D179D0"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063AE161"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1BE4FE4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3AFC0B44"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248F3E3"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33" w:type="pct"/>
            <w:tcBorders>
              <w:top w:val="nil"/>
              <w:left w:val="nil"/>
              <w:bottom w:val="nil"/>
              <w:right w:val="nil"/>
            </w:tcBorders>
            <w:vAlign w:val="center"/>
            <w:hideMark/>
          </w:tcPr>
          <w:p w14:paraId="73C1308A"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c>
          <w:tcPr>
            <w:tcW w:w="328" w:type="pct"/>
            <w:tcBorders>
              <w:top w:val="nil"/>
              <w:left w:val="nil"/>
              <w:bottom w:val="nil"/>
              <w:right w:val="nil"/>
            </w:tcBorders>
            <w:vAlign w:val="center"/>
            <w:hideMark/>
          </w:tcPr>
          <w:p w14:paraId="55701FAF" w14:textId="77777777" w:rsidR="00C96F13" w:rsidRPr="00C96F13" w:rsidRDefault="00C96F13" w:rsidP="00C96F13">
            <w:pPr>
              <w:spacing w:before="0" w:after="0"/>
              <w:jc w:val="right"/>
              <w:rPr>
                <w:rFonts w:ascii="Arial" w:hAnsi="Arial" w:cs="Arial"/>
                <w:sz w:val="16"/>
                <w:szCs w:val="16"/>
              </w:rPr>
            </w:pPr>
            <w:r w:rsidRPr="00C96F13">
              <w:rPr>
                <w:rFonts w:ascii="Arial" w:hAnsi="Arial" w:cs="Arial"/>
                <w:sz w:val="16"/>
                <w:szCs w:val="16"/>
              </w:rPr>
              <w:t> </w:t>
            </w:r>
          </w:p>
        </w:tc>
      </w:tr>
      <w:tr w:rsidR="00D2068B" w:rsidRPr="00C96F13" w14:paraId="14C2A603" w14:textId="77777777" w:rsidTr="00D2068B">
        <w:trPr>
          <w:trHeight w:val="260"/>
        </w:trPr>
        <w:tc>
          <w:tcPr>
            <w:tcW w:w="1342" w:type="pct"/>
            <w:tcBorders>
              <w:top w:val="nil"/>
              <w:left w:val="nil"/>
              <w:bottom w:val="nil"/>
              <w:right w:val="nil"/>
            </w:tcBorders>
            <w:vAlign w:val="center"/>
            <w:hideMark/>
          </w:tcPr>
          <w:p w14:paraId="42622E4D" w14:textId="77777777" w:rsidR="00D2068B" w:rsidRPr="00C96F13" w:rsidRDefault="00D2068B" w:rsidP="00D2068B">
            <w:pPr>
              <w:spacing w:before="0" w:after="0"/>
              <w:rPr>
                <w:rFonts w:ascii="Arial" w:hAnsi="Arial" w:cs="Arial"/>
                <w:sz w:val="16"/>
                <w:szCs w:val="16"/>
              </w:rPr>
            </w:pPr>
            <w:r w:rsidRPr="00C96F13">
              <w:rPr>
                <w:rFonts w:ascii="Arial" w:hAnsi="Arial" w:cs="Arial"/>
                <w:sz w:val="16"/>
                <w:szCs w:val="16"/>
              </w:rPr>
              <w:t>Grants</w:t>
            </w:r>
          </w:p>
        </w:tc>
        <w:tc>
          <w:tcPr>
            <w:tcW w:w="333" w:type="pct"/>
            <w:tcBorders>
              <w:top w:val="nil"/>
              <w:left w:val="nil"/>
              <w:bottom w:val="nil"/>
              <w:right w:val="nil"/>
            </w:tcBorders>
            <w:vAlign w:val="center"/>
            <w:hideMark/>
          </w:tcPr>
          <w:p w14:paraId="4B9710D2" w14:textId="6C82CF83" w:rsidR="00D2068B" w:rsidRPr="00C96F13" w:rsidRDefault="00D2068B" w:rsidP="00D2068B">
            <w:pPr>
              <w:spacing w:before="0" w:after="0"/>
              <w:jc w:val="right"/>
              <w:rPr>
                <w:rFonts w:ascii="Arial" w:hAnsi="Arial" w:cs="Arial"/>
                <w:sz w:val="16"/>
                <w:szCs w:val="16"/>
              </w:rPr>
            </w:pPr>
            <w:r>
              <w:rPr>
                <w:rFonts w:ascii="Arial" w:hAnsi="Arial" w:cs="Arial"/>
                <w:sz w:val="16"/>
                <w:szCs w:val="16"/>
              </w:rPr>
              <w:t>22,138</w:t>
            </w:r>
          </w:p>
        </w:tc>
        <w:tc>
          <w:tcPr>
            <w:tcW w:w="333" w:type="pct"/>
            <w:tcBorders>
              <w:top w:val="nil"/>
              <w:left w:val="nil"/>
              <w:bottom w:val="nil"/>
              <w:right w:val="nil"/>
            </w:tcBorders>
            <w:vAlign w:val="center"/>
            <w:hideMark/>
          </w:tcPr>
          <w:p w14:paraId="7D6D21C0"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34,141</w:t>
            </w:r>
          </w:p>
        </w:tc>
        <w:tc>
          <w:tcPr>
            <w:tcW w:w="333" w:type="pct"/>
            <w:tcBorders>
              <w:top w:val="nil"/>
              <w:left w:val="nil"/>
              <w:bottom w:val="nil"/>
              <w:right w:val="nil"/>
            </w:tcBorders>
            <w:vAlign w:val="center"/>
            <w:hideMark/>
          </w:tcPr>
          <w:p w14:paraId="5EB4BE4E"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17,065</w:t>
            </w:r>
          </w:p>
        </w:tc>
        <w:tc>
          <w:tcPr>
            <w:tcW w:w="333" w:type="pct"/>
            <w:tcBorders>
              <w:top w:val="nil"/>
              <w:left w:val="nil"/>
              <w:bottom w:val="nil"/>
              <w:right w:val="nil"/>
            </w:tcBorders>
            <w:vAlign w:val="center"/>
            <w:hideMark/>
          </w:tcPr>
          <w:p w14:paraId="56F5A468"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13,990</w:t>
            </w:r>
          </w:p>
        </w:tc>
        <w:tc>
          <w:tcPr>
            <w:tcW w:w="333" w:type="pct"/>
            <w:tcBorders>
              <w:top w:val="nil"/>
              <w:left w:val="nil"/>
              <w:bottom w:val="nil"/>
              <w:right w:val="nil"/>
            </w:tcBorders>
            <w:vAlign w:val="center"/>
            <w:hideMark/>
          </w:tcPr>
          <w:p w14:paraId="28B0FD1A"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12,000</w:t>
            </w:r>
          </w:p>
        </w:tc>
        <w:tc>
          <w:tcPr>
            <w:tcW w:w="333" w:type="pct"/>
            <w:tcBorders>
              <w:top w:val="nil"/>
              <w:left w:val="nil"/>
              <w:bottom w:val="nil"/>
              <w:right w:val="nil"/>
            </w:tcBorders>
            <w:vAlign w:val="center"/>
            <w:hideMark/>
          </w:tcPr>
          <w:p w14:paraId="28EAA7B0"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12,000</w:t>
            </w:r>
          </w:p>
        </w:tc>
        <w:tc>
          <w:tcPr>
            <w:tcW w:w="333" w:type="pct"/>
            <w:tcBorders>
              <w:top w:val="nil"/>
              <w:left w:val="nil"/>
              <w:bottom w:val="nil"/>
              <w:right w:val="nil"/>
            </w:tcBorders>
            <w:vAlign w:val="center"/>
            <w:hideMark/>
          </w:tcPr>
          <w:p w14:paraId="4D2FCB3A"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12,000</w:t>
            </w:r>
          </w:p>
        </w:tc>
        <w:tc>
          <w:tcPr>
            <w:tcW w:w="333" w:type="pct"/>
            <w:tcBorders>
              <w:top w:val="nil"/>
              <w:left w:val="nil"/>
              <w:bottom w:val="nil"/>
              <w:right w:val="nil"/>
            </w:tcBorders>
            <w:vAlign w:val="center"/>
            <w:hideMark/>
          </w:tcPr>
          <w:p w14:paraId="3D944411"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12,000</w:t>
            </w:r>
          </w:p>
        </w:tc>
        <w:tc>
          <w:tcPr>
            <w:tcW w:w="333" w:type="pct"/>
            <w:tcBorders>
              <w:top w:val="nil"/>
              <w:left w:val="nil"/>
              <w:bottom w:val="nil"/>
              <w:right w:val="nil"/>
            </w:tcBorders>
            <w:vAlign w:val="center"/>
            <w:hideMark/>
          </w:tcPr>
          <w:p w14:paraId="7C040B67"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12,000</w:t>
            </w:r>
          </w:p>
        </w:tc>
        <w:tc>
          <w:tcPr>
            <w:tcW w:w="333" w:type="pct"/>
            <w:tcBorders>
              <w:top w:val="nil"/>
              <w:left w:val="nil"/>
              <w:bottom w:val="nil"/>
              <w:right w:val="nil"/>
            </w:tcBorders>
            <w:vAlign w:val="center"/>
            <w:hideMark/>
          </w:tcPr>
          <w:p w14:paraId="42365658"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12,000</w:t>
            </w:r>
          </w:p>
        </w:tc>
        <w:tc>
          <w:tcPr>
            <w:tcW w:w="328" w:type="pct"/>
            <w:tcBorders>
              <w:top w:val="nil"/>
              <w:left w:val="nil"/>
              <w:bottom w:val="nil"/>
              <w:right w:val="nil"/>
            </w:tcBorders>
            <w:vAlign w:val="center"/>
            <w:hideMark/>
          </w:tcPr>
          <w:p w14:paraId="399B4569"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12,000</w:t>
            </w:r>
          </w:p>
        </w:tc>
      </w:tr>
      <w:tr w:rsidR="00D2068B" w:rsidRPr="00C96F13" w14:paraId="693CBD52" w14:textId="77777777" w:rsidTr="000A59B0">
        <w:trPr>
          <w:trHeight w:val="260"/>
        </w:trPr>
        <w:tc>
          <w:tcPr>
            <w:tcW w:w="1342" w:type="pct"/>
            <w:tcBorders>
              <w:top w:val="nil"/>
              <w:left w:val="nil"/>
              <w:bottom w:val="nil"/>
              <w:right w:val="nil"/>
            </w:tcBorders>
            <w:vAlign w:val="center"/>
            <w:hideMark/>
          </w:tcPr>
          <w:p w14:paraId="0A6784E7" w14:textId="77777777" w:rsidR="00D2068B" w:rsidRPr="00C96F13" w:rsidRDefault="00D2068B" w:rsidP="00D2068B">
            <w:pPr>
              <w:spacing w:before="0" w:after="0"/>
              <w:rPr>
                <w:rFonts w:ascii="Arial" w:hAnsi="Arial" w:cs="Arial"/>
                <w:sz w:val="16"/>
                <w:szCs w:val="16"/>
              </w:rPr>
            </w:pPr>
            <w:r w:rsidRPr="00C96F13">
              <w:rPr>
                <w:rFonts w:ascii="Arial" w:hAnsi="Arial" w:cs="Arial"/>
                <w:sz w:val="16"/>
                <w:szCs w:val="16"/>
              </w:rPr>
              <w:t>Contributions</w:t>
            </w:r>
          </w:p>
        </w:tc>
        <w:tc>
          <w:tcPr>
            <w:tcW w:w="333" w:type="pct"/>
            <w:tcBorders>
              <w:top w:val="nil"/>
              <w:left w:val="nil"/>
              <w:bottom w:val="nil"/>
              <w:right w:val="nil"/>
            </w:tcBorders>
            <w:vAlign w:val="center"/>
            <w:hideMark/>
          </w:tcPr>
          <w:p w14:paraId="40625428" w14:textId="04BB1E30" w:rsidR="00D2068B" w:rsidRPr="00C96F13" w:rsidRDefault="00D2068B" w:rsidP="00D2068B">
            <w:pPr>
              <w:spacing w:before="0" w:after="0"/>
              <w:jc w:val="right"/>
              <w:rPr>
                <w:rFonts w:ascii="Arial" w:hAnsi="Arial" w:cs="Arial"/>
                <w:sz w:val="16"/>
                <w:szCs w:val="16"/>
              </w:rPr>
            </w:pPr>
            <w:r>
              <w:rPr>
                <w:rFonts w:ascii="Arial" w:hAnsi="Arial" w:cs="Arial"/>
                <w:sz w:val="16"/>
                <w:szCs w:val="16"/>
              </w:rPr>
              <w:t>12,344</w:t>
            </w:r>
          </w:p>
        </w:tc>
        <w:tc>
          <w:tcPr>
            <w:tcW w:w="333" w:type="pct"/>
            <w:tcBorders>
              <w:top w:val="nil"/>
              <w:left w:val="nil"/>
              <w:bottom w:val="nil"/>
              <w:right w:val="nil"/>
            </w:tcBorders>
            <w:vAlign w:val="center"/>
            <w:hideMark/>
          </w:tcPr>
          <w:p w14:paraId="17434BE4"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3,732</w:t>
            </w:r>
          </w:p>
        </w:tc>
        <w:tc>
          <w:tcPr>
            <w:tcW w:w="333" w:type="pct"/>
            <w:tcBorders>
              <w:top w:val="nil"/>
              <w:left w:val="nil"/>
              <w:bottom w:val="nil"/>
              <w:right w:val="nil"/>
            </w:tcBorders>
            <w:vAlign w:val="center"/>
            <w:hideMark/>
          </w:tcPr>
          <w:p w14:paraId="0BC316A4"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5,792</w:t>
            </w:r>
          </w:p>
        </w:tc>
        <w:tc>
          <w:tcPr>
            <w:tcW w:w="333" w:type="pct"/>
            <w:tcBorders>
              <w:top w:val="nil"/>
              <w:left w:val="nil"/>
              <w:bottom w:val="nil"/>
              <w:right w:val="nil"/>
            </w:tcBorders>
            <w:vAlign w:val="center"/>
            <w:hideMark/>
          </w:tcPr>
          <w:p w14:paraId="56483684"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14,843</w:t>
            </w:r>
          </w:p>
        </w:tc>
        <w:tc>
          <w:tcPr>
            <w:tcW w:w="333" w:type="pct"/>
            <w:tcBorders>
              <w:top w:val="nil"/>
              <w:left w:val="nil"/>
              <w:bottom w:val="nil"/>
              <w:right w:val="nil"/>
            </w:tcBorders>
            <w:vAlign w:val="center"/>
            <w:hideMark/>
          </w:tcPr>
          <w:p w14:paraId="2B6054D9"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25,464</w:t>
            </w:r>
          </w:p>
        </w:tc>
        <w:tc>
          <w:tcPr>
            <w:tcW w:w="333" w:type="pct"/>
            <w:tcBorders>
              <w:top w:val="nil"/>
              <w:left w:val="nil"/>
              <w:bottom w:val="nil"/>
              <w:right w:val="nil"/>
            </w:tcBorders>
            <w:vAlign w:val="center"/>
            <w:hideMark/>
          </w:tcPr>
          <w:p w14:paraId="29A3DC14"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25,700</w:t>
            </w:r>
          </w:p>
        </w:tc>
        <w:tc>
          <w:tcPr>
            <w:tcW w:w="333" w:type="pct"/>
            <w:tcBorders>
              <w:top w:val="nil"/>
              <w:left w:val="nil"/>
              <w:bottom w:val="nil"/>
              <w:right w:val="nil"/>
            </w:tcBorders>
            <w:vAlign w:val="center"/>
            <w:hideMark/>
          </w:tcPr>
          <w:p w14:paraId="0E3EBD8A"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24,200</w:t>
            </w:r>
          </w:p>
        </w:tc>
        <w:tc>
          <w:tcPr>
            <w:tcW w:w="333" w:type="pct"/>
            <w:tcBorders>
              <w:top w:val="nil"/>
              <w:left w:val="nil"/>
              <w:bottom w:val="nil"/>
              <w:right w:val="nil"/>
            </w:tcBorders>
            <w:vAlign w:val="center"/>
            <w:hideMark/>
          </w:tcPr>
          <w:p w14:paraId="17FA1B8C"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24,500</w:t>
            </w:r>
          </w:p>
        </w:tc>
        <w:tc>
          <w:tcPr>
            <w:tcW w:w="333" w:type="pct"/>
            <w:tcBorders>
              <w:top w:val="nil"/>
              <w:left w:val="nil"/>
              <w:bottom w:val="nil"/>
              <w:right w:val="nil"/>
            </w:tcBorders>
            <w:vAlign w:val="center"/>
            <w:hideMark/>
          </w:tcPr>
          <w:p w14:paraId="70FF771D"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24,800</w:t>
            </w:r>
          </w:p>
        </w:tc>
        <w:tc>
          <w:tcPr>
            <w:tcW w:w="333" w:type="pct"/>
            <w:tcBorders>
              <w:top w:val="nil"/>
              <w:left w:val="nil"/>
              <w:bottom w:val="nil"/>
              <w:right w:val="nil"/>
            </w:tcBorders>
            <w:vAlign w:val="center"/>
            <w:hideMark/>
          </w:tcPr>
          <w:p w14:paraId="138988A7"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26,500</w:t>
            </w:r>
          </w:p>
        </w:tc>
        <w:tc>
          <w:tcPr>
            <w:tcW w:w="328" w:type="pct"/>
            <w:tcBorders>
              <w:top w:val="nil"/>
              <w:left w:val="nil"/>
              <w:bottom w:val="nil"/>
              <w:right w:val="nil"/>
            </w:tcBorders>
            <w:vAlign w:val="center"/>
            <w:hideMark/>
          </w:tcPr>
          <w:p w14:paraId="1E4C1E8D"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26,500</w:t>
            </w:r>
          </w:p>
        </w:tc>
      </w:tr>
      <w:tr w:rsidR="00D2068B" w:rsidRPr="00C96F13" w14:paraId="3C0334E2" w14:textId="77777777" w:rsidTr="00D2068B">
        <w:trPr>
          <w:trHeight w:val="260"/>
        </w:trPr>
        <w:tc>
          <w:tcPr>
            <w:tcW w:w="1342" w:type="pct"/>
            <w:tcBorders>
              <w:top w:val="nil"/>
              <w:left w:val="nil"/>
              <w:bottom w:val="nil"/>
              <w:right w:val="nil"/>
            </w:tcBorders>
            <w:vAlign w:val="center"/>
            <w:hideMark/>
          </w:tcPr>
          <w:p w14:paraId="5A37D22C" w14:textId="77777777" w:rsidR="00D2068B" w:rsidRPr="00C96F13" w:rsidRDefault="00D2068B" w:rsidP="00D2068B">
            <w:pPr>
              <w:spacing w:before="0" w:after="0"/>
              <w:rPr>
                <w:rFonts w:ascii="Arial" w:hAnsi="Arial" w:cs="Arial"/>
                <w:sz w:val="16"/>
                <w:szCs w:val="16"/>
              </w:rPr>
            </w:pPr>
            <w:r w:rsidRPr="00C96F13">
              <w:rPr>
                <w:rFonts w:ascii="Arial" w:hAnsi="Arial" w:cs="Arial"/>
                <w:sz w:val="16"/>
                <w:szCs w:val="16"/>
              </w:rPr>
              <w:t>Council cash</w:t>
            </w:r>
          </w:p>
        </w:tc>
        <w:tc>
          <w:tcPr>
            <w:tcW w:w="333" w:type="pct"/>
            <w:tcBorders>
              <w:top w:val="nil"/>
              <w:left w:val="nil"/>
              <w:bottom w:val="nil"/>
              <w:right w:val="nil"/>
            </w:tcBorders>
            <w:vAlign w:val="center"/>
            <w:hideMark/>
          </w:tcPr>
          <w:p w14:paraId="2A86C497" w14:textId="2512B082" w:rsidR="00D2068B" w:rsidRPr="00C96F13" w:rsidRDefault="00D2068B" w:rsidP="00D2068B">
            <w:pPr>
              <w:spacing w:before="0" w:after="0"/>
              <w:jc w:val="right"/>
              <w:rPr>
                <w:rFonts w:ascii="Arial" w:hAnsi="Arial" w:cs="Arial"/>
                <w:sz w:val="16"/>
                <w:szCs w:val="16"/>
              </w:rPr>
            </w:pPr>
            <w:r>
              <w:rPr>
                <w:rFonts w:ascii="Arial" w:hAnsi="Arial" w:cs="Arial"/>
                <w:sz w:val="16"/>
                <w:szCs w:val="16"/>
              </w:rPr>
              <w:t>13,254</w:t>
            </w:r>
          </w:p>
        </w:tc>
        <w:tc>
          <w:tcPr>
            <w:tcW w:w="333" w:type="pct"/>
            <w:tcBorders>
              <w:top w:val="nil"/>
              <w:left w:val="nil"/>
              <w:bottom w:val="nil"/>
              <w:right w:val="nil"/>
            </w:tcBorders>
            <w:vAlign w:val="center"/>
            <w:hideMark/>
          </w:tcPr>
          <w:p w14:paraId="0F30B032"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19,294</w:t>
            </w:r>
          </w:p>
        </w:tc>
        <w:tc>
          <w:tcPr>
            <w:tcW w:w="333" w:type="pct"/>
            <w:tcBorders>
              <w:top w:val="nil"/>
              <w:left w:val="nil"/>
              <w:bottom w:val="nil"/>
              <w:right w:val="nil"/>
            </w:tcBorders>
            <w:vAlign w:val="center"/>
            <w:hideMark/>
          </w:tcPr>
          <w:p w14:paraId="59E431C0"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27,999</w:t>
            </w:r>
          </w:p>
        </w:tc>
        <w:tc>
          <w:tcPr>
            <w:tcW w:w="333" w:type="pct"/>
            <w:tcBorders>
              <w:top w:val="nil"/>
              <w:left w:val="nil"/>
              <w:bottom w:val="nil"/>
              <w:right w:val="nil"/>
            </w:tcBorders>
            <w:vAlign w:val="center"/>
            <w:hideMark/>
          </w:tcPr>
          <w:p w14:paraId="22556672"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27,140</w:t>
            </w:r>
          </w:p>
        </w:tc>
        <w:tc>
          <w:tcPr>
            <w:tcW w:w="333" w:type="pct"/>
            <w:tcBorders>
              <w:top w:val="nil"/>
              <w:left w:val="nil"/>
              <w:bottom w:val="nil"/>
              <w:right w:val="nil"/>
            </w:tcBorders>
            <w:vAlign w:val="center"/>
            <w:hideMark/>
          </w:tcPr>
          <w:p w14:paraId="4147F922"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17,618</w:t>
            </w:r>
          </w:p>
        </w:tc>
        <w:tc>
          <w:tcPr>
            <w:tcW w:w="333" w:type="pct"/>
            <w:tcBorders>
              <w:top w:val="nil"/>
              <w:left w:val="nil"/>
              <w:bottom w:val="nil"/>
              <w:right w:val="nil"/>
            </w:tcBorders>
            <w:vAlign w:val="center"/>
            <w:hideMark/>
          </w:tcPr>
          <w:p w14:paraId="012D5F67"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27,798</w:t>
            </w:r>
          </w:p>
        </w:tc>
        <w:tc>
          <w:tcPr>
            <w:tcW w:w="333" w:type="pct"/>
            <w:tcBorders>
              <w:top w:val="nil"/>
              <w:left w:val="nil"/>
              <w:bottom w:val="nil"/>
              <w:right w:val="nil"/>
            </w:tcBorders>
            <w:vAlign w:val="center"/>
            <w:hideMark/>
          </w:tcPr>
          <w:p w14:paraId="44B1A1EC"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28,163</w:t>
            </w:r>
          </w:p>
        </w:tc>
        <w:tc>
          <w:tcPr>
            <w:tcW w:w="333" w:type="pct"/>
            <w:tcBorders>
              <w:top w:val="nil"/>
              <w:left w:val="nil"/>
              <w:bottom w:val="nil"/>
              <w:right w:val="nil"/>
            </w:tcBorders>
            <w:vAlign w:val="center"/>
            <w:hideMark/>
          </w:tcPr>
          <w:p w14:paraId="6D9DBAB7"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28,827</w:t>
            </w:r>
          </w:p>
        </w:tc>
        <w:tc>
          <w:tcPr>
            <w:tcW w:w="333" w:type="pct"/>
            <w:tcBorders>
              <w:top w:val="nil"/>
              <w:left w:val="nil"/>
              <w:bottom w:val="nil"/>
              <w:right w:val="nil"/>
            </w:tcBorders>
            <w:vAlign w:val="center"/>
            <w:hideMark/>
          </w:tcPr>
          <w:p w14:paraId="5710FDEF"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33,109</w:t>
            </w:r>
          </w:p>
        </w:tc>
        <w:tc>
          <w:tcPr>
            <w:tcW w:w="333" w:type="pct"/>
            <w:tcBorders>
              <w:top w:val="nil"/>
              <w:left w:val="nil"/>
              <w:bottom w:val="nil"/>
              <w:right w:val="nil"/>
            </w:tcBorders>
            <w:vAlign w:val="center"/>
            <w:hideMark/>
          </w:tcPr>
          <w:p w14:paraId="41EA929D"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29,969</w:t>
            </w:r>
          </w:p>
        </w:tc>
        <w:tc>
          <w:tcPr>
            <w:tcW w:w="328" w:type="pct"/>
            <w:tcBorders>
              <w:top w:val="nil"/>
              <w:left w:val="nil"/>
              <w:bottom w:val="nil"/>
              <w:right w:val="nil"/>
            </w:tcBorders>
            <w:vAlign w:val="center"/>
            <w:hideMark/>
          </w:tcPr>
          <w:p w14:paraId="5F07743D"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31,434</w:t>
            </w:r>
          </w:p>
        </w:tc>
      </w:tr>
      <w:tr w:rsidR="00D2068B" w:rsidRPr="00C96F13" w14:paraId="0522AB60" w14:textId="77777777" w:rsidTr="00D2068B">
        <w:trPr>
          <w:trHeight w:val="260"/>
        </w:trPr>
        <w:tc>
          <w:tcPr>
            <w:tcW w:w="1342" w:type="pct"/>
            <w:tcBorders>
              <w:top w:val="nil"/>
              <w:left w:val="nil"/>
              <w:bottom w:val="nil"/>
              <w:right w:val="nil"/>
            </w:tcBorders>
            <w:vAlign w:val="center"/>
            <w:hideMark/>
          </w:tcPr>
          <w:p w14:paraId="62108B14" w14:textId="77777777" w:rsidR="00D2068B" w:rsidRPr="00C96F13" w:rsidRDefault="00D2068B" w:rsidP="00D2068B">
            <w:pPr>
              <w:spacing w:before="0" w:after="0"/>
              <w:rPr>
                <w:rFonts w:ascii="Arial" w:hAnsi="Arial" w:cs="Arial"/>
                <w:sz w:val="16"/>
                <w:szCs w:val="16"/>
              </w:rPr>
            </w:pPr>
            <w:r w:rsidRPr="00C96F13">
              <w:rPr>
                <w:rFonts w:ascii="Arial" w:hAnsi="Arial" w:cs="Arial"/>
                <w:sz w:val="16"/>
                <w:szCs w:val="16"/>
              </w:rPr>
              <w:t>Borrowings</w:t>
            </w:r>
          </w:p>
        </w:tc>
        <w:tc>
          <w:tcPr>
            <w:tcW w:w="333" w:type="pct"/>
            <w:tcBorders>
              <w:top w:val="nil"/>
              <w:left w:val="nil"/>
              <w:bottom w:val="nil"/>
              <w:right w:val="nil"/>
            </w:tcBorders>
            <w:vAlign w:val="center"/>
            <w:hideMark/>
          </w:tcPr>
          <w:p w14:paraId="2FB47B52" w14:textId="759BE1CD" w:rsidR="00D2068B" w:rsidRPr="00C96F13" w:rsidRDefault="00D2068B" w:rsidP="00D2068B">
            <w:pPr>
              <w:spacing w:before="0" w:after="0"/>
              <w:jc w:val="right"/>
              <w:rPr>
                <w:rFonts w:ascii="Arial" w:hAnsi="Arial" w:cs="Arial"/>
                <w:sz w:val="16"/>
                <w:szCs w:val="16"/>
              </w:rPr>
            </w:pPr>
            <w:r>
              <w:rPr>
                <w:rFonts w:ascii="Arial" w:hAnsi="Arial" w:cs="Arial"/>
                <w:sz w:val="16"/>
                <w:szCs w:val="16"/>
              </w:rPr>
              <w:t>17,510</w:t>
            </w:r>
          </w:p>
        </w:tc>
        <w:tc>
          <w:tcPr>
            <w:tcW w:w="333" w:type="pct"/>
            <w:tcBorders>
              <w:top w:val="nil"/>
              <w:left w:val="nil"/>
              <w:bottom w:val="nil"/>
              <w:right w:val="nil"/>
            </w:tcBorders>
            <w:vAlign w:val="center"/>
            <w:hideMark/>
          </w:tcPr>
          <w:p w14:paraId="39EBD8B3"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17,000</w:t>
            </w:r>
          </w:p>
        </w:tc>
        <w:tc>
          <w:tcPr>
            <w:tcW w:w="333" w:type="pct"/>
            <w:tcBorders>
              <w:top w:val="nil"/>
              <w:left w:val="nil"/>
              <w:bottom w:val="nil"/>
              <w:right w:val="nil"/>
            </w:tcBorders>
            <w:vAlign w:val="center"/>
            <w:hideMark/>
          </w:tcPr>
          <w:p w14:paraId="27E511B0"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21,435</w:t>
            </w:r>
          </w:p>
        </w:tc>
        <w:tc>
          <w:tcPr>
            <w:tcW w:w="333" w:type="pct"/>
            <w:tcBorders>
              <w:top w:val="nil"/>
              <w:left w:val="nil"/>
              <w:bottom w:val="nil"/>
              <w:right w:val="nil"/>
            </w:tcBorders>
            <w:vAlign w:val="center"/>
            <w:hideMark/>
          </w:tcPr>
          <w:p w14:paraId="19E44B6E"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20,395</w:t>
            </w:r>
          </w:p>
        </w:tc>
        <w:tc>
          <w:tcPr>
            <w:tcW w:w="333" w:type="pct"/>
            <w:tcBorders>
              <w:top w:val="nil"/>
              <w:left w:val="nil"/>
              <w:bottom w:val="nil"/>
              <w:right w:val="nil"/>
            </w:tcBorders>
            <w:vAlign w:val="center"/>
            <w:hideMark/>
          </w:tcPr>
          <w:p w14:paraId="662E812B"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22,398</w:t>
            </w:r>
          </w:p>
        </w:tc>
        <w:tc>
          <w:tcPr>
            <w:tcW w:w="333" w:type="pct"/>
            <w:tcBorders>
              <w:top w:val="nil"/>
              <w:left w:val="nil"/>
              <w:bottom w:val="nil"/>
              <w:right w:val="nil"/>
            </w:tcBorders>
            <w:vAlign w:val="center"/>
            <w:hideMark/>
          </w:tcPr>
          <w:p w14:paraId="211E3008"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5,000</w:t>
            </w:r>
          </w:p>
        </w:tc>
        <w:tc>
          <w:tcPr>
            <w:tcW w:w="333" w:type="pct"/>
            <w:tcBorders>
              <w:top w:val="nil"/>
              <w:left w:val="nil"/>
              <w:bottom w:val="nil"/>
              <w:right w:val="nil"/>
            </w:tcBorders>
            <w:vAlign w:val="center"/>
            <w:hideMark/>
          </w:tcPr>
          <w:p w14:paraId="1E255B7B"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5,000</w:t>
            </w:r>
          </w:p>
        </w:tc>
        <w:tc>
          <w:tcPr>
            <w:tcW w:w="333" w:type="pct"/>
            <w:tcBorders>
              <w:top w:val="nil"/>
              <w:left w:val="nil"/>
              <w:bottom w:val="nil"/>
              <w:right w:val="nil"/>
            </w:tcBorders>
            <w:vAlign w:val="center"/>
            <w:hideMark/>
          </w:tcPr>
          <w:p w14:paraId="1A33367B"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5,000</w:t>
            </w:r>
          </w:p>
        </w:tc>
        <w:tc>
          <w:tcPr>
            <w:tcW w:w="333" w:type="pct"/>
            <w:tcBorders>
              <w:top w:val="nil"/>
              <w:left w:val="nil"/>
              <w:bottom w:val="nil"/>
              <w:right w:val="nil"/>
            </w:tcBorders>
            <w:vAlign w:val="center"/>
            <w:hideMark/>
          </w:tcPr>
          <w:p w14:paraId="39BDDA63"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5,000</w:t>
            </w:r>
          </w:p>
        </w:tc>
        <w:tc>
          <w:tcPr>
            <w:tcW w:w="333" w:type="pct"/>
            <w:tcBorders>
              <w:top w:val="nil"/>
              <w:left w:val="nil"/>
              <w:bottom w:val="nil"/>
              <w:right w:val="nil"/>
            </w:tcBorders>
            <w:vAlign w:val="center"/>
            <w:hideMark/>
          </w:tcPr>
          <w:p w14:paraId="436FC94D"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5,000</w:t>
            </w:r>
          </w:p>
        </w:tc>
        <w:tc>
          <w:tcPr>
            <w:tcW w:w="328" w:type="pct"/>
            <w:tcBorders>
              <w:top w:val="nil"/>
              <w:left w:val="nil"/>
              <w:bottom w:val="nil"/>
              <w:right w:val="nil"/>
            </w:tcBorders>
            <w:vAlign w:val="center"/>
            <w:hideMark/>
          </w:tcPr>
          <w:p w14:paraId="328A77CC"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5,000</w:t>
            </w:r>
          </w:p>
        </w:tc>
      </w:tr>
      <w:tr w:rsidR="00D2068B" w:rsidRPr="00C96F13" w14:paraId="60B1931B" w14:textId="77777777" w:rsidTr="00D2068B">
        <w:trPr>
          <w:trHeight w:val="270"/>
        </w:trPr>
        <w:tc>
          <w:tcPr>
            <w:tcW w:w="1342" w:type="pct"/>
            <w:tcBorders>
              <w:top w:val="nil"/>
              <w:left w:val="nil"/>
              <w:bottom w:val="nil"/>
              <w:right w:val="nil"/>
            </w:tcBorders>
            <w:vAlign w:val="center"/>
            <w:hideMark/>
          </w:tcPr>
          <w:p w14:paraId="1E152252" w14:textId="77777777" w:rsidR="00D2068B" w:rsidRPr="00C96F13" w:rsidRDefault="00D2068B" w:rsidP="00D2068B">
            <w:pPr>
              <w:spacing w:before="0" w:after="0"/>
              <w:rPr>
                <w:rFonts w:ascii="Arial" w:hAnsi="Arial" w:cs="Arial"/>
                <w:b/>
                <w:bCs/>
                <w:sz w:val="16"/>
                <w:szCs w:val="16"/>
              </w:rPr>
            </w:pPr>
            <w:r w:rsidRPr="00C96F13">
              <w:rPr>
                <w:rFonts w:ascii="Arial" w:hAnsi="Arial" w:cs="Arial"/>
                <w:b/>
                <w:bCs/>
                <w:sz w:val="16"/>
                <w:szCs w:val="16"/>
              </w:rPr>
              <w:t>Total capital works expenditure</w:t>
            </w:r>
          </w:p>
        </w:tc>
        <w:tc>
          <w:tcPr>
            <w:tcW w:w="333" w:type="pct"/>
            <w:tcBorders>
              <w:top w:val="single" w:sz="4" w:space="0" w:color="auto"/>
              <w:left w:val="nil"/>
              <w:bottom w:val="double" w:sz="6" w:space="0" w:color="auto"/>
              <w:right w:val="nil"/>
            </w:tcBorders>
            <w:vAlign w:val="center"/>
            <w:hideMark/>
          </w:tcPr>
          <w:p w14:paraId="2BD27038" w14:textId="3EE56D1E" w:rsidR="00D2068B" w:rsidRPr="00C96F13" w:rsidRDefault="00D2068B" w:rsidP="00D2068B">
            <w:pPr>
              <w:spacing w:before="0" w:after="0"/>
              <w:jc w:val="right"/>
              <w:rPr>
                <w:rFonts w:ascii="Arial" w:hAnsi="Arial" w:cs="Arial"/>
                <w:sz w:val="16"/>
                <w:szCs w:val="16"/>
              </w:rPr>
            </w:pPr>
            <w:r>
              <w:rPr>
                <w:rFonts w:ascii="Arial" w:hAnsi="Arial" w:cs="Arial"/>
                <w:sz w:val="16"/>
                <w:szCs w:val="16"/>
              </w:rPr>
              <w:t>65,246</w:t>
            </w:r>
          </w:p>
        </w:tc>
        <w:tc>
          <w:tcPr>
            <w:tcW w:w="333" w:type="pct"/>
            <w:tcBorders>
              <w:top w:val="single" w:sz="4" w:space="0" w:color="auto"/>
              <w:left w:val="nil"/>
              <w:bottom w:val="double" w:sz="6" w:space="0" w:color="auto"/>
              <w:right w:val="nil"/>
            </w:tcBorders>
            <w:vAlign w:val="center"/>
            <w:hideMark/>
          </w:tcPr>
          <w:p w14:paraId="4327D24F"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74,167</w:t>
            </w:r>
          </w:p>
        </w:tc>
        <w:tc>
          <w:tcPr>
            <w:tcW w:w="333" w:type="pct"/>
            <w:tcBorders>
              <w:top w:val="single" w:sz="4" w:space="0" w:color="auto"/>
              <w:left w:val="nil"/>
              <w:bottom w:val="double" w:sz="6" w:space="0" w:color="auto"/>
              <w:right w:val="nil"/>
            </w:tcBorders>
            <w:vAlign w:val="center"/>
            <w:hideMark/>
          </w:tcPr>
          <w:p w14:paraId="69BC02DA"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72,290</w:t>
            </w:r>
          </w:p>
        </w:tc>
        <w:tc>
          <w:tcPr>
            <w:tcW w:w="333" w:type="pct"/>
            <w:tcBorders>
              <w:top w:val="single" w:sz="4" w:space="0" w:color="auto"/>
              <w:left w:val="nil"/>
              <w:bottom w:val="double" w:sz="6" w:space="0" w:color="auto"/>
              <w:right w:val="nil"/>
            </w:tcBorders>
            <w:vAlign w:val="center"/>
            <w:hideMark/>
          </w:tcPr>
          <w:p w14:paraId="6CC66372"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76,369</w:t>
            </w:r>
          </w:p>
        </w:tc>
        <w:tc>
          <w:tcPr>
            <w:tcW w:w="333" w:type="pct"/>
            <w:tcBorders>
              <w:top w:val="single" w:sz="4" w:space="0" w:color="auto"/>
              <w:left w:val="nil"/>
              <w:bottom w:val="double" w:sz="6" w:space="0" w:color="auto"/>
              <w:right w:val="nil"/>
            </w:tcBorders>
            <w:vAlign w:val="center"/>
            <w:hideMark/>
          </w:tcPr>
          <w:p w14:paraId="11E20F18"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77,480</w:t>
            </w:r>
          </w:p>
        </w:tc>
        <w:tc>
          <w:tcPr>
            <w:tcW w:w="333" w:type="pct"/>
            <w:tcBorders>
              <w:top w:val="single" w:sz="4" w:space="0" w:color="auto"/>
              <w:left w:val="nil"/>
              <w:bottom w:val="double" w:sz="6" w:space="0" w:color="auto"/>
              <w:right w:val="nil"/>
            </w:tcBorders>
            <w:vAlign w:val="center"/>
            <w:hideMark/>
          </w:tcPr>
          <w:p w14:paraId="2869B6CE"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70,498</w:t>
            </w:r>
          </w:p>
        </w:tc>
        <w:tc>
          <w:tcPr>
            <w:tcW w:w="333" w:type="pct"/>
            <w:tcBorders>
              <w:top w:val="single" w:sz="4" w:space="0" w:color="auto"/>
              <w:left w:val="nil"/>
              <w:bottom w:val="double" w:sz="6" w:space="0" w:color="auto"/>
              <w:right w:val="nil"/>
            </w:tcBorders>
            <w:vAlign w:val="center"/>
            <w:hideMark/>
          </w:tcPr>
          <w:p w14:paraId="7A96C151"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69,363</w:t>
            </w:r>
          </w:p>
        </w:tc>
        <w:tc>
          <w:tcPr>
            <w:tcW w:w="333" w:type="pct"/>
            <w:tcBorders>
              <w:top w:val="single" w:sz="4" w:space="0" w:color="auto"/>
              <w:left w:val="nil"/>
              <w:bottom w:val="double" w:sz="6" w:space="0" w:color="auto"/>
              <w:right w:val="nil"/>
            </w:tcBorders>
            <w:vAlign w:val="center"/>
            <w:hideMark/>
          </w:tcPr>
          <w:p w14:paraId="04834162"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70,327</w:t>
            </w:r>
          </w:p>
        </w:tc>
        <w:tc>
          <w:tcPr>
            <w:tcW w:w="333" w:type="pct"/>
            <w:tcBorders>
              <w:top w:val="single" w:sz="4" w:space="0" w:color="auto"/>
              <w:left w:val="nil"/>
              <w:bottom w:val="double" w:sz="6" w:space="0" w:color="auto"/>
              <w:right w:val="nil"/>
            </w:tcBorders>
            <w:vAlign w:val="center"/>
            <w:hideMark/>
          </w:tcPr>
          <w:p w14:paraId="3A6FF0F1"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74,909</w:t>
            </w:r>
          </w:p>
        </w:tc>
        <w:tc>
          <w:tcPr>
            <w:tcW w:w="333" w:type="pct"/>
            <w:tcBorders>
              <w:top w:val="single" w:sz="4" w:space="0" w:color="auto"/>
              <w:left w:val="nil"/>
              <w:bottom w:val="double" w:sz="6" w:space="0" w:color="auto"/>
              <w:right w:val="nil"/>
            </w:tcBorders>
            <w:vAlign w:val="center"/>
            <w:hideMark/>
          </w:tcPr>
          <w:p w14:paraId="737B2B0F"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73,469</w:t>
            </w:r>
          </w:p>
        </w:tc>
        <w:tc>
          <w:tcPr>
            <w:tcW w:w="328" w:type="pct"/>
            <w:tcBorders>
              <w:top w:val="single" w:sz="4" w:space="0" w:color="auto"/>
              <w:left w:val="nil"/>
              <w:bottom w:val="double" w:sz="6" w:space="0" w:color="auto"/>
              <w:right w:val="nil"/>
            </w:tcBorders>
            <w:vAlign w:val="center"/>
            <w:hideMark/>
          </w:tcPr>
          <w:p w14:paraId="572FD2A9" w14:textId="77777777" w:rsidR="00D2068B" w:rsidRPr="00C96F13" w:rsidRDefault="00D2068B" w:rsidP="00D2068B">
            <w:pPr>
              <w:spacing w:before="0" w:after="0"/>
              <w:jc w:val="right"/>
              <w:rPr>
                <w:rFonts w:ascii="Arial" w:hAnsi="Arial" w:cs="Arial"/>
                <w:sz w:val="16"/>
                <w:szCs w:val="16"/>
              </w:rPr>
            </w:pPr>
            <w:r w:rsidRPr="00C96F13">
              <w:rPr>
                <w:rFonts w:ascii="Arial" w:hAnsi="Arial" w:cs="Arial"/>
                <w:sz w:val="16"/>
                <w:szCs w:val="16"/>
              </w:rPr>
              <w:t>74,934</w:t>
            </w:r>
          </w:p>
        </w:tc>
      </w:tr>
    </w:tbl>
    <w:p w14:paraId="7358109D" w14:textId="35A5A3A6" w:rsidR="00C668A5" w:rsidRPr="0022670C" w:rsidRDefault="00C668A5" w:rsidP="0022670C">
      <w:pPr>
        <w:pStyle w:val="Heading2"/>
        <w:rPr>
          <w:i/>
        </w:rPr>
      </w:pPr>
      <w:r>
        <w:br w:type="page"/>
      </w:r>
      <w:bookmarkStart w:id="58" w:name="_Ref205284782"/>
      <w:bookmarkStart w:id="59" w:name="_Toc210205643"/>
      <w:bookmarkStart w:id="60" w:name="_Toc211874597"/>
      <w:r w:rsidR="0022670C">
        <w:lastRenderedPageBreak/>
        <w:t>6.6 S</w:t>
      </w:r>
      <w:r>
        <w:t>tatement of Human Resources</w:t>
      </w:r>
      <w:bookmarkEnd w:id="58"/>
      <w:bookmarkEnd w:id="59"/>
      <w:bookmarkEnd w:id="60"/>
      <w:r w:rsidR="0022670C">
        <w:br/>
      </w:r>
    </w:p>
    <w:p w14:paraId="1D66DFEF" w14:textId="4B4B2999" w:rsidR="00BB259F" w:rsidRPr="00BB259F" w:rsidRDefault="00BB259F" w:rsidP="00BB259F">
      <w:pPr>
        <w:rPr>
          <w:lang w:eastAsia="en-US"/>
        </w:rPr>
      </w:pPr>
      <w:proofErr w:type="gramStart"/>
      <w:r>
        <w:rPr>
          <w:lang w:eastAsia="en-US"/>
        </w:rPr>
        <w:t>All of</w:t>
      </w:r>
      <w:proofErr w:type="gramEnd"/>
      <w:r>
        <w:rPr>
          <w:lang w:eastAsia="en-US"/>
        </w:rPr>
        <w:t xml:space="preserve"> the below figures are inclusive of salaries and employment related costs </w:t>
      </w:r>
      <w:r w:rsidR="008A2F49">
        <w:rPr>
          <w:lang w:eastAsia="en-US"/>
        </w:rPr>
        <w:t>such as superannuation, Workcover and allowances.</w:t>
      </w:r>
    </w:p>
    <w:tbl>
      <w:tblPr>
        <w:tblW w:w="5000" w:type="pct"/>
        <w:tblLook w:val="04A0" w:firstRow="1" w:lastRow="0" w:firstColumn="1" w:lastColumn="0" w:noHBand="0" w:noVBand="1"/>
      </w:tblPr>
      <w:tblGrid>
        <w:gridCol w:w="2598"/>
        <w:gridCol w:w="959"/>
        <w:gridCol w:w="959"/>
        <w:gridCol w:w="959"/>
        <w:gridCol w:w="959"/>
        <w:gridCol w:w="958"/>
        <w:gridCol w:w="958"/>
        <w:gridCol w:w="958"/>
        <w:gridCol w:w="958"/>
        <w:gridCol w:w="958"/>
        <w:gridCol w:w="958"/>
        <w:gridCol w:w="948"/>
      </w:tblGrid>
      <w:tr w:rsidR="00AB1EEA" w:rsidRPr="00AB1EEA" w14:paraId="37CB513F" w14:textId="77777777" w:rsidTr="00440AEE">
        <w:trPr>
          <w:trHeight w:val="300"/>
        </w:trPr>
        <w:tc>
          <w:tcPr>
            <w:tcW w:w="989" w:type="pct"/>
            <w:tcBorders>
              <w:top w:val="nil"/>
              <w:left w:val="nil"/>
              <w:bottom w:val="nil"/>
              <w:right w:val="nil"/>
            </w:tcBorders>
            <w:shd w:val="clear" w:color="000000" w:fill="002060"/>
            <w:hideMark/>
          </w:tcPr>
          <w:p w14:paraId="4894CFB8" w14:textId="77777777" w:rsidR="00AB1EEA" w:rsidRPr="00AB1EEA" w:rsidRDefault="00AB1EEA" w:rsidP="00AB1EEA">
            <w:pPr>
              <w:spacing w:before="0" w:after="0"/>
              <w:jc w:val="right"/>
              <w:rPr>
                <w:rFonts w:ascii="Arial" w:hAnsi="Arial" w:cs="Arial"/>
                <w:b/>
                <w:bCs/>
                <w:color w:val="FFFFFF"/>
                <w:sz w:val="16"/>
                <w:szCs w:val="16"/>
              </w:rPr>
            </w:pPr>
            <w:r w:rsidRPr="00AB1EEA">
              <w:rPr>
                <w:rFonts w:ascii="Arial" w:hAnsi="Arial" w:cs="Arial"/>
                <w:b/>
                <w:bCs/>
                <w:color w:val="FFFFFF"/>
                <w:sz w:val="16"/>
                <w:szCs w:val="16"/>
              </w:rPr>
              <w:t> </w:t>
            </w:r>
          </w:p>
        </w:tc>
        <w:tc>
          <w:tcPr>
            <w:tcW w:w="365" w:type="pct"/>
            <w:tcBorders>
              <w:top w:val="nil"/>
              <w:left w:val="nil"/>
              <w:bottom w:val="nil"/>
              <w:right w:val="nil"/>
            </w:tcBorders>
            <w:shd w:val="clear" w:color="000000" w:fill="002060"/>
            <w:vAlign w:val="center"/>
            <w:hideMark/>
          </w:tcPr>
          <w:p w14:paraId="0FF1AB3A"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 </w:t>
            </w:r>
          </w:p>
        </w:tc>
        <w:tc>
          <w:tcPr>
            <w:tcW w:w="365" w:type="pct"/>
            <w:vMerge w:val="restart"/>
            <w:tcBorders>
              <w:top w:val="nil"/>
              <w:left w:val="nil"/>
              <w:bottom w:val="nil"/>
              <w:right w:val="nil"/>
            </w:tcBorders>
            <w:shd w:val="clear" w:color="000000" w:fill="002060"/>
            <w:vAlign w:val="center"/>
            <w:hideMark/>
          </w:tcPr>
          <w:p w14:paraId="45427A54"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 </w:t>
            </w:r>
          </w:p>
        </w:tc>
        <w:tc>
          <w:tcPr>
            <w:tcW w:w="3282" w:type="pct"/>
            <w:gridSpan w:val="9"/>
            <w:vMerge w:val="restart"/>
            <w:tcBorders>
              <w:top w:val="nil"/>
              <w:left w:val="nil"/>
              <w:bottom w:val="nil"/>
              <w:right w:val="nil"/>
            </w:tcBorders>
            <w:shd w:val="clear" w:color="000000" w:fill="002060"/>
            <w:vAlign w:val="center"/>
            <w:hideMark/>
          </w:tcPr>
          <w:p w14:paraId="225BD371"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Projections</w:t>
            </w:r>
          </w:p>
        </w:tc>
      </w:tr>
      <w:tr w:rsidR="00AB1EEA" w:rsidRPr="00AB1EEA" w14:paraId="3075165A" w14:textId="77777777" w:rsidTr="00440AEE">
        <w:trPr>
          <w:trHeight w:val="260"/>
        </w:trPr>
        <w:tc>
          <w:tcPr>
            <w:tcW w:w="989" w:type="pct"/>
            <w:tcBorders>
              <w:top w:val="nil"/>
              <w:left w:val="nil"/>
              <w:bottom w:val="nil"/>
              <w:right w:val="nil"/>
            </w:tcBorders>
            <w:shd w:val="clear" w:color="000000" w:fill="002060"/>
            <w:hideMark/>
          </w:tcPr>
          <w:p w14:paraId="0DF8A466" w14:textId="77777777" w:rsidR="00AB1EEA" w:rsidRPr="00AB1EEA" w:rsidRDefault="00AB1EEA" w:rsidP="00AB1EEA">
            <w:pPr>
              <w:spacing w:before="0" w:after="0"/>
              <w:jc w:val="right"/>
              <w:rPr>
                <w:rFonts w:ascii="Arial" w:hAnsi="Arial" w:cs="Arial"/>
                <w:b/>
                <w:bCs/>
                <w:color w:val="FFFFFF"/>
                <w:sz w:val="16"/>
                <w:szCs w:val="16"/>
              </w:rPr>
            </w:pPr>
            <w:r w:rsidRPr="00AB1EEA">
              <w:rPr>
                <w:rFonts w:ascii="Arial" w:hAnsi="Arial" w:cs="Arial"/>
                <w:b/>
                <w:bCs/>
                <w:color w:val="FFFFFF"/>
                <w:sz w:val="16"/>
                <w:szCs w:val="16"/>
              </w:rPr>
              <w:t> </w:t>
            </w:r>
          </w:p>
        </w:tc>
        <w:tc>
          <w:tcPr>
            <w:tcW w:w="365" w:type="pct"/>
            <w:tcBorders>
              <w:top w:val="nil"/>
              <w:left w:val="nil"/>
              <w:bottom w:val="nil"/>
              <w:right w:val="nil"/>
            </w:tcBorders>
            <w:shd w:val="clear" w:color="000000" w:fill="002060"/>
            <w:vAlign w:val="center"/>
            <w:hideMark/>
          </w:tcPr>
          <w:p w14:paraId="16C78D9C"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Actual</w:t>
            </w:r>
          </w:p>
        </w:tc>
        <w:tc>
          <w:tcPr>
            <w:tcW w:w="365" w:type="pct"/>
            <w:vMerge/>
            <w:tcBorders>
              <w:top w:val="nil"/>
              <w:left w:val="nil"/>
              <w:bottom w:val="nil"/>
              <w:right w:val="nil"/>
            </w:tcBorders>
            <w:vAlign w:val="center"/>
            <w:hideMark/>
          </w:tcPr>
          <w:p w14:paraId="00906820" w14:textId="77777777" w:rsidR="00AB1EEA" w:rsidRPr="00AB1EEA" w:rsidRDefault="00AB1EEA" w:rsidP="00AB1EEA">
            <w:pPr>
              <w:spacing w:before="0" w:after="0"/>
              <w:rPr>
                <w:rFonts w:ascii="Arial" w:hAnsi="Arial" w:cs="Arial"/>
                <w:b/>
                <w:bCs/>
                <w:color w:val="FFFFFF"/>
                <w:sz w:val="16"/>
                <w:szCs w:val="16"/>
              </w:rPr>
            </w:pPr>
          </w:p>
        </w:tc>
        <w:tc>
          <w:tcPr>
            <w:tcW w:w="3282" w:type="pct"/>
            <w:gridSpan w:val="9"/>
            <w:vMerge/>
            <w:tcBorders>
              <w:top w:val="nil"/>
              <w:left w:val="nil"/>
              <w:bottom w:val="nil"/>
              <w:right w:val="nil"/>
            </w:tcBorders>
            <w:vAlign w:val="center"/>
            <w:hideMark/>
          </w:tcPr>
          <w:p w14:paraId="3EF74DEB" w14:textId="77777777" w:rsidR="00AB1EEA" w:rsidRPr="00AB1EEA" w:rsidRDefault="00AB1EEA" w:rsidP="00AB1EEA">
            <w:pPr>
              <w:spacing w:before="0" w:after="0"/>
              <w:rPr>
                <w:rFonts w:ascii="Arial" w:hAnsi="Arial" w:cs="Arial"/>
                <w:b/>
                <w:bCs/>
                <w:color w:val="FFFFFF"/>
                <w:sz w:val="16"/>
                <w:szCs w:val="16"/>
              </w:rPr>
            </w:pPr>
          </w:p>
        </w:tc>
      </w:tr>
      <w:tr w:rsidR="00440AEE" w:rsidRPr="00AB1EEA" w14:paraId="6BC46B0D" w14:textId="77777777" w:rsidTr="00440AEE">
        <w:trPr>
          <w:trHeight w:val="420"/>
        </w:trPr>
        <w:tc>
          <w:tcPr>
            <w:tcW w:w="989" w:type="pct"/>
            <w:tcBorders>
              <w:top w:val="nil"/>
              <w:left w:val="nil"/>
              <w:bottom w:val="nil"/>
              <w:right w:val="nil"/>
            </w:tcBorders>
            <w:shd w:val="clear" w:color="000000" w:fill="002060"/>
            <w:vAlign w:val="center"/>
            <w:hideMark/>
          </w:tcPr>
          <w:p w14:paraId="16E741CE"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 </w:t>
            </w:r>
          </w:p>
        </w:tc>
        <w:tc>
          <w:tcPr>
            <w:tcW w:w="365" w:type="pct"/>
            <w:tcBorders>
              <w:top w:val="nil"/>
              <w:left w:val="nil"/>
              <w:bottom w:val="nil"/>
              <w:right w:val="nil"/>
            </w:tcBorders>
            <w:shd w:val="clear" w:color="000000" w:fill="002060"/>
            <w:vAlign w:val="center"/>
            <w:hideMark/>
          </w:tcPr>
          <w:p w14:paraId="40D43DC6"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2024/25</w:t>
            </w:r>
          </w:p>
        </w:tc>
        <w:tc>
          <w:tcPr>
            <w:tcW w:w="365" w:type="pct"/>
            <w:tcBorders>
              <w:top w:val="nil"/>
              <w:left w:val="nil"/>
              <w:bottom w:val="nil"/>
              <w:right w:val="nil"/>
            </w:tcBorders>
            <w:shd w:val="clear" w:color="000000" w:fill="002060"/>
            <w:vAlign w:val="center"/>
            <w:hideMark/>
          </w:tcPr>
          <w:p w14:paraId="2952A8C7"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2025/26</w:t>
            </w:r>
          </w:p>
        </w:tc>
        <w:tc>
          <w:tcPr>
            <w:tcW w:w="365" w:type="pct"/>
            <w:tcBorders>
              <w:top w:val="nil"/>
              <w:left w:val="nil"/>
              <w:bottom w:val="nil"/>
              <w:right w:val="nil"/>
            </w:tcBorders>
            <w:shd w:val="clear" w:color="000000" w:fill="002060"/>
            <w:vAlign w:val="center"/>
            <w:hideMark/>
          </w:tcPr>
          <w:p w14:paraId="63219795"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2026/27</w:t>
            </w:r>
          </w:p>
        </w:tc>
        <w:tc>
          <w:tcPr>
            <w:tcW w:w="365" w:type="pct"/>
            <w:tcBorders>
              <w:top w:val="nil"/>
              <w:left w:val="nil"/>
              <w:bottom w:val="nil"/>
              <w:right w:val="nil"/>
            </w:tcBorders>
            <w:shd w:val="clear" w:color="000000" w:fill="002060"/>
            <w:vAlign w:val="center"/>
            <w:hideMark/>
          </w:tcPr>
          <w:p w14:paraId="1AC11F4D"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2027/28</w:t>
            </w:r>
          </w:p>
        </w:tc>
        <w:tc>
          <w:tcPr>
            <w:tcW w:w="365" w:type="pct"/>
            <w:tcBorders>
              <w:top w:val="nil"/>
              <w:left w:val="nil"/>
              <w:bottom w:val="nil"/>
              <w:right w:val="nil"/>
            </w:tcBorders>
            <w:shd w:val="clear" w:color="000000" w:fill="002060"/>
            <w:vAlign w:val="center"/>
            <w:hideMark/>
          </w:tcPr>
          <w:p w14:paraId="7DDA7D39"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2028/29</w:t>
            </w:r>
          </w:p>
        </w:tc>
        <w:tc>
          <w:tcPr>
            <w:tcW w:w="365" w:type="pct"/>
            <w:tcBorders>
              <w:top w:val="nil"/>
              <w:left w:val="nil"/>
              <w:bottom w:val="nil"/>
              <w:right w:val="nil"/>
            </w:tcBorders>
            <w:shd w:val="clear" w:color="000000" w:fill="002060"/>
            <w:vAlign w:val="center"/>
            <w:hideMark/>
          </w:tcPr>
          <w:p w14:paraId="4202F303"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2029/30</w:t>
            </w:r>
          </w:p>
        </w:tc>
        <w:tc>
          <w:tcPr>
            <w:tcW w:w="365" w:type="pct"/>
            <w:tcBorders>
              <w:top w:val="nil"/>
              <w:left w:val="nil"/>
              <w:bottom w:val="nil"/>
              <w:right w:val="nil"/>
            </w:tcBorders>
            <w:shd w:val="clear" w:color="000000" w:fill="002060"/>
            <w:vAlign w:val="center"/>
            <w:hideMark/>
          </w:tcPr>
          <w:p w14:paraId="063184F2"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2030/31</w:t>
            </w:r>
          </w:p>
        </w:tc>
        <w:tc>
          <w:tcPr>
            <w:tcW w:w="365" w:type="pct"/>
            <w:tcBorders>
              <w:top w:val="nil"/>
              <w:left w:val="nil"/>
              <w:bottom w:val="nil"/>
              <w:right w:val="nil"/>
            </w:tcBorders>
            <w:shd w:val="clear" w:color="000000" w:fill="002060"/>
            <w:vAlign w:val="center"/>
            <w:hideMark/>
          </w:tcPr>
          <w:p w14:paraId="34C5FD00"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2031/32</w:t>
            </w:r>
          </w:p>
        </w:tc>
        <w:tc>
          <w:tcPr>
            <w:tcW w:w="365" w:type="pct"/>
            <w:tcBorders>
              <w:top w:val="nil"/>
              <w:left w:val="nil"/>
              <w:bottom w:val="nil"/>
              <w:right w:val="nil"/>
            </w:tcBorders>
            <w:shd w:val="clear" w:color="000000" w:fill="002060"/>
            <w:vAlign w:val="center"/>
            <w:hideMark/>
          </w:tcPr>
          <w:p w14:paraId="2A87AE9C"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2032/33</w:t>
            </w:r>
          </w:p>
        </w:tc>
        <w:tc>
          <w:tcPr>
            <w:tcW w:w="365" w:type="pct"/>
            <w:tcBorders>
              <w:top w:val="nil"/>
              <w:left w:val="nil"/>
              <w:bottom w:val="nil"/>
              <w:right w:val="nil"/>
            </w:tcBorders>
            <w:shd w:val="clear" w:color="000000" w:fill="002060"/>
            <w:vAlign w:val="center"/>
            <w:hideMark/>
          </w:tcPr>
          <w:p w14:paraId="324266B2"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2033/34</w:t>
            </w:r>
          </w:p>
        </w:tc>
        <w:tc>
          <w:tcPr>
            <w:tcW w:w="365" w:type="pct"/>
            <w:tcBorders>
              <w:top w:val="nil"/>
              <w:left w:val="nil"/>
              <w:bottom w:val="nil"/>
              <w:right w:val="nil"/>
            </w:tcBorders>
            <w:shd w:val="clear" w:color="000000" w:fill="002060"/>
            <w:vAlign w:val="center"/>
            <w:hideMark/>
          </w:tcPr>
          <w:p w14:paraId="386A9434"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2034/35</w:t>
            </w:r>
          </w:p>
        </w:tc>
      </w:tr>
      <w:tr w:rsidR="00440AEE" w:rsidRPr="00AB1EEA" w14:paraId="2CE08720" w14:textId="77777777" w:rsidTr="00440AEE">
        <w:trPr>
          <w:trHeight w:val="260"/>
        </w:trPr>
        <w:tc>
          <w:tcPr>
            <w:tcW w:w="989" w:type="pct"/>
            <w:tcBorders>
              <w:top w:val="nil"/>
              <w:left w:val="nil"/>
              <w:bottom w:val="nil"/>
              <w:right w:val="nil"/>
            </w:tcBorders>
            <w:shd w:val="clear" w:color="000000" w:fill="002060"/>
            <w:vAlign w:val="center"/>
            <w:hideMark/>
          </w:tcPr>
          <w:p w14:paraId="694BBB98"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 </w:t>
            </w:r>
          </w:p>
        </w:tc>
        <w:tc>
          <w:tcPr>
            <w:tcW w:w="365" w:type="pct"/>
            <w:tcBorders>
              <w:top w:val="nil"/>
              <w:left w:val="nil"/>
              <w:bottom w:val="nil"/>
              <w:right w:val="nil"/>
            </w:tcBorders>
            <w:shd w:val="clear" w:color="000000" w:fill="002060"/>
            <w:vAlign w:val="center"/>
            <w:hideMark/>
          </w:tcPr>
          <w:p w14:paraId="1968A963"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5F36F568"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5A718AB2"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50E2A86D"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22644EAB"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7D2AAD44"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6945FDEA"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3D2AEFB8"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333B4D65"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0514F695"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c>
          <w:tcPr>
            <w:tcW w:w="365" w:type="pct"/>
            <w:tcBorders>
              <w:top w:val="nil"/>
              <w:left w:val="nil"/>
              <w:bottom w:val="nil"/>
              <w:right w:val="nil"/>
            </w:tcBorders>
            <w:shd w:val="clear" w:color="000000" w:fill="002060"/>
            <w:vAlign w:val="center"/>
            <w:hideMark/>
          </w:tcPr>
          <w:p w14:paraId="10447245" w14:textId="77777777" w:rsidR="00AB1EEA" w:rsidRPr="00AB1EEA" w:rsidRDefault="00AB1EEA" w:rsidP="00AB1EEA">
            <w:pPr>
              <w:spacing w:before="0" w:after="0"/>
              <w:jc w:val="center"/>
              <w:rPr>
                <w:rFonts w:ascii="Arial" w:hAnsi="Arial" w:cs="Arial"/>
                <w:b/>
                <w:bCs/>
                <w:color w:val="FFFFFF"/>
                <w:sz w:val="16"/>
                <w:szCs w:val="16"/>
              </w:rPr>
            </w:pPr>
            <w:r w:rsidRPr="00AB1EEA">
              <w:rPr>
                <w:rFonts w:ascii="Arial" w:hAnsi="Arial" w:cs="Arial"/>
                <w:b/>
                <w:bCs/>
                <w:color w:val="FFFFFF"/>
                <w:sz w:val="16"/>
                <w:szCs w:val="16"/>
              </w:rPr>
              <w:t>$’000</w:t>
            </w:r>
          </w:p>
        </w:tc>
      </w:tr>
      <w:tr w:rsidR="00440AEE" w:rsidRPr="00AB1EEA" w14:paraId="625A2DF0" w14:textId="77777777" w:rsidTr="00440AEE">
        <w:trPr>
          <w:trHeight w:val="260"/>
        </w:trPr>
        <w:tc>
          <w:tcPr>
            <w:tcW w:w="989" w:type="pct"/>
            <w:tcBorders>
              <w:top w:val="nil"/>
              <w:left w:val="nil"/>
              <w:bottom w:val="nil"/>
              <w:right w:val="nil"/>
            </w:tcBorders>
            <w:vAlign w:val="center"/>
            <w:hideMark/>
          </w:tcPr>
          <w:p w14:paraId="3CACAA18" w14:textId="77777777" w:rsidR="00AB1EEA" w:rsidRPr="00AB1EEA" w:rsidRDefault="00AB1EEA" w:rsidP="00AB1EEA">
            <w:pPr>
              <w:spacing w:before="0" w:after="0"/>
              <w:rPr>
                <w:rFonts w:ascii="Arial" w:hAnsi="Arial" w:cs="Arial"/>
                <w:b/>
                <w:bCs/>
                <w:sz w:val="16"/>
                <w:szCs w:val="16"/>
              </w:rPr>
            </w:pPr>
            <w:r w:rsidRPr="00AB1EEA">
              <w:rPr>
                <w:rFonts w:ascii="Arial" w:hAnsi="Arial" w:cs="Arial"/>
                <w:b/>
                <w:bCs/>
                <w:sz w:val="16"/>
                <w:szCs w:val="16"/>
              </w:rPr>
              <w:t>Staff expenditure</w:t>
            </w:r>
          </w:p>
        </w:tc>
        <w:tc>
          <w:tcPr>
            <w:tcW w:w="365" w:type="pct"/>
            <w:tcBorders>
              <w:top w:val="nil"/>
              <w:left w:val="nil"/>
              <w:bottom w:val="nil"/>
              <w:right w:val="nil"/>
            </w:tcBorders>
            <w:vAlign w:val="center"/>
            <w:hideMark/>
          </w:tcPr>
          <w:p w14:paraId="470641E5" w14:textId="77777777" w:rsidR="00AB1EEA" w:rsidRPr="00AB1EEA" w:rsidRDefault="00AB1EEA" w:rsidP="00AB1EEA">
            <w:pPr>
              <w:spacing w:before="0" w:after="0"/>
              <w:rPr>
                <w:rFonts w:ascii="Arial" w:hAnsi="Arial" w:cs="Arial"/>
                <w:b/>
                <w:bCs/>
                <w:sz w:val="16"/>
                <w:szCs w:val="16"/>
              </w:rPr>
            </w:pPr>
            <w:r w:rsidRPr="00AB1EEA">
              <w:rPr>
                <w:rFonts w:ascii="Arial" w:hAnsi="Arial" w:cs="Arial"/>
                <w:b/>
                <w:bCs/>
                <w:sz w:val="16"/>
                <w:szCs w:val="16"/>
              </w:rPr>
              <w:t> </w:t>
            </w:r>
          </w:p>
        </w:tc>
        <w:tc>
          <w:tcPr>
            <w:tcW w:w="365" w:type="pct"/>
            <w:tcBorders>
              <w:top w:val="nil"/>
              <w:left w:val="nil"/>
              <w:bottom w:val="nil"/>
              <w:right w:val="nil"/>
            </w:tcBorders>
            <w:vAlign w:val="center"/>
            <w:hideMark/>
          </w:tcPr>
          <w:p w14:paraId="561ACC9A"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5D2804B0"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6348BE7C"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78C0801F"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0C0026BE"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7CDAF5B3"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7710DA72"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5C994285"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7E99D2F0"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6E3E2D3B"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r>
      <w:tr w:rsidR="00440AEE" w:rsidRPr="00AB1EEA" w14:paraId="21C5CF6D" w14:textId="77777777" w:rsidTr="00440AEE">
        <w:trPr>
          <w:trHeight w:val="260"/>
        </w:trPr>
        <w:tc>
          <w:tcPr>
            <w:tcW w:w="989" w:type="pct"/>
            <w:tcBorders>
              <w:top w:val="nil"/>
              <w:left w:val="nil"/>
              <w:bottom w:val="nil"/>
              <w:right w:val="nil"/>
            </w:tcBorders>
            <w:vAlign w:val="center"/>
            <w:hideMark/>
          </w:tcPr>
          <w:p w14:paraId="38A1339E"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Employee costs - operating</w:t>
            </w:r>
          </w:p>
        </w:tc>
        <w:tc>
          <w:tcPr>
            <w:tcW w:w="365" w:type="pct"/>
            <w:tcBorders>
              <w:top w:val="nil"/>
              <w:left w:val="nil"/>
              <w:bottom w:val="nil"/>
              <w:right w:val="nil"/>
            </w:tcBorders>
            <w:vAlign w:val="center"/>
            <w:hideMark/>
          </w:tcPr>
          <w:p w14:paraId="1B460FA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59,963</w:t>
            </w:r>
          </w:p>
        </w:tc>
        <w:tc>
          <w:tcPr>
            <w:tcW w:w="365" w:type="pct"/>
            <w:tcBorders>
              <w:top w:val="nil"/>
              <w:left w:val="nil"/>
              <w:bottom w:val="nil"/>
              <w:right w:val="nil"/>
            </w:tcBorders>
            <w:vAlign w:val="center"/>
            <w:hideMark/>
          </w:tcPr>
          <w:p w14:paraId="69D3A95F"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61,296</w:t>
            </w:r>
          </w:p>
        </w:tc>
        <w:tc>
          <w:tcPr>
            <w:tcW w:w="365" w:type="pct"/>
            <w:tcBorders>
              <w:top w:val="nil"/>
              <w:left w:val="nil"/>
              <w:bottom w:val="nil"/>
              <w:right w:val="nil"/>
            </w:tcBorders>
            <w:vAlign w:val="center"/>
            <w:hideMark/>
          </w:tcPr>
          <w:p w14:paraId="78159FB0"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65,802</w:t>
            </w:r>
          </w:p>
        </w:tc>
        <w:tc>
          <w:tcPr>
            <w:tcW w:w="365" w:type="pct"/>
            <w:tcBorders>
              <w:top w:val="nil"/>
              <w:left w:val="nil"/>
              <w:bottom w:val="nil"/>
              <w:right w:val="nil"/>
            </w:tcBorders>
            <w:vAlign w:val="center"/>
            <w:hideMark/>
          </w:tcPr>
          <w:p w14:paraId="709C1EA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70,645</w:t>
            </w:r>
          </w:p>
        </w:tc>
        <w:tc>
          <w:tcPr>
            <w:tcW w:w="365" w:type="pct"/>
            <w:tcBorders>
              <w:top w:val="nil"/>
              <w:left w:val="nil"/>
              <w:bottom w:val="nil"/>
              <w:right w:val="nil"/>
            </w:tcBorders>
            <w:vAlign w:val="center"/>
            <w:hideMark/>
          </w:tcPr>
          <w:p w14:paraId="30507596"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73,422</w:t>
            </w:r>
          </w:p>
        </w:tc>
        <w:tc>
          <w:tcPr>
            <w:tcW w:w="365" w:type="pct"/>
            <w:tcBorders>
              <w:top w:val="nil"/>
              <w:left w:val="nil"/>
              <w:bottom w:val="nil"/>
              <w:right w:val="nil"/>
            </w:tcBorders>
            <w:vAlign w:val="center"/>
            <w:hideMark/>
          </w:tcPr>
          <w:p w14:paraId="19BBC6A6"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76,310</w:t>
            </w:r>
          </w:p>
        </w:tc>
        <w:tc>
          <w:tcPr>
            <w:tcW w:w="365" w:type="pct"/>
            <w:tcBorders>
              <w:top w:val="nil"/>
              <w:left w:val="nil"/>
              <w:bottom w:val="nil"/>
              <w:right w:val="nil"/>
            </w:tcBorders>
            <w:vAlign w:val="center"/>
            <w:hideMark/>
          </w:tcPr>
          <w:p w14:paraId="53C088E6"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79,313</w:t>
            </w:r>
          </w:p>
        </w:tc>
        <w:tc>
          <w:tcPr>
            <w:tcW w:w="365" w:type="pct"/>
            <w:tcBorders>
              <w:top w:val="nil"/>
              <w:left w:val="nil"/>
              <w:bottom w:val="nil"/>
              <w:right w:val="nil"/>
            </w:tcBorders>
            <w:vAlign w:val="center"/>
            <w:hideMark/>
          </w:tcPr>
          <w:p w14:paraId="1C50BB0B"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82,437</w:t>
            </w:r>
          </w:p>
        </w:tc>
        <w:tc>
          <w:tcPr>
            <w:tcW w:w="365" w:type="pct"/>
            <w:tcBorders>
              <w:top w:val="nil"/>
              <w:left w:val="nil"/>
              <w:bottom w:val="nil"/>
              <w:right w:val="nil"/>
            </w:tcBorders>
            <w:vAlign w:val="center"/>
            <w:hideMark/>
          </w:tcPr>
          <w:p w14:paraId="6024668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85,686</w:t>
            </w:r>
          </w:p>
        </w:tc>
        <w:tc>
          <w:tcPr>
            <w:tcW w:w="365" w:type="pct"/>
            <w:tcBorders>
              <w:top w:val="nil"/>
              <w:left w:val="nil"/>
              <w:bottom w:val="nil"/>
              <w:right w:val="nil"/>
            </w:tcBorders>
            <w:vAlign w:val="center"/>
            <w:hideMark/>
          </w:tcPr>
          <w:p w14:paraId="6F7DC7C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89,064</w:t>
            </w:r>
          </w:p>
        </w:tc>
        <w:tc>
          <w:tcPr>
            <w:tcW w:w="365" w:type="pct"/>
            <w:tcBorders>
              <w:top w:val="nil"/>
              <w:left w:val="nil"/>
              <w:bottom w:val="nil"/>
              <w:right w:val="nil"/>
            </w:tcBorders>
            <w:vAlign w:val="center"/>
            <w:hideMark/>
          </w:tcPr>
          <w:p w14:paraId="4765A709"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92,578</w:t>
            </w:r>
          </w:p>
        </w:tc>
      </w:tr>
      <w:tr w:rsidR="00440AEE" w:rsidRPr="00AB1EEA" w14:paraId="36F0E1D5" w14:textId="77777777" w:rsidTr="00440AEE">
        <w:trPr>
          <w:trHeight w:val="270"/>
        </w:trPr>
        <w:tc>
          <w:tcPr>
            <w:tcW w:w="989" w:type="pct"/>
            <w:tcBorders>
              <w:top w:val="nil"/>
              <w:left w:val="nil"/>
              <w:bottom w:val="nil"/>
              <w:right w:val="nil"/>
            </w:tcBorders>
            <w:vAlign w:val="center"/>
            <w:hideMark/>
          </w:tcPr>
          <w:p w14:paraId="3CB34331"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Employee costs - capital</w:t>
            </w:r>
          </w:p>
        </w:tc>
        <w:tc>
          <w:tcPr>
            <w:tcW w:w="365" w:type="pct"/>
            <w:tcBorders>
              <w:top w:val="nil"/>
              <w:left w:val="nil"/>
              <w:bottom w:val="single" w:sz="8" w:space="0" w:color="auto"/>
              <w:right w:val="nil"/>
            </w:tcBorders>
            <w:vAlign w:val="center"/>
            <w:hideMark/>
          </w:tcPr>
          <w:p w14:paraId="44258A4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921</w:t>
            </w:r>
          </w:p>
        </w:tc>
        <w:tc>
          <w:tcPr>
            <w:tcW w:w="365" w:type="pct"/>
            <w:tcBorders>
              <w:top w:val="nil"/>
              <w:left w:val="nil"/>
              <w:bottom w:val="single" w:sz="8" w:space="0" w:color="auto"/>
              <w:right w:val="nil"/>
            </w:tcBorders>
            <w:vAlign w:val="center"/>
            <w:hideMark/>
          </w:tcPr>
          <w:p w14:paraId="6F370A67"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1,399</w:t>
            </w:r>
          </w:p>
        </w:tc>
        <w:tc>
          <w:tcPr>
            <w:tcW w:w="365" w:type="pct"/>
            <w:tcBorders>
              <w:top w:val="nil"/>
              <w:left w:val="nil"/>
              <w:bottom w:val="single" w:sz="8" w:space="0" w:color="auto"/>
              <w:right w:val="nil"/>
            </w:tcBorders>
            <w:vAlign w:val="center"/>
            <w:hideMark/>
          </w:tcPr>
          <w:p w14:paraId="2D97033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1,084</w:t>
            </w:r>
          </w:p>
        </w:tc>
        <w:tc>
          <w:tcPr>
            <w:tcW w:w="365" w:type="pct"/>
            <w:tcBorders>
              <w:top w:val="nil"/>
              <w:left w:val="nil"/>
              <w:bottom w:val="single" w:sz="8" w:space="0" w:color="auto"/>
              <w:right w:val="nil"/>
            </w:tcBorders>
            <w:vAlign w:val="center"/>
            <w:hideMark/>
          </w:tcPr>
          <w:p w14:paraId="1563EB58"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1,146</w:t>
            </w:r>
          </w:p>
        </w:tc>
        <w:tc>
          <w:tcPr>
            <w:tcW w:w="365" w:type="pct"/>
            <w:tcBorders>
              <w:top w:val="nil"/>
              <w:left w:val="nil"/>
              <w:bottom w:val="single" w:sz="8" w:space="0" w:color="auto"/>
              <w:right w:val="nil"/>
            </w:tcBorders>
            <w:vAlign w:val="center"/>
            <w:hideMark/>
          </w:tcPr>
          <w:p w14:paraId="35483A9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1,162</w:t>
            </w:r>
          </w:p>
        </w:tc>
        <w:tc>
          <w:tcPr>
            <w:tcW w:w="365" w:type="pct"/>
            <w:tcBorders>
              <w:top w:val="nil"/>
              <w:left w:val="nil"/>
              <w:bottom w:val="single" w:sz="8" w:space="0" w:color="auto"/>
              <w:right w:val="nil"/>
            </w:tcBorders>
            <w:vAlign w:val="center"/>
            <w:hideMark/>
          </w:tcPr>
          <w:p w14:paraId="2EFC0EAB"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1,057</w:t>
            </w:r>
          </w:p>
        </w:tc>
        <w:tc>
          <w:tcPr>
            <w:tcW w:w="365" w:type="pct"/>
            <w:tcBorders>
              <w:top w:val="nil"/>
              <w:left w:val="nil"/>
              <w:bottom w:val="single" w:sz="8" w:space="0" w:color="auto"/>
              <w:right w:val="nil"/>
            </w:tcBorders>
            <w:vAlign w:val="center"/>
            <w:hideMark/>
          </w:tcPr>
          <w:p w14:paraId="16CB73DD"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1,040</w:t>
            </w:r>
          </w:p>
        </w:tc>
        <w:tc>
          <w:tcPr>
            <w:tcW w:w="365" w:type="pct"/>
            <w:tcBorders>
              <w:top w:val="nil"/>
              <w:left w:val="nil"/>
              <w:bottom w:val="single" w:sz="8" w:space="0" w:color="auto"/>
              <w:right w:val="nil"/>
            </w:tcBorders>
            <w:vAlign w:val="center"/>
            <w:hideMark/>
          </w:tcPr>
          <w:p w14:paraId="1628B28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1,055</w:t>
            </w:r>
          </w:p>
        </w:tc>
        <w:tc>
          <w:tcPr>
            <w:tcW w:w="365" w:type="pct"/>
            <w:tcBorders>
              <w:top w:val="nil"/>
              <w:left w:val="nil"/>
              <w:bottom w:val="single" w:sz="8" w:space="0" w:color="auto"/>
              <w:right w:val="nil"/>
            </w:tcBorders>
            <w:vAlign w:val="center"/>
            <w:hideMark/>
          </w:tcPr>
          <w:p w14:paraId="32561606"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1,124</w:t>
            </w:r>
          </w:p>
        </w:tc>
        <w:tc>
          <w:tcPr>
            <w:tcW w:w="365" w:type="pct"/>
            <w:tcBorders>
              <w:top w:val="nil"/>
              <w:left w:val="nil"/>
              <w:bottom w:val="single" w:sz="8" w:space="0" w:color="auto"/>
              <w:right w:val="nil"/>
            </w:tcBorders>
            <w:vAlign w:val="center"/>
            <w:hideMark/>
          </w:tcPr>
          <w:p w14:paraId="2B97BF5E"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1,102</w:t>
            </w:r>
          </w:p>
        </w:tc>
        <w:tc>
          <w:tcPr>
            <w:tcW w:w="365" w:type="pct"/>
            <w:tcBorders>
              <w:top w:val="nil"/>
              <w:left w:val="nil"/>
              <w:bottom w:val="single" w:sz="8" w:space="0" w:color="auto"/>
              <w:right w:val="nil"/>
            </w:tcBorders>
            <w:vAlign w:val="center"/>
            <w:hideMark/>
          </w:tcPr>
          <w:p w14:paraId="77955528"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1,124</w:t>
            </w:r>
          </w:p>
        </w:tc>
      </w:tr>
      <w:tr w:rsidR="00440AEE" w:rsidRPr="00AB1EEA" w14:paraId="3FA1F8B8" w14:textId="77777777" w:rsidTr="00440AEE">
        <w:trPr>
          <w:trHeight w:val="270"/>
        </w:trPr>
        <w:tc>
          <w:tcPr>
            <w:tcW w:w="989" w:type="pct"/>
            <w:tcBorders>
              <w:top w:val="nil"/>
              <w:left w:val="nil"/>
              <w:bottom w:val="nil"/>
              <w:right w:val="nil"/>
            </w:tcBorders>
            <w:vAlign w:val="center"/>
            <w:hideMark/>
          </w:tcPr>
          <w:p w14:paraId="52147D6C" w14:textId="77777777" w:rsidR="00AB1EEA" w:rsidRPr="00AB1EEA" w:rsidRDefault="00AB1EEA" w:rsidP="00AB1EEA">
            <w:pPr>
              <w:spacing w:before="0" w:after="0"/>
              <w:rPr>
                <w:rFonts w:ascii="Arial" w:hAnsi="Arial" w:cs="Arial"/>
                <w:b/>
                <w:bCs/>
                <w:sz w:val="16"/>
                <w:szCs w:val="16"/>
              </w:rPr>
            </w:pPr>
            <w:r w:rsidRPr="00AB1EEA">
              <w:rPr>
                <w:rFonts w:ascii="Arial" w:hAnsi="Arial" w:cs="Arial"/>
                <w:b/>
                <w:bCs/>
                <w:sz w:val="16"/>
                <w:szCs w:val="16"/>
              </w:rPr>
              <w:t xml:space="preserve">Total staff expenditure </w:t>
            </w:r>
          </w:p>
        </w:tc>
        <w:tc>
          <w:tcPr>
            <w:tcW w:w="365" w:type="pct"/>
            <w:tcBorders>
              <w:top w:val="nil"/>
              <w:left w:val="nil"/>
              <w:bottom w:val="double" w:sz="6" w:space="0" w:color="auto"/>
              <w:right w:val="nil"/>
            </w:tcBorders>
            <w:vAlign w:val="center"/>
            <w:hideMark/>
          </w:tcPr>
          <w:p w14:paraId="771C784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60,884</w:t>
            </w:r>
          </w:p>
        </w:tc>
        <w:tc>
          <w:tcPr>
            <w:tcW w:w="365" w:type="pct"/>
            <w:tcBorders>
              <w:top w:val="nil"/>
              <w:left w:val="nil"/>
              <w:bottom w:val="double" w:sz="6" w:space="0" w:color="auto"/>
              <w:right w:val="nil"/>
            </w:tcBorders>
            <w:vAlign w:val="center"/>
            <w:hideMark/>
          </w:tcPr>
          <w:p w14:paraId="1A3FA9D8"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62,695</w:t>
            </w:r>
          </w:p>
        </w:tc>
        <w:tc>
          <w:tcPr>
            <w:tcW w:w="365" w:type="pct"/>
            <w:tcBorders>
              <w:top w:val="nil"/>
              <w:left w:val="nil"/>
              <w:bottom w:val="double" w:sz="6" w:space="0" w:color="auto"/>
              <w:right w:val="nil"/>
            </w:tcBorders>
            <w:vAlign w:val="center"/>
            <w:hideMark/>
          </w:tcPr>
          <w:p w14:paraId="176379CB"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66,886</w:t>
            </w:r>
          </w:p>
        </w:tc>
        <w:tc>
          <w:tcPr>
            <w:tcW w:w="365" w:type="pct"/>
            <w:tcBorders>
              <w:top w:val="nil"/>
              <w:left w:val="nil"/>
              <w:bottom w:val="double" w:sz="6" w:space="0" w:color="auto"/>
              <w:right w:val="nil"/>
            </w:tcBorders>
            <w:vAlign w:val="center"/>
            <w:hideMark/>
          </w:tcPr>
          <w:p w14:paraId="5E442EA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71,791</w:t>
            </w:r>
          </w:p>
        </w:tc>
        <w:tc>
          <w:tcPr>
            <w:tcW w:w="365" w:type="pct"/>
            <w:tcBorders>
              <w:top w:val="nil"/>
              <w:left w:val="nil"/>
              <w:bottom w:val="double" w:sz="6" w:space="0" w:color="auto"/>
              <w:right w:val="nil"/>
            </w:tcBorders>
            <w:vAlign w:val="center"/>
            <w:hideMark/>
          </w:tcPr>
          <w:p w14:paraId="78BF52B9"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74,584</w:t>
            </w:r>
          </w:p>
        </w:tc>
        <w:tc>
          <w:tcPr>
            <w:tcW w:w="365" w:type="pct"/>
            <w:tcBorders>
              <w:top w:val="nil"/>
              <w:left w:val="nil"/>
              <w:bottom w:val="double" w:sz="6" w:space="0" w:color="auto"/>
              <w:right w:val="nil"/>
            </w:tcBorders>
            <w:vAlign w:val="center"/>
            <w:hideMark/>
          </w:tcPr>
          <w:p w14:paraId="5ED58608"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77,367</w:t>
            </w:r>
          </w:p>
        </w:tc>
        <w:tc>
          <w:tcPr>
            <w:tcW w:w="365" w:type="pct"/>
            <w:tcBorders>
              <w:top w:val="nil"/>
              <w:left w:val="nil"/>
              <w:bottom w:val="double" w:sz="6" w:space="0" w:color="auto"/>
              <w:right w:val="nil"/>
            </w:tcBorders>
            <w:vAlign w:val="center"/>
            <w:hideMark/>
          </w:tcPr>
          <w:p w14:paraId="4083C071"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80,354</w:t>
            </w:r>
          </w:p>
        </w:tc>
        <w:tc>
          <w:tcPr>
            <w:tcW w:w="365" w:type="pct"/>
            <w:tcBorders>
              <w:top w:val="nil"/>
              <w:left w:val="nil"/>
              <w:bottom w:val="double" w:sz="6" w:space="0" w:color="auto"/>
              <w:right w:val="nil"/>
            </w:tcBorders>
            <w:vAlign w:val="center"/>
            <w:hideMark/>
          </w:tcPr>
          <w:p w14:paraId="197A793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83,492</w:t>
            </w:r>
          </w:p>
        </w:tc>
        <w:tc>
          <w:tcPr>
            <w:tcW w:w="365" w:type="pct"/>
            <w:tcBorders>
              <w:top w:val="nil"/>
              <w:left w:val="nil"/>
              <w:bottom w:val="double" w:sz="6" w:space="0" w:color="auto"/>
              <w:right w:val="nil"/>
            </w:tcBorders>
            <w:vAlign w:val="center"/>
            <w:hideMark/>
          </w:tcPr>
          <w:p w14:paraId="0A899F88"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86,809</w:t>
            </w:r>
          </w:p>
        </w:tc>
        <w:tc>
          <w:tcPr>
            <w:tcW w:w="365" w:type="pct"/>
            <w:tcBorders>
              <w:top w:val="nil"/>
              <w:left w:val="nil"/>
              <w:bottom w:val="double" w:sz="6" w:space="0" w:color="auto"/>
              <w:right w:val="nil"/>
            </w:tcBorders>
            <w:vAlign w:val="center"/>
            <w:hideMark/>
          </w:tcPr>
          <w:p w14:paraId="5CB9E8BD"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90,166</w:t>
            </w:r>
          </w:p>
        </w:tc>
        <w:tc>
          <w:tcPr>
            <w:tcW w:w="365" w:type="pct"/>
            <w:tcBorders>
              <w:top w:val="nil"/>
              <w:left w:val="nil"/>
              <w:bottom w:val="double" w:sz="6" w:space="0" w:color="auto"/>
              <w:right w:val="nil"/>
            </w:tcBorders>
            <w:vAlign w:val="center"/>
            <w:hideMark/>
          </w:tcPr>
          <w:p w14:paraId="63228DA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93,702</w:t>
            </w:r>
          </w:p>
        </w:tc>
      </w:tr>
      <w:tr w:rsidR="00440AEE" w:rsidRPr="00AB1EEA" w14:paraId="483B4F7B" w14:textId="77777777" w:rsidTr="00440AEE">
        <w:trPr>
          <w:trHeight w:val="270"/>
        </w:trPr>
        <w:tc>
          <w:tcPr>
            <w:tcW w:w="989" w:type="pct"/>
            <w:tcBorders>
              <w:top w:val="nil"/>
              <w:left w:val="nil"/>
              <w:bottom w:val="nil"/>
              <w:right w:val="nil"/>
            </w:tcBorders>
            <w:vAlign w:val="center"/>
            <w:hideMark/>
          </w:tcPr>
          <w:p w14:paraId="43CF80A3"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0A86C63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6F6F972E"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2707A012"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6A949CC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624FF1CF"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2FFC78C7"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03B23753"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67011423"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2F6E6A4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39EF8D98"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3617C05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r>
      <w:tr w:rsidR="00440AEE" w:rsidRPr="00AB1EEA" w14:paraId="2D53633E" w14:textId="77777777" w:rsidTr="00440AEE">
        <w:trPr>
          <w:trHeight w:val="260"/>
        </w:trPr>
        <w:tc>
          <w:tcPr>
            <w:tcW w:w="989" w:type="pct"/>
            <w:tcBorders>
              <w:top w:val="nil"/>
              <w:left w:val="nil"/>
              <w:bottom w:val="nil"/>
              <w:right w:val="nil"/>
            </w:tcBorders>
            <w:vAlign w:val="center"/>
            <w:hideMark/>
          </w:tcPr>
          <w:p w14:paraId="2664F528"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0A1DC059"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3268CE61"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79C233FB"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2A510EB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02AF012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0ECC6AF3"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532F92B8"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631C6E4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54BFF7BB"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638F9B85"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c>
          <w:tcPr>
            <w:tcW w:w="365" w:type="pct"/>
            <w:tcBorders>
              <w:top w:val="nil"/>
              <w:left w:val="nil"/>
              <w:bottom w:val="nil"/>
              <w:right w:val="nil"/>
            </w:tcBorders>
            <w:vAlign w:val="center"/>
            <w:hideMark/>
          </w:tcPr>
          <w:p w14:paraId="174E2E50"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FTE</w:t>
            </w:r>
          </w:p>
        </w:tc>
      </w:tr>
      <w:tr w:rsidR="00440AEE" w:rsidRPr="00AB1EEA" w14:paraId="633E8926" w14:textId="77777777" w:rsidTr="00440AEE">
        <w:trPr>
          <w:trHeight w:val="260"/>
        </w:trPr>
        <w:tc>
          <w:tcPr>
            <w:tcW w:w="989" w:type="pct"/>
            <w:tcBorders>
              <w:top w:val="nil"/>
              <w:left w:val="nil"/>
              <w:bottom w:val="nil"/>
              <w:right w:val="nil"/>
            </w:tcBorders>
            <w:vAlign w:val="center"/>
            <w:hideMark/>
          </w:tcPr>
          <w:p w14:paraId="7313137E" w14:textId="77777777" w:rsidR="00AB1EEA" w:rsidRPr="00AB1EEA" w:rsidRDefault="00AB1EEA" w:rsidP="00AB1EEA">
            <w:pPr>
              <w:spacing w:before="0" w:after="0"/>
              <w:rPr>
                <w:rFonts w:ascii="Arial" w:hAnsi="Arial" w:cs="Arial"/>
                <w:b/>
                <w:bCs/>
                <w:sz w:val="16"/>
                <w:szCs w:val="16"/>
              </w:rPr>
            </w:pPr>
            <w:r w:rsidRPr="00AB1EEA">
              <w:rPr>
                <w:rFonts w:ascii="Arial" w:hAnsi="Arial" w:cs="Arial"/>
                <w:b/>
                <w:bCs/>
                <w:sz w:val="16"/>
                <w:szCs w:val="16"/>
              </w:rPr>
              <w:t>Staff numbers</w:t>
            </w:r>
          </w:p>
        </w:tc>
        <w:tc>
          <w:tcPr>
            <w:tcW w:w="365" w:type="pct"/>
            <w:tcBorders>
              <w:top w:val="nil"/>
              <w:left w:val="nil"/>
              <w:bottom w:val="nil"/>
              <w:right w:val="nil"/>
            </w:tcBorders>
            <w:vAlign w:val="center"/>
            <w:hideMark/>
          </w:tcPr>
          <w:p w14:paraId="3DDFBE09"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4B8A4373"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124A6700"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4B5E24C5"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75B57520"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4D5B4B7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426B7517"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2F77D12B"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22A021F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74447F55"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c>
          <w:tcPr>
            <w:tcW w:w="365" w:type="pct"/>
            <w:tcBorders>
              <w:top w:val="nil"/>
              <w:left w:val="nil"/>
              <w:bottom w:val="nil"/>
              <w:right w:val="nil"/>
            </w:tcBorders>
            <w:vAlign w:val="center"/>
            <w:hideMark/>
          </w:tcPr>
          <w:p w14:paraId="02D5E85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 </w:t>
            </w:r>
          </w:p>
        </w:tc>
      </w:tr>
      <w:tr w:rsidR="00440AEE" w:rsidRPr="00AB1EEA" w14:paraId="5E0C2B43" w14:textId="77777777" w:rsidTr="00440AEE">
        <w:trPr>
          <w:trHeight w:val="270"/>
        </w:trPr>
        <w:tc>
          <w:tcPr>
            <w:tcW w:w="989" w:type="pct"/>
            <w:tcBorders>
              <w:top w:val="nil"/>
              <w:left w:val="nil"/>
              <w:bottom w:val="nil"/>
              <w:right w:val="nil"/>
            </w:tcBorders>
            <w:vAlign w:val="center"/>
            <w:hideMark/>
          </w:tcPr>
          <w:p w14:paraId="71205E35"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Employees</w:t>
            </w:r>
          </w:p>
        </w:tc>
        <w:tc>
          <w:tcPr>
            <w:tcW w:w="365" w:type="pct"/>
            <w:tcBorders>
              <w:top w:val="nil"/>
              <w:left w:val="nil"/>
              <w:bottom w:val="single" w:sz="8" w:space="0" w:color="auto"/>
              <w:right w:val="nil"/>
            </w:tcBorders>
            <w:vAlign w:val="center"/>
            <w:hideMark/>
          </w:tcPr>
          <w:p w14:paraId="01CAFB36"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501.5</w:t>
            </w:r>
          </w:p>
        </w:tc>
        <w:tc>
          <w:tcPr>
            <w:tcW w:w="365" w:type="pct"/>
            <w:tcBorders>
              <w:top w:val="nil"/>
              <w:left w:val="nil"/>
              <w:bottom w:val="single" w:sz="8" w:space="0" w:color="auto"/>
              <w:right w:val="nil"/>
            </w:tcBorders>
            <w:vAlign w:val="center"/>
            <w:hideMark/>
          </w:tcPr>
          <w:p w14:paraId="6314061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single" w:sz="8" w:space="0" w:color="auto"/>
              <w:right w:val="nil"/>
            </w:tcBorders>
            <w:vAlign w:val="center"/>
            <w:hideMark/>
          </w:tcPr>
          <w:p w14:paraId="123A27B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single" w:sz="8" w:space="0" w:color="auto"/>
              <w:right w:val="nil"/>
            </w:tcBorders>
            <w:vAlign w:val="center"/>
            <w:hideMark/>
          </w:tcPr>
          <w:p w14:paraId="5C11E73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single" w:sz="8" w:space="0" w:color="auto"/>
              <w:right w:val="nil"/>
            </w:tcBorders>
            <w:vAlign w:val="center"/>
            <w:hideMark/>
          </w:tcPr>
          <w:p w14:paraId="35E076CF"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single" w:sz="8" w:space="0" w:color="auto"/>
              <w:right w:val="nil"/>
            </w:tcBorders>
            <w:vAlign w:val="center"/>
            <w:hideMark/>
          </w:tcPr>
          <w:p w14:paraId="7F3ABBC3"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single" w:sz="8" w:space="0" w:color="auto"/>
              <w:right w:val="nil"/>
            </w:tcBorders>
            <w:vAlign w:val="center"/>
            <w:hideMark/>
          </w:tcPr>
          <w:p w14:paraId="0B421C82"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single" w:sz="8" w:space="0" w:color="auto"/>
              <w:right w:val="nil"/>
            </w:tcBorders>
            <w:vAlign w:val="center"/>
            <w:hideMark/>
          </w:tcPr>
          <w:p w14:paraId="024C53A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single" w:sz="8" w:space="0" w:color="auto"/>
              <w:right w:val="nil"/>
            </w:tcBorders>
            <w:vAlign w:val="center"/>
            <w:hideMark/>
          </w:tcPr>
          <w:p w14:paraId="45324938"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single" w:sz="8" w:space="0" w:color="auto"/>
              <w:right w:val="nil"/>
            </w:tcBorders>
            <w:vAlign w:val="center"/>
            <w:hideMark/>
          </w:tcPr>
          <w:p w14:paraId="352FC67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single" w:sz="8" w:space="0" w:color="auto"/>
              <w:right w:val="nil"/>
            </w:tcBorders>
            <w:vAlign w:val="center"/>
            <w:hideMark/>
          </w:tcPr>
          <w:p w14:paraId="04DE4510"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r>
      <w:tr w:rsidR="00440AEE" w:rsidRPr="00AB1EEA" w14:paraId="2D9ECB69" w14:textId="77777777" w:rsidTr="00440AEE">
        <w:trPr>
          <w:trHeight w:val="270"/>
        </w:trPr>
        <w:tc>
          <w:tcPr>
            <w:tcW w:w="989" w:type="pct"/>
            <w:tcBorders>
              <w:top w:val="nil"/>
              <w:left w:val="nil"/>
              <w:bottom w:val="nil"/>
              <w:right w:val="nil"/>
            </w:tcBorders>
            <w:vAlign w:val="center"/>
            <w:hideMark/>
          </w:tcPr>
          <w:p w14:paraId="13E488E0" w14:textId="77777777" w:rsidR="00AB1EEA" w:rsidRPr="00AB1EEA" w:rsidRDefault="00AB1EEA" w:rsidP="00AB1EEA">
            <w:pPr>
              <w:spacing w:before="0" w:after="0"/>
              <w:rPr>
                <w:rFonts w:ascii="Arial" w:hAnsi="Arial" w:cs="Arial"/>
                <w:sz w:val="16"/>
                <w:szCs w:val="16"/>
              </w:rPr>
            </w:pPr>
            <w:r w:rsidRPr="00AB1EEA">
              <w:rPr>
                <w:rFonts w:ascii="Arial" w:hAnsi="Arial" w:cs="Arial"/>
                <w:sz w:val="16"/>
                <w:szCs w:val="16"/>
              </w:rPr>
              <w:t>Total staff numbers</w:t>
            </w:r>
          </w:p>
        </w:tc>
        <w:tc>
          <w:tcPr>
            <w:tcW w:w="365" w:type="pct"/>
            <w:tcBorders>
              <w:top w:val="nil"/>
              <w:left w:val="nil"/>
              <w:bottom w:val="double" w:sz="6" w:space="0" w:color="auto"/>
              <w:right w:val="nil"/>
            </w:tcBorders>
            <w:vAlign w:val="center"/>
            <w:hideMark/>
          </w:tcPr>
          <w:p w14:paraId="4163C38E"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501.5</w:t>
            </w:r>
          </w:p>
        </w:tc>
        <w:tc>
          <w:tcPr>
            <w:tcW w:w="365" w:type="pct"/>
            <w:tcBorders>
              <w:top w:val="nil"/>
              <w:left w:val="nil"/>
              <w:bottom w:val="double" w:sz="6" w:space="0" w:color="auto"/>
              <w:right w:val="nil"/>
            </w:tcBorders>
            <w:vAlign w:val="center"/>
            <w:hideMark/>
          </w:tcPr>
          <w:p w14:paraId="2B51F1AF"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double" w:sz="6" w:space="0" w:color="auto"/>
              <w:right w:val="nil"/>
            </w:tcBorders>
            <w:vAlign w:val="center"/>
            <w:hideMark/>
          </w:tcPr>
          <w:p w14:paraId="01B18AEA"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double" w:sz="6" w:space="0" w:color="auto"/>
              <w:right w:val="nil"/>
            </w:tcBorders>
            <w:vAlign w:val="center"/>
            <w:hideMark/>
          </w:tcPr>
          <w:p w14:paraId="132AD94D"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double" w:sz="6" w:space="0" w:color="auto"/>
              <w:right w:val="nil"/>
            </w:tcBorders>
            <w:vAlign w:val="center"/>
            <w:hideMark/>
          </w:tcPr>
          <w:p w14:paraId="6DDF0B7B"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double" w:sz="6" w:space="0" w:color="auto"/>
              <w:right w:val="nil"/>
            </w:tcBorders>
            <w:vAlign w:val="center"/>
            <w:hideMark/>
          </w:tcPr>
          <w:p w14:paraId="20C85A7B"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double" w:sz="6" w:space="0" w:color="auto"/>
              <w:right w:val="nil"/>
            </w:tcBorders>
            <w:vAlign w:val="center"/>
            <w:hideMark/>
          </w:tcPr>
          <w:p w14:paraId="4143F0A2"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double" w:sz="6" w:space="0" w:color="auto"/>
              <w:right w:val="nil"/>
            </w:tcBorders>
            <w:vAlign w:val="center"/>
            <w:hideMark/>
          </w:tcPr>
          <w:p w14:paraId="6673496C"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double" w:sz="6" w:space="0" w:color="auto"/>
              <w:right w:val="nil"/>
            </w:tcBorders>
            <w:vAlign w:val="center"/>
            <w:hideMark/>
          </w:tcPr>
          <w:p w14:paraId="6FD4948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double" w:sz="6" w:space="0" w:color="auto"/>
              <w:right w:val="nil"/>
            </w:tcBorders>
            <w:vAlign w:val="center"/>
            <w:hideMark/>
          </w:tcPr>
          <w:p w14:paraId="49527574"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c>
          <w:tcPr>
            <w:tcW w:w="365" w:type="pct"/>
            <w:tcBorders>
              <w:top w:val="nil"/>
              <w:left w:val="nil"/>
              <w:bottom w:val="double" w:sz="6" w:space="0" w:color="auto"/>
              <w:right w:val="nil"/>
            </w:tcBorders>
            <w:vAlign w:val="center"/>
            <w:hideMark/>
          </w:tcPr>
          <w:p w14:paraId="7B70B363" w14:textId="77777777" w:rsidR="00AB1EEA" w:rsidRPr="00AB1EEA" w:rsidRDefault="00AB1EEA" w:rsidP="00AB1EEA">
            <w:pPr>
              <w:spacing w:before="0" w:after="0"/>
              <w:jc w:val="right"/>
              <w:rPr>
                <w:rFonts w:ascii="Arial" w:hAnsi="Arial" w:cs="Arial"/>
                <w:sz w:val="16"/>
                <w:szCs w:val="16"/>
              </w:rPr>
            </w:pPr>
            <w:r w:rsidRPr="00AB1EEA">
              <w:rPr>
                <w:rFonts w:ascii="Arial" w:hAnsi="Arial" w:cs="Arial"/>
                <w:sz w:val="16"/>
                <w:szCs w:val="16"/>
              </w:rPr>
              <w:t>527.3</w:t>
            </w:r>
          </w:p>
        </w:tc>
      </w:tr>
    </w:tbl>
    <w:p w14:paraId="157468F7" w14:textId="77777777" w:rsidR="00A82C0D" w:rsidRDefault="00A82C0D" w:rsidP="00A82C0D">
      <w:pPr>
        <w:rPr>
          <w:rFonts w:ascii="Franklin Gothic Demi" w:eastAsiaTheme="majorEastAsia" w:hAnsi="Franklin Gothic Demi" w:cstheme="majorBidi"/>
          <w:iCs/>
          <w:sz w:val="28"/>
          <w:lang w:eastAsia="en-US"/>
        </w:rPr>
      </w:pPr>
    </w:p>
    <w:p w14:paraId="3BADCE44" w14:textId="77777777" w:rsidR="00F62E58" w:rsidRDefault="00F62E58">
      <w:pPr>
        <w:rPr>
          <w:rFonts w:eastAsiaTheme="majorEastAsia"/>
          <w:lang w:eastAsia="en-US"/>
        </w:rPr>
      </w:pPr>
      <w:r>
        <w:rPr>
          <w:rFonts w:eastAsiaTheme="majorEastAsia"/>
          <w:lang w:eastAsia="en-US"/>
        </w:rPr>
        <w:br w:type="page"/>
      </w:r>
    </w:p>
    <w:p w14:paraId="7ACBA76F" w14:textId="1CBA8C87" w:rsidR="008A2F49" w:rsidRPr="008A2F49" w:rsidRDefault="008A2F49" w:rsidP="008A2F49">
      <w:pPr>
        <w:rPr>
          <w:rFonts w:eastAsiaTheme="majorEastAsia"/>
          <w:lang w:eastAsia="en-US"/>
        </w:rPr>
      </w:pPr>
      <w:r>
        <w:rPr>
          <w:rFonts w:eastAsiaTheme="majorEastAsia"/>
          <w:lang w:eastAsia="en-US"/>
        </w:rPr>
        <w:lastRenderedPageBreak/>
        <w:t>A summary of human resources expenditure and number of full time equivalent (FTE) staff categorised according to the organisational structure is included below:</w:t>
      </w:r>
    </w:p>
    <w:tbl>
      <w:tblPr>
        <w:tblW w:w="5000" w:type="pct"/>
        <w:tblLook w:val="04A0" w:firstRow="1" w:lastRow="0" w:firstColumn="1" w:lastColumn="0" w:noHBand="0" w:noVBand="1"/>
      </w:tblPr>
      <w:tblGrid>
        <w:gridCol w:w="3061"/>
        <w:gridCol w:w="365"/>
        <w:gridCol w:w="969"/>
        <w:gridCol w:w="970"/>
        <w:gridCol w:w="970"/>
        <w:gridCol w:w="970"/>
        <w:gridCol w:w="970"/>
        <w:gridCol w:w="970"/>
        <w:gridCol w:w="970"/>
        <w:gridCol w:w="971"/>
        <w:gridCol w:w="971"/>
        <w:gridCol w:w="973"/>
      </w:tblGrid>
      <w:tr w:rsidR="000F7A56" w:rsidRPr="000F7A56" w14:paraId="57DBA0C2" w14:textId="77777777" w:rsidTr="003316E8">
        <w:trPr>
          <w:trHeight w:val="225"/>
          <w:tblHeader/>
        </w:trPr>
        <w:tc>
          <w:tcPr>
            <w:tcW w:w="861" w:type="pct"/>
            <w:gridSpan w:val="2"/>
            <w:tcBorders>
              <w:top w:val="nil"/>
              <w:left w:val="nil"/>
              <w:bottom w:val="nil"/>
              <w:right w:val="nil"/>
            </w:tcBorders>
            <w:shd w:val="clear" w:color="auto" w:fill="031F73" w:themeFill="text2"/>
            <w:noWrap/>
            <w:vAlign w:val="bottom"/>
            <w:hideMark/>
          </w:tcPr>
          <w:p w14:paraId="0C7DE3E3" w14:textId="77777777" w:rsidR="000F7A56" w:rsidRPr="000F7A56" w:rsidRDefault="000F7A56" w:rsidP="000F7A56">
            <w:pPr>
              <w:spacing w:before="0" w:after="0"/>
              <w:rPr>
                <w:rFonts w:ascii="Arial" w:hAnsi="Arial" w:cs="Arial"/>
                <w:color w:val="FFFFFF"/>
                <w:sz w:val="16"/>
                <w:szCs w:val="16"/>
              </w:rPr>
            </w:pPr>
            <w:r w:rsidRPr="000F7A56">
              <w:rPr>
                <w:rFonts w:ascii="Arial" w:hAnsi="Arial" w:cs="Arial"/>
                <w:color w:val="FFFFFF"/>
                <w:sz w:val="16"/>
                <w:szCs w:val="16"/>
              </w:rPr>
              <w:t> </w:t>
            </w:r>
          </w:p>
        </w:tc>
        <w:tc>
          <w:tcPr>
            <w:tcW w:w="414" w:type="pct"/>
            <w:tcBorders>
              <w:top w:val="nil"/>
              <w:left w:val="nil"/>
              <w:bottom w:val="nil"/>
              <w:right w:val="nil"/>
            </w:tcBorders>
            <w:shd w:val="clear" w:color="auto" w:fill="031F73" w:themeFill="text2"/>
            <w:noWrap/>
            <w:vAlign w:val="center"/>
            <w:hideMark/>
          </w:tcPr>
          <w:p w14:paraId="549C3D2D"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2025/26</w:t>
            </w:r>
          </w:p>
        </w:tc>
        <w:tc>
          <w:tcPr>
            <w:tcW w:w="414" w:type="pct"/>
            <w:tcBorders>
              <w:top w:val="nil"/>
              <w:left w:val="nil"/>
              <w:bottom w:val="nil"/>
              <w:right w:val="nil"/>
            </w:tcBorders>
            <w:shd w:val="clear" w:color="auto" w:fill="031F73" w:themeFill="text2"/>
            <w:noWrap/>
            <w:vAlign w:val="center"/>
            <w:hideMark/>
          </w:tcPr>
          <w:p w14:paraId="08E3CCA8"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2026/27</w:t>
            </w:r>
          </w:p>
        </w:tc>
        <w:tc>
          <w:tcPr>
            <w:tcW w:w="414" w:type="pct"/>
            <w:tcBorders>
              <w:top w:val="nil"/>
              <w:left w:val="nil"/>
              <w:bottom w:val="nil"/>
              <w:right w:val="nil"/>
            </w:tcBorders>
            <w:shd w:val="clear" w:color="auto" w:fill="031F73" w:themeFill="text2"/>
            <w:noWrap/>
            <w:vAlign w:val="center"/>
            <w:hideMark/>
          </w:tcPr>
          <w:p w14:paraId="262EEC53"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2027/28</w:t>
            </w:r>
          </w:p>
        </w:tc>
        <w:tc>
          <w:tcPr>
            <w:tcW w:w="414" w:type="pct"/>
            <w:tcBorders>
              <w:top w:val="nil"/>
              <w:left w:val="nil"/>
              <w:bottom w:val="nil"/>
              <w:right w:val="nil"/>
            </w:tcBorders>
            <w:shd w:val="clear" w:color="auto" w:fill="031F73" w:themeFill="text2"/>
            <w:noWrap/>
            <w:vAlign w:val="center"/>
            <w:hideMark/>
          </w:tcPr>
          <w:p w14:paraId="712CF4D5"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2028/29</w:t>
            </w:r>
          </w:p>
        </w:tc>
        <w:tc>
          <w:tcPr>
            <w:tcW w:w="414" w:type="pct"/>
            <w:tcBorders>
              <w:top w:val="nil"/>
              <w:left w:val="nil"/>
              <w:bottom w:val="nil"/>
              <w:right w:val="nil"/>
            </w:tcBorders>
            <w:shd w:val="clear" w:color="auto" w:fill="031F73" w:themeFill="text2"/>
            <w:noWrap/>
            <w:vAlign w:val="center"/>
            <w:hideMark/>
          </w:tcPr>
          <w:p w14:paraId="64B9708F"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2029/30</w:t>
            </w:r>
          </w:p>
        </w:tc>
        <w:tc>
          <w:tcPr>
            <w:tcW w:w="414" w:type="pct"/>
            <w:tcBorders>
              <w:top w:val="nil"/>
              <w:left w:val="nil"/>
              <w:bottom w:val="nil"/>
              <w:right w:val="nil"/>
            </w:tcBorders>
            <w:shd w:val="clear" w:color="auto" w:fill="031F73" w:themeFill="text2"/>
            <w:noWrap/>
            <w:vAlign w:val="center"/>
            <w:hideMark/>
          </w:tcPr>
          <w:p w14:paraId="39200E6B"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2030/31</w:t>
            </w:r>
          </w:p>
        </w:tc>
        <w:tc>
          <w:tcPr>
            <w:tcW w:w="414" w:type="pct"/>
            <w:tcBorders>
              <w:top w:val="nil"/>
              <w:left w:val="nil"/>
              <w:bottom w:val="nil"/>
              <w:right w:val="nil"/>
            </w:tcBorders>
            <w:shd w:val="clear" w:color="auto" w:fill="031F73" w:themeFill="text2"/>
            <w:noWrap/>
            <w:vAlign w:val="center"/>
            <w:hideMark/>
          </w:tcPr>
          <w:p w14:paraId="1DD5EB00"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2031/32</w:t>
            </w:r>
          </w:p>
        </w:tc>
        <w:tc>
          <w:tcPr>
            <w:tcW w:w="414" w:type="pct"/>
            <w:tcBorders>
              <w:top w:val="nil"/>
              <w:left w:val="nil"/>
              <w:bottom w:val="nil"/>
              <w:right w:val="nil"/>
            </w:tcBorders>
            <w:shd w:val="clear" w:color="auto" w:fill="031F73" w:themeFill="text2"/>
            <w:noWrap/>
            <w:vAlign w:val="center"/>
            <w:hideMark/>
          </w:tcPr>
          <w:p w14:paraId="32A52775"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2032/33</w:t>
            </w:r>
          </w:p>
        </w:tc>
        <w:tc>
          <w:tcPr>
            <w:tcW w:w="414" w:type="pct"/>
            <w:tcBorders>
              <w:top w:val="nil"/>
              <w:left w:val="nil"/>
              <w:bottom w:val="nil"/>
              <w:right w:val="nil"/>
            </w:tcBorders>
            <w:shd w:val="clear" w:color="auto" w:fill="031F73" w:themeFill="text2"/>
            <w:noWrap/>
            <w:vAlign w:val="center"/>
            <w:hideMark/>
          </w:tcPr>
          <w:p w14:paraId="04E77FC9"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2033/34</w:t>
            </w:r>
          </w:p>
        </w:tc>
        <w:tc>
          <w:tcPr>
            <w:tcW w:w="414" w:type="pct"/>
            <w:tcBorders>
              <w:top w:val="nil"/>
              <w:left w:val="nil"/>
              <w:bottom w:val="nil"/>
              <w:right w:val="nil"/>
            </w:tcBorders>
            <w:shd w:val="clear" w:color="auto" w:fill="031F73" w:themeFill="text2"/>
            <w:noWrap/>
            <w:vAlign w:val="center"/>
            <w:hideMark/>
          </w:tcPr>
          <w:p w14:paraId="401DF20D"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202834/35</w:t>
            </w:r>
          </w:p>
        </w:tc>
      </w:tr>
      <w:tr w:rsidR="000F7A56" w:rsidRPr="000F7A56" w14:paraId="7B4AF600" w14:textId="77777777" w:rsidTr="003316E8">
        <w:trPr>
          <w:trHeight w:val="225"/>
          <w:tblHeader/>
        </w:trPr>
        <w:tc>
          <w:tcPr>
            <w:tcW w:w="861" w:type="pct"/>
            <w:gridSpan w:val="2"/>
            <w:tcBorders>
              <w:top w:val="nil"/>
              <w:left w:val="nil"/>
              <w:bottom w:val="nil"/>
              <w:right w:val="nil"/>
            </w:tcBorders>
            <w:shd w:val="clear" w:color="auto" w:fill="031F73" w:themeFill="text2"/>
            <w:noWrap/>
            <w:vAlign w:val="bottom"/>
            <w:hideMark/>
          </w:tcPr>
          <w:p w14:paraId="1FB3099F" w14:textId="77777777" w:rsidR="000F7A56" w:rsidRPr="000F7A56" w:rsidRDefault="000F7A56" w:rsidP="000F7A56">
            <w:pPr>
              <w:spacing w:before="0" w:after="0"/>
              <w:rPr>
                <w:rFonts w:ascii="Arial" w:hAnsi="Arial" w:cs="Arial"/>
                <w:color w:val="FFFFFF"/>
                <w:sz w:val="16"/>
                <w:szCs w:val="16"/>
              </w:rPr>
            </w:pPr>
            <w:r w:rsidRPr="000F7A56">
              <w:rPr>
                <w:rFonts w:ascii="Arial" w:hAnsi="Arial" w:cs="Arial"/>
                <w:color w:val="FFFFFF"/>
                <w:sz w:val="16"/>
                <w:szCs w:val="16"/>
              </w:rPr>
              <w:t> </w:t>
            </w:r>
          </w:p>
        </w:tc>
        <w:tc>
          <w:tcPr>
            <w:tcW w:w="414" w:type="pct"/>
            <w:tcBorders>
              <w:top w:val="nil"/>
              <w:left w:val="nil"/>
              <w:bottom w:val="nil"/>
              <w:right w:val="nil"/>
            </w:tcBorders>
            <w:shd w:val="clear" w:color="auto" w:fill="031F73" w:themeFill="text2"/>
            <w:noWrap/>
            <w:vAlign w:val="center"/>
            <w:hideMark/>
          </w:tcPr>
          <w:p w14:paraId="3284D5C1"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$'000</w:t>
            </w:r>
          </w:p>
        </w:tc>
        <w:tc>
          <w:tcPr>
            <w:tcW w:w="414" w:type="pct"/>
            <w:tcBorders>
              <w:top w:val="nil"/>
              <w:left w:val="nil"/>
              <w:bottom w:val="nil"/>
              <w:right w:val="nil"/>
            </w:tcBorders>
            <w:shd w:val="clear" w:color="auto" w:fill="031F73" w:themeFill="text2"/>
            <w:noWrap/>
            <w:vAlign w:val="center"/>
            <w:hideMark/>
          </w:tcPr>
          <w:p w14:paraId="2D092169"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$'000</w:t>
            </w:r>
          </w:p>
        </w:tc>
        <w:tc>
          <w:tcPr>
            <w:tcW w:w="414" w:type="pct"/>
            <w:tcBorders>
              <w:top w:val="nil"/>
              <w:left w:val="nil"/>
              <w:bottom w:val="nil"/>
              <w:right w:val="nil"/>
            </w:tcBorders>
            <w:shd w:val="clear" w:color="auto" w:fill="031F73" w:themeFill="text2"/>
            <w:noWrap/>
            <w:vAlign w:val="center"/>
            <w:hideMark/>
          </w:tcPr>
          <w:p w14:paraId="525379E2"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$'000</w:t>
            </w:r>
          </w:p>
        </w:tc>
        <w:tc>
          <w:tcPr>
            <w:tcW w:w="414" w:type="pct"/>
            <w:tcBorders>
              <w:top w:val="nil"/>
              <w:left w:val="nil"/>
              <w:bottom w:val="nil"/>
              <w:right w:val="nil"/>
            </w:tcBorders>
            <w:shd w:val="clear" w:color="auto" w:fill="031F73" w:themeFill="text2"/>
            <w:noWrap/>
            <w:vAlign w:val="center"/>
            <w:hideMark/>
          </w:tcPr>
          <w:p w14:paraId="6777AA8A"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$'000</w:t>
            </w:r>
          </w:p>
        </w:tc>
        <w:tc>
          <w:tcPr>
            <w:tcW w:w="414" w:type="pct"/>
            <w:tcBorders>
              <w:top w:val="nil"/>
              <w:left w:val="nil"/>
              <w:bottom w:val="nil"/>
              <w:right w:val="nil"/>
            </w:tcBorders>
            <w:shd w:val="clear" w:color="auto" w:fill="031F73" w:themeFill="text2"/>
            <w:noWrap/>
            <w:vAlign w:val="center"/>
            <w:hideMark/>
          </w:tcPr>
          <w:p w14:paraId="74D66F5C"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$'001</w:t>
            </w:r>
          </w:p>
        </w:tc>
        <w:tc>
          <w:tcPr>
            <w:tcW w:w="414" w:type="pct"/>
            <w:tcBorders>
              <w:top w:val="nil"/>
              <w:left w:val="nil"/>
              <w:bottom w:val="nil"/>
              <w:right w:val="nil"/>
            </w:tcBorders>
            <w:shd w:val="clear" w:color="auto" w:fill="031F73" w:themeFill="text2"/>
            <w:noWrap/>
            <w:vAlign w:val="center"/>
            <w:hideMark/>
          </w:tcPr>
          <w:p w14:paraId="617B0698"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$'002</w:t>
            </w:r>
          </w:p>
        </w:tc>
        <w:tc>
          <w:tcPr>
            <w:tcW w:w="414" w:type="pct"/>
            <w:tcBorders>
              <w:top w:val="nil"/>
              <w:left w:val="nil"/>
              <w:bottom w:val="nil"/>
              <w:right w:val="nil"/>
            </w:tcBorders>
            <w:shd w:val="clear" w:color="auto" w:fill="031F73" w:themeFill="text2"/>
            <w:noWrap/>
            <w:vAlign w:val="center"/>
            <w:hideMark/>
          </w:tcPr>
          <w:p w14:paraId="47B8DDE5"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$'003</w:t>
            </w:r>
          </w:p>
        </w:tc>
        <w:tc>
          <w:tcPr>
            <w:tcW w:w="414" w:type="pct"/>
            <w:tcBorders>
              <w:top w:val="nil"/>
              <w:left w:val="nil"/>
              <w:bottom w:val="nil"/>
              <w:right w:val="nil"/>
            </w:tcBorders>
            <w:shd w:val="clear" w:color="auto" w:fill="031F73" w:themeFill="text2"/>
            <w:noWrap/>
            <w:vAlign w:val="center"/>
            <w:hideMark/>
          </w:tcPr>
          <w:p w14:paraId="1A256A84"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$'004</w:t>
            </w:r>
          </w:p>
        </w:tc>
        <w:tc>
          <w:tcPr>
            <w:tcW w:w="414" w:type="pct"/>
            <w:tcBorders>
              <w:top w:val="nil"/>
              <w:left w:val="nil"/>
              <w:bottom w:val="nil"/>
              <w:right w:val="nil"/>
            </w:tcBorders>
            <w:shd w:val="clear" w:color="auto" w:fill="031F73" w:themeFill="text2"/>
            <w:noWrap/>
            <w:vAlign w:val="center"/>
            <w:hideMark/>
          </w:tcPr>
          <w:p w14:paraId="28741901"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$'005</w:t>
            </w:r>
          </w:p>
        </w:tc>
        <w:tc>
          <w:tcPr>
            <w:tcW w:w="414" w:type="pct"/>
            <w:tcBorders>
              <w:top w:val="nil"/>
              <w:left w:val="nil"/>
              <w:bottom w:val="nil"/>
              <w:right w:val="nil"/>
            </w:tcBorders>
            <w:shd w:val="clear" w:color="auto" w:fill="031F73" w:themeFill="text2"/>
            <w:noWrap/>
            <w:vAlign w:val="center"/>
            <w:hideMark/>
          </w:tcPr>
          <w:p w14:paraId="08F0070B" w14:textId="77777777" w:rsidR="000F7A56" w:rsidRPr="000F7A56" w:rsidRDefault="000F7A56" w:rsidP="000F7A56">
            <w:pPr>
              <w:spacing w:before="0" w:after="0"/>
              <w:jc w:val="center"/>
              <w:rPr>
                <w:rFonts w:ascii="Arial" w:hAnsi="Arial" w:cs="Arial"/>
                <w:b/>
                <w:bCs/>
                <w:color w:val="FFFFFF"/>
                <w:sz w:val="16"/>
                <w:szCs w:val="16"/>
              </w:rPr>
            </w:pPr>
            <w:r w:rsidRPr="000F7A56">
              <w:rPr>
                <w:rFonts w:ascii="Arial" w:hAnsi="Arial" w:cs="Arial"/>
                <w:b/>
                <w:bCs/>
                <w:color w:val="FFFFFF"/>
                <w:sz w:val="16"/>
                <w:szCs w:val="16"/>
              </w:rPr>
              <w:t>$'005</w:t>
            </w:r>
          </w:p>
        </w:tc>
      </w:tr>
      <w:tr w:rsidR="000F7A56" w:rsidRPr="000F7A56" w14:paraId="02E59938" w14:textId="77777777" w:rsidTr="000F7A56">
        <w:trPr>
          <w:trHeight w:val="225"/>
        </w:trPr>
        <w:tc>
          <w:tcPr>
            <w:tcW w:w="2516" w:type="pct"/>
            <w:gridSpan w:val="6"/>
            <w:tcBorders>
              <w:top w:val="nil"/>
              <w:left w:val="nil"/>
              <w:bottom w:val="nil"/>
              <w:right w:val="nil"/>
            </w:tcBorders>
            <w:noWrap/>
            <w:vAlign w:val="bottom"/>
            <w:hideMark/>
          </w:tcPr>
          <w:p w14:paraId="05CC695F"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Chief Executive Officer</w:t>
            </w:r>
          </w:p>
        </w:tc>
        <w:tc>
          <w:tcPr>
            <w:tcW w:w="414" w:type="pct"/>
            <w:tcBorders>
              <w:top w:val="nil"/>
              <w:left w:val="nil"/>
              <w:bottom w:val="nil"/>
              <w:right w:val="nil"/>
            </w:tcBorders>
            <w:noWrap/>
            <w:vAlign w:val="bottom"/>
            <w:hideMark/>
          </w:tcPr>
          <w:p w14:paraId="0DF30F4C" w14:textId="77777777" w:rsidR="000F7A56" w:rsidRPr="000F7A56" w:rsidRDefault="000F7A56" w:rsidP="000F7A56">
            <w:pPr>
              <w:spacing w:before="0" w:after="0"/>
              <w:rPr>
                <w:rFonts w:ascii="Arial" w:hAnsi="Arial" w:cs="Arial"/>
                <w:b/>
                <w:bCs/>
                <w:sz w:val="16"/>
                <w:szCs w:val="16"/>
              </w:rPr>
            </w:pPr>
          </w:p>
        </w:tc>
        <w:tc>
          <w:tcPr>
            <w:tcW w:w="414" w:type="pct"/>
            <w:tcBorders>
              <w:top w:val="nil"/>
              <w:left w:val="nil"/>
              <w:bottom w:val="nil"/>
              <w:right w:val="nil"/>
            </w:tcBorders>
            <w:noWrap/>
            <w:vAlign w:val="bottom"/>
            <w:hideMark/>
          </w:tcPr>
          <w:p w14:paraId="409E8969"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1D0A60D5"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32317D22"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2F9A4C35"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4D6A5256" w14:textId="77777777" w:rsidR="000F7A56" w:rsidRPr="000F7A56" w:rsidRDefault="000F7A56" w:rsidP="000F7A56">
            <w:pPr>
              <w:spacing w:before="0" w:after="0"/>
              <w:rPr>
                <w:rFonts w:ascii="Times New Roman" w:hAnsi="Times New Roman"/>
                <w:sz w:val="20"/>
                <w:szCs w:val="20"/>
              </w:rPr>
            </w:pPr>
          </w:p>
        </w:tc>
      </w:tr>
      <w:tr w:rsidR="003316E8" w:rsidRPr="000F7A56" w14:paraId="2C735569" w14:textId="77777777" w:rsidTr="003316E8">
        <w:trPr>
          <w:trHeight w:val="225"/>
        </w:trPr>
        <w:tc>
          <w:tcPr>
            <w:tcW w:w="861" w:type="pct"/>
            <w:gridSpan w:val="2"/>
            <w:tcBorders>
              <w:top w:val="nil"/>
              <w:left w:val="nil"/>
              <w:bottom w:val="nil"/>
              <w:right w:val="nil"/>
            </w:tcBorders>
            <w:shd w:val="clear" w:color="000000" w:fill="DAE9F8"/>
            <w:noWrap/>
            <w:vAlign w:val="bottom"/>
            <w:hideMark/>
          </w:tcPr>
          <w:p w14:paraId="3D33A301" w14:textId="77777777" w:rsidR="000F7A56" w:rsidRPr="000F7A56" w:rsidRDefault="000F7A56" w:rsidP="000F7A56">
            <w:pPr>
              <w:spacing w:before="0" w:after="0"/>
              <w:rPr>
                <w:rFonts w:ascii="Arial" w:hAnsi="Arial" w:cs="Arial"/>
                <w:sz w:val="16"/>
                <w:szCs w:val="16"/>
              </w:rPr>
            </w:pPr>
            <w:r w:rsidRPr="000F7A56">
              <w:rPr>
                <w:rFonts w:ascii="Arial" w:hAnsi="Arial" w:cs="Arial"/>
                <w:sz w:val="16"/>
                <w:szCs w:val="16"/>
              </w:rPr>
              <w:t>Permanent - Full time</w:t>
            </w:r>
          </w:p>
        </w:tc>
        <w:tc>
          <w:tcPr>
            <w:tcW w:w="414" w:type="pct"/>
            <w:tcBorders>
              <w:top w:val="nil"/>
              <w:left w:val="nil"/>
              <w:bottom w:val="nil"/>
              <w:right w:val="nil"/>
            </w:tcBorders>
            <w:shd w:val="clear" w:color="000000" w:fill="DAE9F8"/>
            <w:noWrap/>
            <w:vAlign w:val="center"/>
            <w:hideMark/>
          </w:tcPr>
          <w:p w14:paraId="010136E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588</w:t>
            </w:r>
          </w:p>
        </w:tc>
        <w:tc>
          <w:tcPr>
            <w:tcW w:w="414" w:type="pct"/>
            <w:tcBorders>
              <w:top w:val="nil"/>
              <w:left w:val="nil"/>
              <w:bottom w:val="nil"/>
              <w:right w:val="nil"/>
            </w:tcBorders>
            <w:shd w:val="clear" w:color="000000" w:fill="DAE9F8"/>
            <w:noWrap/>
            <w:vAlign w:val="center"/>
            <w:hideMark/>
          </w:tcPr>
          <w:p w14:paraId="26A42F1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631</w:t>
            </w:r>
          </w:p>
        </w:tc>
        <w:tc>
          <w:tcPr>
            <w:tcW w:w="414" w:type="pct"/>
            <w:tcBorders>
              <w:top w:val="nil"/>
              <w:left w:val="nil"/>
              <w:bottom w:val="nil"/>
              <w:right w:val="nil"/>
            </w:tcBorders>
            <w:shd w:val="clear" w:color="000000" w:fill="DAE9F8"/>
            <w:noWrap/>
            <w:vAlign w:val="center"/>
            <w:hideMark/>
          </w:tcPr>
          <w:p w14:paraId="03AF197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678</w:t>
            </w:r>
          </w:p>
        </w:tc>
        <w:tc>
          <w:tcPr>
            <w:tcW w:w="414" w:type="pct"/>
            <w:tcBorders>
              <w:top w:val="nil"/>
              <w:left w:val="nil"/>
              <w:bottom w:val="nil"/>
              <w:right w:val="nil"/>
            </w:tcBorders>
            <w:shd w:val="clear" w:color="000000" w:fill="DAE9F8"/>
            <w:noWrap/>
            <w:vAlign w:val="center"/>
            <w:hideMark/>
          </w:tcPr>
          <w:p w14:paraId="6F6FB6B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704</w:t>
            </w:r>
          </w:p>
        </w:tc>
        <w:tc>
          <w:tcPr>
            <w:tcW w:w="414" w:type="pct"/>
            <w:tcBorders>
              <w:top w:val="nil"/>
              <w:left w:val="nil"/>
              <w:bottom w:val="nil"/>
              <w:right w:val="nil"/>
            </w:tcBorders>
            <w:shd w:val="clear" w:color="000000" w:fill="DAE9F8"/>
            <w:noWrap/>
            <w:vAlign w:val="center"/>
            <w:hideMark/>
          </w:tcPr>
          <w:p w14:paraId="2BC2591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732</w:t>
            </w:r>
          </w:p>
        </w:tc>
        <w:tc>
          <w:tcPr>
            <w:tcW w:w="414" w:type="pct"/>
            <w:tcBorders>
              <w:top w:val="nil"/>
              <w:left w:val="nil"/>
              <w:bottom w:val="nil"/>
              <w:right w:val="nil"/>
            </w:tcBorders>
            <w:shd w:val="clear" w:color="000000" w:fill="DAE9F8"/>
            <w:noWrap/>
            <w:vAlign w:val="center"/>
            <w:hideMark/>
          </w:tcPr>
          <w:p w14:paraId="59DFF90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761</w:t>
            </w:r>
          </w:p>
        </w:tc>
        <w:tc>
          <w:tcPr>
            <w:tcW w:w="414" w:type="pct"/>
            <w:tcBorders>
              <w:top w:val="nil"/>
              <w:left w:val="nil"/>
              <w:bottom w:val="nil"/>
              <w:right w:val="nil"/>
            </w:tcBorders>
            <w:shd w:val="clear" w:color="000000" w:fill="DAE9F8"/>
            <w:noWrap/>
            <w:vAlign w:val="center"/>
            <w:hideMark/>
          </w:tcPr>
          <w:p w14:paraId="00626F0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791</w:t>
            </w:r>
          </w:p>
        </w:tc>
        <w:tc>
          <w:tcPr>
            <w:tcW w:w="414" w:type="pct"/>
            <w:tcBorders>
              <w:top w:val="nil"/>
              <w:left w:val="nil"/>
              <w:bottom w:val="nil"/>
              <w:right w:val="nil"/>
            </w:tcBorders>
            <w:shd w:val="clear" w:color="000000" w:fill="DAE9F8"/>
            <w:noWrap/>
            <w:vAlign w:val="center"/>
            <w:hideMark/>
          </w:tcPr>
          <w:p w14:paraId="5B4AD47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822</w:t>
            </w:r>
          </w:p>
        </w:tc>
        <w:tc>
          <w:tcPr>
            <w:tcW w:w="414" w:type="pct"/>
            <w:tcBorders>
              <w:top w:val="nil"/>
              <w:left w:val="nil"/>
              <w:bottom w:val="nil"/>
              <w:right w:val="nil"/>
            </w:tcBorders>
            <w:shd w:val="clear" w:color="000000" w:fill="DAE9F8"/>
            <w:noWrap/>
            <w:vAlign w:val="center"/>
            <w:hideMark/>
          </w:tcPr>
          <w:p w14:paraId="60C66A9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854</w:t>
            </w:r>
          </w:p>
        </w:tc>
        <w:tc>
          <w:tcPr>
            <w:tcW w:w="414" w:type="pct"/>
            <w:tcBorders>
              <w:top w:val="nil"/>
              <w:left w:val="nil"/>
              <w:bottom w:val="nil"/>
              <w:right w:val="nil"/>
            </w:tcBorders>
            <w:shd w:val="clear" w:color="000000" w:fill="DAE9F8"/>
            <w:noWrap/>
            <w:vAlign w:val="center"/>
            <w:hideMark/>
          </w:tcPr>
          <w:p w14:paraId="36F33CE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888</w:t>
            </w:r>
          </w:p>
        </w:tc>
      </w:tr>
      <w:tr w:rsidR="000F7A56" w:rsidRPr="000F7A56" w14:paraId="38FDA851" w14:textId="77777777" w:rsidTr="003316E8">
        <w:trPr>
          <w:trHeight w:val="225"/>
        </w:trPr>
        <w:tc>
          <w:tcPr>
            <w:tcW w:w="770" w:type="pct"/>
            <w:tcBorders>
              <w:top w:val="nil"/>
              <w:left w:val="nil"/>
              <w:bottom w:val="nil"/>
              <w:right w:val="nil"/>
            </w:tcBorders>
            <w:noWrap/>
            <w:vAlign w:val="bottom"/>
            <w:hideMark/>
          </w:tcPr>
          <w:p w14:paraId="5FA07688"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Women</w:t>
            </w:r>
          </w:p>
        </w:tc>
        <w:tc>
          <w:tcPr>
            <w:tcW w:w="92" w:type="pct"/>
            <w:tcBorders>
              <w:top w:val="nil"/>
              <w:left w:val="nil"/>
              <w:bottom w:val="nil"/>
              <w:right w:val="nil"/>
            </w:tcBorders>
            <w:noWrap/>
            <w:vAlign w:val="bottom"/>
            <w:hideMark/>
          </w:tcPr>
          <w:p w14:paraId="29F033FF"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7F07896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588</w:t>
            </w:r>
          </w:p>
        </w:tc>
        <w:tc>
          <w:tcPr>
            <w:tcW w:w="414" w:type="pct"/>
            <w:tcBorders>
              <w:top w:val="nil"/>
              <w:left w:val="nil"/>
              <w:bottom w:val="nil"/>
              <w:right w:val="nil"/>
            </w:tcBorders>
            <w:noWrap/>
            <w:vAlign w:val="center"/>
            <w:hideMark/>
          </w:tcPr>
          <w:p w14:paraId="5F2E8D4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631</w:t>
            </w:r>
          </w:p>
        </w:tc>
        <w:tc>
          <w:tcPr>
            <w:tcW w:w="414" w:type="pct"/>
            <w:tcBorders>
              <w:top w:val="nil"/>
              <w:left w:val="nil"/>
              <w:bottom w:val="nil"/>
              <w:right w:val="nil"/>
            </w:tcBorders>
            <w:noWrap/>
            <w:vAlign w:val="center"/>
            <w:hideMark/>
          </w:tcPr>
          <w:p w14:paraId="17EFCA5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678</w:t>
            </w:r>
          </w:p>
        </w:tc>
        <w:tc>
          <w:tcPr>
            <w:tcW w:w="414" w:type="pct"/>
            <w:tcBorders>
              <w:top w:val="nil"/>
              <w:left w:val="nil"/>
              <w:bottom w:val="nil"/>
              <w:right w:val="nil"/>
            </w:tcBorders>
            <w:noWrap/>
            <w:vAlign w:val="center"/>
            <w:hideMark/>
          </w:tcPr>
          <w:p w14:paraId="65335A9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704</w:t>
            </w:r>
          </w:p>
        </w:tc>
        <w:tc>
          <w:tcPr>
            <w:tcW w:w="414" w:type="pct"/>
            <w:tcBorders>
              <w:top w:val="nil"/>
              <w:left w:val="nil"/>
              <w:bottom w:val="nil"/>
              <w:right w:val="nil"/>
            </w:tcBorders>
            <w:noWrap/>
            <w:vAlign w:val="center"/>
            <w:hideMark/>
          </w:tcPr>
          <w:p w14:paraId="7E27B9B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732</w:t>
            </w:r>
          </w:p>
        </w:tc>
        <w:tc>
          <w:tcPr>
            <w:tcW w:w="414" w:type="pct"/>
            <w:tcBorders>
              <w:top w:val="nil"/>
              <w:left w:val="nil"/>
              <w:bottom w:val="nil"/>
              <w:right w:val="nil"/>
            </w:tcBorders>
            <w:noWrap/>
            <w:vAlign w:val="center"/>
            <w:hideMark/>
          </w:tcPr>
          <w:p w14:paraId="550C46F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761</w:t>
            </w:r>
          </w:p>
        </w:tc>
        <w:tc>
          <w:tcPr>
            <w:tcW w:w="414" w:type="pct"/>
            <w:tcBorders>
              <w:top w:val="nil"/>
              <w:left w:val="nil"/>
              <w:bottom w:val="nil"/>
              <w:right w:val="nil"/>
            </w:tcBorders>
            <w:noWrap/>
            <w:vAlign w:val="center"/>
            <w:hideMark/>
          </w:tcPr>
          <w:p w14:paraId="530A84D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791</w:t>
            </w:r>
          </w:p>
        </w:tc>
        <w:tc>
          <w:tcPr>
            <w:tcW w:w="414" w:type="pct"/>
            <w:tcBorders>
              <w:top w:val="nil"/>
              <w:left w:val="nil"/>
              <w:bottom w:val="nil"/>
              <w:right w:val="nil"/>
            </w:tcBorders>
            <w:noWrap/>
            <w:vAlign w:val="center"/>
            <w:hideMark/>
          </w:tcPr>
          <w:p w14:paraId="5597C8A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822</w:t>
            </w:r>
          </w:p>
        </w:tc>
        <w:tc>
          <w:tcPr>
            <w:tcW w:w="414" w:type="pct"/>
            <w:tcBorders>
              <w:top w:val="nil"/>
              <w:left w:val="nil"/>
              <w:bottom w:val="nil"/>
              <w:right w:val="nil"/>
            </w:tcBorders>
            <w:noWrap/>
            <w:vAlign w:val="center"/>
            <w:hideMark/>
          </w:tcPr>
          <w:p w14:paraId="3AFAB67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854</w:t>
            </w:r>
          </w:p>
        </w:tc>
        <w:tc>
          <w:tcPr>
            <w:tcW w:w="414" w:type="pct"/>
            <w:tcBorders>
              <w:top w:val="nil"/>
              <w:left w:val="nil"/>
              <w:bottom w:val="nil"/>
              <w:right w:val="nil"/>
            </w:tcBorders>
            <w:noWrap/>
            <w:vAlign w:val="center"/>
            <w:hideMark/>
          </w:tcPr>
          <w:p w14:paraId="3F36EBB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888</w:t>
            </w:r>
          </w:p>
        </w:tc>
      </w:tr>
      <w:tr w:rsidR="000F7A56" w:rsidRPr="000F7A56" w14:paraId="7A0888F7" w14:textId="77777777" w:rsidTr="003316E8">
        <w:trPr>
          <w:trHeight w:val="225"/>
        </w:trPr>
        <w:tc>
          <w:tcPr>
            <w:tcW w:w="770" w:type="pct"/>
            <w:tcBorders>
              <w:top w:val="nil"/>
              <w:left w:val="nil"/>
              <w:bottom w:val="nil"/>
              <w:right w:val="nil"/>
            </w:tcBorders>
            <w:noWrap/>
            <w:vAlign w:val="bottom"/>
            <w:hideMark/>
          </w:tcPr>
          <w:p w14:paraId="762F0749"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 xml:space="preserve">Men </w:t>
            </w:r>
          </w:p>
        </w:tc>
        <w:tc>
          <w:tcPr>
            <w:tcW w:w="92" w:type="pct"/>
            <w:tcBorders>
              <w:top w:val="nil"/>
              <w:left w:val="nil"/>
              <w:bottom w:val="nil"/>
              <w:right w:val="nil"/>
            </w:tcBorders>
            <w:noWrap/>
            <w:vAlign w:val="bottom"/>
            <w:hideMark/>
          </w:tcPr>
          <w:p w14:paraId="05376FE3"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3ACC0E63"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150CB46"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3931811"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D0F23A2"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8D6E76D"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77917D0"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0B9370E4"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325E84A4"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6F1348B0"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1D88238" w14:textId="77777777" w:rsidR="000F7A56" w:rsidRPr="000F7A56" w:rsidRDefault="000F7A56" w:rsidP="003316E8">
            <w:pPr>
              <w:spacing w:before="0" w:after="0"/>
              <w:jc w:val="right"/>
              <w:rPr>
                <w:rFonts w:ascii="Times New Roman" w:hAnsi="Times New Roman"/>
                <w:sz w:val="20"/>
                <w:szCs w:val="20"/>
              </w:rPr>
            </w:pPr>
          </w:p>
        </w:tc>
      </w:tr>
      <w:tr w:rsidR="000F7A56" w:rsidRPr="000F7A56" w14:paraId="071FD381" w14:textId="77777777" w:rsidTr="003316E8">
        <w:trPr>
          <w:trHeight w:val="225"/>
        </w:trPr>
        <w:tc>
          <w:tcPr>
            <w:tcW w:w="770" w:type="pct"/>
            <w:tcBorders>
              <w:top w:val="nil"/>
              <w:left w:val="nil"/>
              <w:bottom w:val="nil"/>
              <w:right w:val="nil"/>
            </w:tcBorders>
            <w:noWrap/>
            <w:vAlign w:val="bottom"/>
            <w:hideMark/>
          </w:tcPr>
          <w:p w14:paraId="347B57C7"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Persons of self-described gender</w:t>
            </w:r>
          </w:p>
        </w:tc>
        <w:tc>
          <w:tcPr>
            <w:tcW w:w="92" w:type="pct"/>
            <w:tcBorders>
              <w:top w:val="nil"/>
              <w:left w:val="nil"/>
              <w:bottom w:val="nil"/>
              <w:right w:val="nil"/>
            </w:tcBorders>
            <w:noWrap/>
            <w:vAlign w:val="bottom"/>
            <w:hideMark/>
          </w:tcPr>
          <w:p w14:paraId="7AE3446E"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7BC539AD"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8429CA7"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0E80A7C9"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78B179D2"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B9B6925"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41D9406"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DC46D05"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3970D32"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4E1E95E"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09C28974" w14:textId="77777777" w:rsidR="000F7A56" w:rsidRPr="000F7A56" w:rsidRDefault="000F7A56" w:rsidP="003316E8">
            <w:pPr>
              <w:spacing w:before="0" w:after="0"/>
              <w:jc w:val="right"/>
              <w:rPr>
                <w:rFonts w:ascii="Times New Roman" w:hAnsi="Times New Roman"/>
                <w:sz w:val="20"/>
                <w:szCs w:val="20"/>
              </w:rPr>
            </w:pPr>
          </w:p>
        </w:tc>
      </w:tr>
      <w:tr w:rsidR="000F7A56" w:rsidRPr="000F7A56" w14:paraId="0C241439" w14:textId="77777777" w:rsidTr="003316E8">
        <w:trPr>
          <w:trHeight w:val="225"/>
        </w:trPr>
        <w:tc>
          <w:tcPr>
            <w:tcW w:w="770" w:type="pct"/>
            <w:tcBorders>
              <w:top w:val="nil"/>
              <w:left w:val="nil"/>
              <w:bottom w:val="nil"/>
              <w:right w:val="nil"/>
            </w:tcBorders>
            <w:noWrap/>
            <w:vAlign w:val="bottom"/>
            <w:hideMark/>
          </w:tcPr>
          <w:p w14:paraId="6B019D5B"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Vacant positions</w:t>
            </w:r>
          </w:p>
        </w:tc>
        <w:tc>
          <w:tcPr>
            <w:tcW w:w="92" w:type="pct"/>
            <w:tcBorders>
              <w:top w:val="nil"/>
              <w:left w:val="nil"/>
              <w:bottom w:val="nil"/>
              <w:right w:val="nil"/>
            </w:tcBorders>
            <w:noWrap/>
            <w:vAlign w:val="bottom"/>
            <w:hideMark/>
          </w:tcPr>
          <w:p w14:paraId="37FE8D51"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3B802D93"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3F612F61"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0E6360F3"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58B1369"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374616A"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72C9D0CF"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35C82F8"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F1941FA"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7050484"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368AF69F" w14:textId="77777777" w:rsidR="000F7A56" w:rsidRPr="000F7A56" w:rsidRDefault="000F7A56" w:rsidP="003316E8">
            <w:pPr>
              <w:spacing w:before="0" w:after="0"/>
              <w:jc w:val="right"/>
              <w:rPr>
                <w:rFonts w:ascii="Times New Roman" w:hAnsi="Times New Roman"/>
                <w:sz w:val="20"/>
                <w:szCs w:val="20"/>
              </w:rPr>
            </w:pPr>
          </w:p>
        </w:tc>
      </w:tr>
      <w:tr w:rsidR="000F7A56" w:rsidRPr="000F7A56" w14:paraId="4EFF5100" w14:textId="77777777" w:rsidTr="003316E8">
        <w:trPr>
          <w:trHeight w:val="225"/>
        </w:trPr>
        <w:tc>
          <w:tcPr>
            <w:tcW w:w="770" w:type="pct"/>
            <w:tcBorders>
              <w:top w:val="nil"/>
              <w:left w:val="nil"/>
              <w:bottom w:val="nil"/>
              <w:right w:val="nil"/>
            </w:tcBorders>
            <w:noWrap/>
            <w:vAlign w:val="bottom"/>
            <w:hideMark/>
          </w:tcPr>
          <w:p w14:paraId="5F2875BE"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New positions</w:t>
            </w:r>
          </w:p>
        </w:tc>
        <w:tc>
          <w:tcPr>
            <w:tcW w:w="92" w:type="pct"/>
            <w:tcBorders>
              <w:top w:val="nil"/>
              <w:left w:val="nil"/>
              <w:bottom w:val="nil"/>
              <w:right w:val="nil"/>
            </w:tcBorders>
            <w:noWrap/>
            <w:vAlign w:val="bottom"/>
            <w:hideMark/>
          </w:tcPr>
          <w:p w14:paraId="2E39EC37"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7F27CCEC"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34ED7CDC"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5DBD8F8"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E1F5BCA"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041128FB"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15DDB6F"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8B7F848"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34BCBC85"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7991667"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6FD5052" w14:textId="77777777" w:rsidR="000F7A56" w:rsidRPr="000F7A56" w:rsidRDefault="000F7A56" w:rsidP="003316E8">
            <w:pPr>
              <w:spacing w:before="0" w:after="0"/>
              <w:jc w:val="right"/>
              <w:rPr>
                <w:rFonts w:ascii="Times New Roman" w:hAnsi="Times New Roman"/>
                <w:sz w:val="20"/>
                <w:szCs w:val="20"/>
              </w:rPr>
            </w:pPr>
          </w:p>
        </w:tc>
      </w:tr>
      <w:tr w:rsidR="003316E8" w:rsidRPr="000F7A56" w14:paraId="12059EB6" w14:textId="77777777" w:rsidTr="003316E8">
        <w:trPr>
          <w:trHeight w:val="225"/>
        </w:trPr>
        <w:tc>
          <w:tcPr>
            <w:tcW w:w="861" w:type="pct"/>
            <w:gridSpan w:val="2"/>
            <w:tcBorders>
              <w:top w:val="nil"/>
              <w:left w:val="nil"/>
              <w:bottom w:val="nil"/>
              <w:right w:val="nil"/>
            </w:tcBorders>
            <w:shd w:val="clear" w:color="000000" w:fill="DAE9F8"/>
            <w:noWrap/>
            <w:vAlign w:val="bottom"/>
            <w:hideMark/>
          </w:tcPr>
          <w:p w14:paraId="33D34677" w14:textId="77777777" w:rsidR="000F7A56" w:rsidRPr="000F7A56" w:rsidRDefault="000F7A56" w:rsidP="000F7A56">
            <w:pPr>
              <w:spacing w:before="0" w:after="0"/>
              <w:rPr>
                <w:rFonts w:ascii="Arial" w:hAnsi="Arial" w:cs="Arial"/>
                <w:sz w:val="16"/>
                <w:szCs w:val="16"/>
              </w:rPr>
            </w:pPr>
            <w:r w:rsidRPr="000F7A56">
              <w:rPr>
                <w:rFonts w:ascii="Arial" w:hAnsi="Arial" w:cs="Arial"/>
                <w:sz w:val="16"/>
                <w:szCs w:val="16"/>
              </w:rPr>
              <w:t>Permanent - Part time</w:t>
            </w:r>
          </w:p>
        </w:tc>
        <w:tc>
          <w:tcPr>
            <w:tcW w:w="414" w:type="pct"/>
            <w:tcBorders>
              <w:top w:val="nil"/>
              <w:left w:val="nil"/>
              <w:bottom w:val="nil"/>
              <w:right w:val="nil"/>
            </w:tcBorders>
            <w:shd w:val="clear" w:color="000000" w:fill="DAE9F8"/>
            <w:noWrap/>
            <w:vAlign w:val="center"/>
            <w:hideMark/>
          </w:tcPr>
          <w:p w14:paraId="4B43186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shd w:val="clear" w:color="000000" w:fill="DAE9F8"/>
            <w:noWrap/>
            <w:vAlign w:val="center"/>
            <w:hideMark/>
          </w:tcPr>
          <w:p w14:paraId="680CD53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shd w:val="clear" w:color="000000" w:fill="DAE9F8"/>
            <w:noWrap/>
            <w:vAlign w:val="center"/>
            <w:hideMark/>
          </w:tcPr>
          <w:p w14:paraId="4F5D04C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shd w:val="clear" w:color="000000" w:fill="DAE9F8"/>
            <w:noWrap/>
            <w:vAlign w:val="center"/>
            <w:hideMark/>
          </w:tcPr>
          <w:p w14:paraId="3E8D706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shd w:val="clear" w:color="000000" w:fill="DAE9F8"/>
            <w:noWrap/>
            <w:vAlign w:val="center"/>
            <w:hideMark/>
          </w:tcPr>
          <w:p w14:paraId="531D1F8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shd w:val="clear" w:color="000000" w:fill="DAE9F8"/>
            <w:noWrap/>
            <w:vAlign w:val="center"/>
            <w:hideMark/>
          </w:tcPr>
          <w:p w14:paraId="1F4EE27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shd w:val="clear" w:color="000000" w:fill="DAE9F8"/>
            <w:noWrap/>
            <w:vAlign w:val="center"/>
            <w:hideMark/>
          </w:tcPr>
          <w:p w14:paraId="3052F56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shd w:val="clear" w:color="000000" w:fill="DAE9F8"/>
            <w:noWrap/>
            <w:vAlign w:val="center"/>
            <w:hideMark/>
          </w:tcPr>
          <w:p w14:paraId="799E3CA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shd w:val="clear" w:color="000000" w:fill="DAE9F8"/>
            <w:noWrap/>
            <w:vAlign w:val="center"/>
            <w:hideMark/>
          </w:tcPr>
          <w:p w14:paraId="4689954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shd w:val="clear" w:color="000000" w:fill="DAE9F8"/>
            <w:noWrap/>
            <w:vAlign w:val="center"/>
            <w:hideMark/>
          </w:tcPr>
          <w:p w14:paraId="2730B11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r>
      <w:tr w:rsidR="000F7A56" w:rsidRPr="000F7A56" w14:paraId="56CA4CF2" w14:textId="77777777" w:rsidTr="003316E8">
        <w:trPr>
          <w:trHeight w:val="225"/>
        </w:trPr>
        <w:tc>
          <w:tcPr>
            <w:tcW w:w="770" w:type="pct"/>
            <w:tcBorders>
              <w:top w:val="nil"/>
              <w:left w:val="nil"/>
              <w:bottom w:val="nil"/>
              <w:right w:val="nil"/>
            </w:tcBorders>
            <w:noWrap/>
            <w:vAlign w:val="bottom"/>
            <w:hideMark/>
          </w:tcPr>
          <w:p w14:paraId="7CA6752B"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Women</w:t>
            </w:r>
          </w:p>
        </w:tc>
        <w:tc>
          <w:tcPr>
            <w:tcW w:w="92" w:type="pct"/>
            <w:tcBorders>
              <w:top w:val="nil"/>
              <w:left w:val="nil"/>
              <w:bottom w:val="nil"/>
              <w:right w:val="nil"/>
            </w:tcBorders>
            <w:noWrap/>
            <w:vAlign w:val="bottom"/>
            <w:hideMark/>
          </w:tcPr>
          <w:p w14:paraId="18E9F6A6"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62A7F3E0"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6043D3B5"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51D9FD8"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7C89FA2E"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44FB94F"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184FC9F"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35DC08F9"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5510E8C"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1A805C0"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5F15803" w14:textId="77777777" w:rsidR="000F7A56" w:rsidRPr="000F7A56" w:rsidRDefault="000F7A56" w:rsidP="003316E8">
            <w:pPr>
              <w:spacing w:before="0" w:after="0"/>
              <w:jc w:val="right"/>
              <w:rPr>
                <w:rFonts w:ascii="Times New Roman" w:hAnsi="Times New Roman"/>
                <w:sz w:val="20"/>
                <w:szCs w:val="20"/>
              </w:rPr>
            </w:pPr>
          </w:p>
        </w:tc>
      </w:tr>
      <w:tr w:rsidR="000F7A56" w:rsidRPr="000F7A56" w14:paraId="5F0B7746" w14:textId="77777777" w:rsidTr="003316E8">
        <w:trPr>
          <w:trHeight w:val="225"/>
        </w:trPr>
        <w:tc>
          <w:tcPr>
            <w:tcW w:w="770" w:type="pct"/>
            <w:tcBorders>
              <w:top w:val="nil"/>
              <w:left w:val="nil"/>
              <w:bottom w:val="nil"/>
              <w:right w:val="nil"/>
            </w:tcBorders>
            <w:noWrap/>
            <w:vAlign w:val="bottom"/>
            <w:hideMark/>
          </w:tcPr>
          <w:p w14:paraId="29F6C24C"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 xml:space="preserve">Men </w:t>
            </w:r>
          </w:p>
        </w:tc>
        <w:tc>
          <w:tcPr>
            <w:tcW w:w="92" w:type="pct"/>
            <w:tcBorders>
              <w:top w:val="nil"/>
              <w:left w:val="nil"/>
              <w:bottom w:val="nil"/>
              <w:right w:val="nil"/>
            </w:tcBorders>
            <w:noWrap/>
            <w:vAlign w:val="bottom"/>
            <w:hideMark/>
          </w:tcPr>
          <w:p w14:paraId="7A88A40A"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670A09F1"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072C5B90"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BC16433"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52DDDE8"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BA6DDE7"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B9BD1D8"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3CE06AA"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61E26E43"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6ACFD9F"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758A8B35" w14:textId="77777777" w:rsidR="000F7A56" w:rsidRPr="000F7A56" w:rsidRDefault="000F7A56" w:rsidP="003316E8">
            <w:pPr>
              <w:spacing w:before="0" w:after="0"/>
              <w:jc w:val="right"/>
              <w:rPr>
                <w:rFonts w:ascii="Times New Roman" w:hAnsi="Times New Roman"/>
                <w:sz w:val="20"/>
                <w:szCs w:val="20"/>
              </w:rPr>
            </w:pPr>
          </w:p>
        </w:tc>
      </w:tr>
      <w:tr w:rsidR="000F7A56" w:rsidRPr="000F7A56" w14:paraId="4EF6CE9F" w14:textId="77777777" w:rsidTr="003316E8">
        <w:trPr>
          <w:trHeight w:val="225"/>
        </w:trPr>
        <w:tc>
          <w:tcPr>
            <w:tcW w:w="770" w:type="pct"/>
            <w:tcBorders>
              <w:top w:val="nil"/>
              <w:left w:val="nil"/>
              <w:bottom w:val="nil"/>
              <w:right w:val="nil"/>
            </w:tcBorders>
            <w:noWrap/>
            <w:vAlign w:val="bottom"/>
            <w:hideMark/>
          </w:tcPr>
          <w:p w14:paraId="55EB9E8E"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Persons of self-described gender</w:t>
            </w:r>
          </w:p>
        </w:tc>
        <w:tc>
          <w:tcPr>
            <w:tcW w:w="92" w:type="pct"/>
            <w:tcBorders>
              <w:top w:val="nil"/>
              <w:left w:val="nil"/>
              <w:bottom w:val="nil"/>
              <w:right w:val="nil"/>
            </w:tcBorders>
            <w:noWrap/>
            <w:vAlign w:val="bottom"/>
            <w:hideMark/>
          </w:tcPr>
          <w:p w14:paraId="4B2E9D87"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565E2C1E"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75CF6033"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FAA748C"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3945E79E"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9D35A2F"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C37A958"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0E6880DE"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A248DB4"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75D100D"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83D9E82" w14:textId="77777777" w:rsidR="000F7A56" w:rsidRPr="000F7A56" w:rsidRDefault="000F7A56" w:rsidP="003316E8">
            <w:pPr>
              <w:spacing w:before="0" w:after="0"/>
              <w:jc w:val="right"/>
              <w:rPr>
                <w:rFonts w:ascii="Times New Roman" w:hAnsi="Times New Roman"/>
                <w:sz w:val="20"/>
                <w:szCs w:val="20"/>
              </w:rPr>
            </w:pPr>
          </w:p>
        </w:tc>
      </w:tr>
      <w:tr w:rsidR="000F7A56" w:rsidRPr="000F7A56" w14:paraId="7DAF8A9F" w14:textId="77777777" w:rsidTr="003316E8">
        <w:trPr>
          <w:trHeight w:val="225"/>
        </w:trPr>
        <w:tc>
          <w:tcPr>
            <w:tcW w:w="770" w:type="pct"/>
            <w:tcBorders>
              <w:top w:val="nil"/>
              <w:left w:val="nil"/>
              <w:bottom w:val="nil"/>
              <w:right w:val="nil"/>
            </w:tcBorders>
            <w:noWrap/>
            <w:vAlign w:val="bottom"/>
            <w:hideMark/>
          </w:tcPr>
          <w:p w14:paraId="6D618B17"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Vacant positions</w:t>
            </w:r>
          </w:p>
        </w:tc>
        <w:tc>
          <w:tcPr>
            <w:tcW w:w="92" w:type="pct"/>
            <w:tcBorders>
              <w:top w:val="nil"/>
              <w:left w:val="nil"/>
              <w:bottom w:val="nil"/>
              <w:right w:val="nil"/>
            </w:tcBorders>
            <w:noWrap/>
            <w:vAlign w:val="bottom"/>
            <w:hideMark/>
          </w:tcPr>
          <w:p w14:paraId="5221EFAF"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7AF4F000"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1A831A1"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C84AA41"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884655E"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A319440"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B113191"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6DA76B1A"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AC4C612"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79EF83AA"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749B1CDF" w14:textId="77777777" w:rsidR="000F7A56" w:rsidRPr="000F7A56" w:rsidRDefault="000F7A56" w:rsidP="003316E8">
            <w:pPr>
              <w:spacing w:before="0" w:after="0"/>
              <w:jc w:val="right"/>
              <w:rPr>
                <w:rFonts w:ascii="Times New Roman" w:hAnsi="Times New Roman"/>
                <w:sz w:val="20"/>
                <w:szCs w:val="20"/>
              </w:rPr>
            </w:pPr>
          </w:p>
        </w:tc>
      </w:tr>
      <w:tr w:rsidR="000F7A56" w:rsidRPr="000F7A56" w14:paraId="2068C8D5" w14:textId="77777777" w:rsidTr="003316E8">
        <w:trPr>
          <w:trHeight w:val="225"/>
        </w:trPr>
        <w:tc>
          <w:tcPr>
            <w:tcW w:w="770" w:type="pct"/>
            <w:tcBorders>
              <w:top w:val="nil"/>
              <w:left w:val="nil"/>
              <w:bottom w:val="nil"/>
              <w:right w:val="nil"/>
            </w:tcBorders>
            <w:noWrap/>
            <w:vAlign w:val="bottom"/>
            <w:hideMark/>
          </w:tcPr>
          <w:p w14:paraId="52660074"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New positions</w:t>
            </w:r>
          </w:p>
        </w:tc>
        <w:tc>
          <w:tcPr>
            <w:tcW w:w="92" w:type="pct"/>
            <w:tcBorders>
              <w:top w:val="nil"/>
              <w:left w:val="nil"/>
              <w:bottom w:val="nil"/>
              <w:right w:val="nil"/>
            </w:tcBorders>
            <w:noWrap/>
            <w:vAlign w:val="bottom"/>
            <w:hideMark/>
          </w:tcPr>
          <w:p w14:paraId="2E2C445F"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7347CF5E"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4EB47B4"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712A9649"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09D45CD1"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32F97FCA"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28A83543"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58100CC0"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7AC6118A"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1B9BDBA3" w14:textId="77777777" w:rsidR="000F7A56" w:rsidRPr="000F7A56" w:rsidRDefault="000F7A56" w:rsidP="003316E8">
            <w:pPr>
              <w:spacing w:before="0" w:after="0"/>
              <w:jc w:val="right"/>
              <w:rPr>
                <w:rFonts w:ascii="Times New Roman" w:hAnsi="Times New Roman"/>
                <w:sz w:val="20"/>
                <w:szCs w:val="20"/>
              </w:rPr>
            </w:pPr>
          </w:p>
        </w:tc>
        <w:tc>
          <w:tcPr>
            <w:tcW w:w="414" w:type="pct"/>
            <w:tcBorders>
              <w:top w:val="nil"/>
              <w:left w:val="nil"/>
              <w:bottom w:val="nil"/>
              <w:right w:val="nil"/>
            </w:tcBorders>
            <w:noWrap/>
            <w:vAlign w:val="center"/>
            <w:hideMark/>
          </w:tcPr>
          <w:p w14:paraId="4545C379" w14:textId="77777777" w:rsidR="000F7A56" w:rsidRPr="000F7A56" w:rsidRDefault="000F7A56" w:rsidP="003316E8">
            <w:pPr>
              <w:spacing w:before="0" w:after="0"/>
              <w:jc w:val="right"/>
              <w:rPr>
                <w:rFonts w:ascii="Times New Roman" w:hAnsi="Times New Roman"/>
                <w:sz w:val="20"/>
                <w:szCs w:val="20"/>
              </w:rPr>
            </w:pPr>
          </w:p>
        </w:tc>
      </w:tr>
      <w:tr w:rsidR="000F7A56" w:rsidRPr="000F7A56" w14:paraId="3AB0C403" w14:textId="77777777" w:rsidTr="003316E8">
        <w:trPr>
          <w:trHeight w:val="225"/>
        </w:trPr>
        <w:tc>
          <w:tcPr>
            <w:tcW w:w="861" w:type="pct"/>
            <w:gridSpan w:val="2"/>
            <w:tcBorders>
              <w:top w:val="nil"/>
              <w:left w:val="nil"/>
              <w:bottom w:val="nil"/>
              <w:right w:val="nil"/>
            </w:tcBorders>
            <w:noWrap/>
            <w:vAlign w:val="bottom"/>
            <w:hideMark/>
          </w:tcPr>
          <w:p w14:paraId="6EED5EFB"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Total Chief Executive Officer</w:t>
            </w:r>
          </w:p>
        </w:tc>
        <w:tc>
          <w:tcPr>
            <w:tcW w:w="414" w:type="pct"/>
            <w:tcBorders>
              <w:top w:val="single" w:sz="4" w:space="0" w:color="auto"/>
              <w:left w:val="nil"/>
              <w:bottom w:val="single" w:sz="4" w:space="0" w:color="auto"/>
              <w:right w:val="nil"/>
            </w:tcBorders>
            <w:noWrap/>
            <w:vAlign w:val="center"/>
            <w:hideMark/>
          </w:tcPr>
          <w:p w14:paraId="2361A79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588</w:t>
            </w:r>
          </w:p>
        </w:tc>
        <w:tc>
          <w:tcPr>
            <w:tcW w:w="414" w:type="pct"/>
            <w:tcBorders>
              <w:top w:val="single" w:sz="4" w:space="0" w:color="auto"/>
              <w:left w:val="nil"/>
              <w:bottom w:val="single" w:sz="4" w:space="0" w:color="auto"/>
              <w:right w:val="nil"/>
            </w:tcBorders>
            <w:noWrap/>
            <w:vAlign w:val="center"/>
            <w:hideMark/>
          </w:tcPr>
          <w:p w14:paraId="74670E9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631</w:t>
            </w:r>
          </w:p>
        </w:tc>
        <w:tc>
          <w:tcPr>
            <w:tcW w:w="414" w:type="pct"/>
            <w:tcBorders>
              <w:top w:val="single" w:sz="4" w:space="0" w:color="auto"/>
              <w:left w:val="nil"/>
              <w:bottom w:val="single" w:sz="4" w:space="0" w:color="auto"/>
              <w:right w:val="nil"/>
            </w:tcBorders>
            <w:noWrap/>
            <w:vAlign w:val="center"/>
            <w:hideMark/>
          </w:tcPr>
          <w:p w14:paraId="30A8972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678</w:t>
            </w:r>
          </w:p>
        </w:tc>
        <w:tc>
          <w:tcPr>
            <w:tcW w:w="414" w:type="pct"/>
            <w:tcBorders>
              <w:top w:val="single" w:sz="4" w:space="0" w:color="auto"/>
              <w:left w:val="nil"/>
              <w:bottom w:val="single" w:sz="4" w:space="0" w:color="auto"/>
              <w:right w:val="nil"/>
            </w:tcBorders>
            <w:noWrap/>
            <w:vAlign w:val="center"/>
            <w:hideMark/>
          </w:tcPr>
          <w:p w14:paraId="4EBC297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704</w:t>
            </w:r>
          </w:p>
        </w:tc>
        <w:tc>
          <w:tcPr>
            <w:tcW w:w="414" w:type="pct"/>
            <w:tcBorders>
              <w:top w:val="single" w:sz="4" w:space="0" w:color="auto"/>
              <w:left w:val="nil"/>
              <w:bottom w:val="single" w:sz="4" w:space="0" w:color="auto"/>
              <w:right w:val="nil"/>
            </w:tcBorders>
            <w:noWrap/>
            <w:vAlign w:val="center"/>
            <w:hideMark/>
          </w:tcPr>
          <w:p w14:paraId="238F495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732</w:t>
            </w:r>
          </w:p>
        </w:tc>
        <w:tc>
          <w:tcPr>
            <w:tcW w:w="414" w:type="pct"/>
            <w:tcBorders>
              <w:top w:val="single" w:sz="4" w:space="0" w:color="auto"/>
              <w:left w:val="nil"/>
              <w:bottom w:val="single" w:sz="4" w:space="0" w:color="auto"/>
              <w:right w:val="nil"/>
            </w:tcBorders>
            <w:noWrap/>
            <w:vAlign w:val="center"/>
            <w:hideMark/>
          </w:tcPr>
          <w:p w14:paraId="4AFE692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761</w:t>
            </w:r>
          </w:p>
        </w:tc>
        <w:tc>
          <w:tcPr>
            <w:tcW w:w="414" w:type="pct"/>
            <w:tcBorders>
              <w:top w:val="single" w:sz="4" w:space="0" w:color="auto"/>
              <w:left w:val="nil"/>
              <w:bottom w:val="single" w:sz="4" w:space="0" w:color="auto"/>
              <w:right w:val="nil"/>
            </w:tcBorders>
            <w:noWrap/>
            <w:vAlign w:val="center"/>
            <w:hideMark/>
          </w:tcPr>
          <w:p w14:paraId="1D14B40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791</w:t>
            </w:r>
          </w:p>
        </w:tc>
        <w:tc>
          <w:tcPr>
            <w:tcW w:w="414" w:type="pct"/>
            <w:tcBorders>
              <w:top w:val="single" w:sz="4" w:space="0" w:color="auto"/>
              <w:left w:val="nil"/>
              <w:bottom w:val="single" w:sz="4" w:space="0" w:color="auto"/>
              <w:right w:val="nil"/>
            </w:tcBorders>
            <w:noWrap/>
            <w:vAlign w:val="center"/>
            <w:hideMark/>
          </w:tcPr>
          <w:p w14:paraId="3E4AD5C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822</w:t>
            </w:r>
          </w:p>
        </w:tc>
        <w:tc>
          <w:tcPr>
            <w:tcW w:w="414" w:type="pct"/>
            <w:tcBorders>
              <w:top w:val="single" w:sz="4" w:space="0" w:color="auto"/>
              <w:left w:val="nil"/>
              <w:bottom w:val="single" w:sz="4" w:space="0" w:color="auto"/>
              <w:right w:val="nil"/>
            </w:tcBorders>
            <w:noWrap/>
            <w:vAlign w:val="center"/>
            <w:hideMark/>
          </w:tcPr>
          <w:p w14:paraId="57F8AC8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854</w:t>
            </w:r>
          </w:p>
        </w:tc>
        <w:tc>
          <w:tcPr>
            <w:tcW w:w="414" w:type="pct"/>
            <w:tcBorders>
              <w:top w:val="single" w:sz="4" w:space="0" w:color="auto"/>
              <w:left w:val="nil"/>
              <w:bottom w:val="single" w:sz="4" w:space="0" w:color="auto"/>
              <w:right w:val="nil"/>
            </w:tcBorders>
            <w:noWrap/>
            <w:vAlign w:val="center"/>
            <w:hideMark/>
          </w:tcPr>
          <w:p w14:paraId="79FEAFF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888</w:t>
            </w:r>
          </w:p>
        </w:tc>
      </w:tr>
      <w:tr w:rsidR="000F7A56" w:rsidRPr="000F7A56" w14:paraId="33A877D9" w14:textId="77777777" w:rsidTr="000F7A56">
        <w:trPr>
          <w:trHeight w:val="225"/>
        </w:trPr>
        <w:tc>
          <w:tcPr>
            <w:tcW w:w="2516" w:type="pct"/>
            <w:gridSpan w:val="6"/>
            <w:tcBorders>
              <w:top w:val="nil"/>
              <w:left w:val="nil"/>
              <w:bottom w:val="nil"/>
              <w:right w:val="nil"/>
            </w:tcBorders>
            <w:noWrap/>
            <w:vAlign w:val="bottom"/>
            <w:hideMark/>
          </w:tcPr>
          <w:p w14:paraId="2A5C6C8D" w14:textId="77777777" w:rsidR="000F7A56" w:rsidRPr="000F7A56" w:rsidRDefault="000F7A56" w:rsidP="000F7A56">
            <w:pPr>
              <w:spacing w:before="0" w:after="0"/>
              <w:jc w:val="right"/>
              <w:rPr>
                <w:rFonts w:ascii="Arial" w:hAnsi="Arial" w:cs="Arial"/>
                <w:sz w:val="16"/>
                <w:szCs w:val="16"/>
              </w:rPr>
            </w:pPr>
          </w:p>
        </w:tc>
        <w:tc>
          <w:tcPr>
            <w:tcW w:w="414" w:type="pct"/>
            <w:tcBorders>
              <w:top w:val="nil"/>
              <w:left w:val="nil"/>
              <w:bottom w:val="nil"/>
              <w:right w:val="nil"/>
            </w:tcBorders>
            <w:noWrap/>
            <w:vAlign w:val="bottom"/>
            <w:hideMark/>
          </w:tcPr>
          <w:p w14:paraId="36BD1F4F"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1066FB7C"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59CA7918"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47947EA3"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26CB02CA"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5536D579" w14:textId="77777777" w:rsidR="000F7A56" w:rsidRPr="000F7A56" w:rsidRDefault="000F7A56" w:rsidP="000F7A56">
            <w:pPr>
              <w:spacing w:before="0" w:after="0"/>
              <w:rPr>
                <w:rFonts w:ascii="Times New Roman" w:hAnsi="Times New Roman"/>
                <w:sz w:val="20"/>
                <w:szCs w:val="20"/>
              </w:rPr>
            </w:pPr>
          </w:p>
        </w:tc>
      </w:tr>
      <w:tr w:rsidR="000F7A56" w:rsidRPr="000F7A56" w14:paraId="55389D67" w14:textId="77777777" w:rsidTr="000F7A56">
        <w:trPr>
          <w:trHeight w:val="225"/>
        </w:trPr>
        <w:tc>
          <w:tcPr>
            <w:tcW w:w="2516" w:type="pct"/>
            <w:gridSpan w:val="6"/>
            <w:tcBorders>
              <w:top w:val="nil"/>
              <w:left w:val="nil"/>
              <w:bottom w:val="nil"/>
              <w:right w:val="nil"/>
            </w:tcBorders>
            <w:noWrap/>
            <w:vAlign w:val="bottom"/>
            <w:hideMark/>
          </w:tcPr>
          <w:p w14:paraId="610A8118"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Community &amp; Planning Services</w:t>
            </w:r>
          </w:p>
        </w:tc>
        <w:tc>
          <w:tcPr>
            <w:tcW w:w="414" w:type="pct"/>
            <w:tcBorders>
              <w:top w:val="nil"/>
              <w:left w:val="nil"/>
              <w:bottom w:val="nil"/>
              <w:right w:val="nil"/>
            </w:tcBorders>
            <w:noWrap/>
            <w:vAlign w:val="bottom"/>
            <w:hideMark/>
          </w:tcPr>
          <w:p w14:paraId="6B075793" w14:textId="77777777" w:rsidR="000F7A56" w:rsidRPr="000F7A56" w:rsidRDefault="000F7A56" w:rsidP="000F7A56">
            <w:pPr>
              <w:spacing w:before="0" w:after="0"/>
              <w:rPr>
                <w:rFonts w:ascii="Arial" w:hAnsi="Arial" w:cs="Arial"/>
                <w:b/>
                <w:bCs/>
                <w:sz w:val="16"/>
                <w:szCs w:val="16"/>
              </w:rPr>
            </w:pPr>
          </w:p>
        </w:tc>
        <w:tc>
          <w:tcPr>
            <w:tcW w:w="414" w:type="pct"/>
            <w:tcBorders>
              <w:top w:val="nil"/>
              <w:left w:val="nil"/>
              <w:bottom w:val="nil"/>
              <w:right w:val="nil"/>
            </w:tcBorders>
            <w:noWrap/>
            <w:vAlign w:val="bottom"/>
            <w:hideMark/>
          </w:tcPr>
          <w:p w14:paraId="13B784C9"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026DD988"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4B3EE6F6"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472F39D2"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79C9FE95" w14:textId="77777777" w:rsidR="000F7A56" w:rsidRPr="000F7A56" w:rsidRDefault="000F7A56" w:rsidP="000F7A56">
            <w:pPr>
              <w:spacing w:before="0" w:after="0"/>
              <w:rPr>
                <w:rFonts w:ascii="Times New Roman" w:hAnsi="Times New Roman"/>
                <w:sz w:val="20"/>
                <w:szCs w:val="20"/>
              </w:rPr>
            </w:pPr>
          </w:p>
        </w:tc>
      </w:tr>
      <w:tr w:rsidR="003316E8" w:rsidRPr="000F7A56" w14:paraId="3C0B4A6E" w14:textId="77777777" w:rsidTr="003316E8">
        <w:trPr>
          <w:trHeight w:val="225"/>
        </w:trPr>
        <w:tc>
          <w:tcPr>
            <w:tcW w:w="861" w:type="pct"/>
            <w:gridSpan w:val="2"/>
            <w:tcBorders>
              <w:top w:val="nil"/>
              <w:left w:val="nil"/>
              <w:bottom w:val="nil"/>
              <w:right w:val="nil"/>
            </w:tcBorders>
            <w:shd w:val="clear" w:color="000000" w:fill="DAE9F8"/>
            <w:noWrap/>
            <w:vAlign w:val="bottom"/>
            <w:hideMark/>
          </w:tcPr>
          <w:p w14:paraId="77FB5B3F" w14:textId="77777777" w:rsidR="000F7A56" w:rsidRPr="000F7A56" w:rsidRDefault="000F7A56" w:rsidP="000F7A56">
            <w:pPr>
              <w:spacing w:before="0" w:after="0"/>
              <w:rPr>
                <w:rFonts w:ascii="Arial" w:hAnsi="Arial" w:cs="Arial"/>
                <w:sz w:val="16"/>
                <w:szCs w:val="16"/>
              </w:rPr>
            </w:pPr>
            <w:r w:rsidRPr="000F7A56">
              <w:rPr>
                <w:rFonts w:ascii="Arial" w:hAnsi="Arial" w:cs="Arial"/>
                <w:sz w:val="16"/>
                <w:szCs w:val="16"/>
              </w:rPr>
              <w:t>Permanent - Full time</w:t>
            </w:r>
          </w:p>
        </w:tc>
        <w:tc>
          <w:tcPr>
            <w:tcW w:w="414" w:type="pct"/>
            <w:tcBorders>
              <w:top w:val="nil"/>
              <w:left w:val="nil"/>
              <w:bottom w:val="nil"/>
              <w:right w:val="nil"/>
            </w:tcBorders>
            <w:shd w:val="clear" w:color="000000" w:fill="DAE9F8"/>
            <w:noWrap/>
            <w:vAlign w:val="center"/>
            <w:hideMark/>
          </w:tcPr>
          <w:p w14:paraId="00E8702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18,019</w:t>
            </w:r>
          </w:p>
        </w:tc>
        <w:tc>
          <w:tcPr>
            <w:tcW w:w="414" w:type="pct"/>
            <w:tcBorders>
              <w:top w:val="nil"/>
              <w:left w:val="nil"/>
              <w:bottom w:val="nil"/>
              <w:right w:val="nil"/>
            </w:tcBorders>
            <w:shd w:val="clear" w:color="000000" w:fill="DAE9F8"/>
            <w:noWrap/>
            <w:vAlign w:val="center"/>
            <w:hideMark/>
          </w:tcPr>
          <w:p w14:paraId="70227FB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19,343</w:t>
            </w:r>
          </w:p>
        </w:tc>
        <w:tc>
          <w:tcPr>
            <w:tcW w:w="414" w:type="pct"/>
            <w:tcBorders>
              <w:top w:val="nil"/>
              <w:left w:val="nil"/>
              <w:bottom w:val="nil"/>
              <w:right w:val="nil"/>
            </w:tcBorders>
            <w:shd w:val="clear" w:color="000000" w:fill="DAE9F8"/>
            <w:noWrap/>
            <w:vAlign w:val="center"/>
            <w:hideMark/>
          </w:tcPr>
          <w:p w14:paraId="768ABEF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20,767</w:t>
            </w:r>
          </w:p>
        </w:tc>
        <w:tc>
          <w:tcPr>
            <w:tcW w:w="414" w:type="pct"/>
            <w:tcBorders>
              <w:top w:val="nil"/>
              <w:left w:val="nil"/>
              <w:bottom w:val="nil"/>
              <w:right w:val="nil"/>
            </w:tcBorders>
            <w:shd w:val="clear" w:color="000000" w:fill="DAE9F8"/>
            <w:noWrap/>
            <w:vAlign w:val="center"/>
            <w:hideMark/>
          </w:tcPr>
          <w:p w14:paraId="43CCD82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21,584</w:t>
            </w:r>
          </w:p>
        </w:tc>
        <w:tc>
          <w:tcPr>
            <w:tcW w:w="414" w:type="pct"/>
            <w:tcBorders>
              <w:top w:val="nil"/>
              <w:left w:val="nil"/>
              <w:bottom w:val="nil"/>
              <w:right w:val="nil"/>
            </w:tcBorders>
            <w:shd w:val="clear" w:color="000000" w:fill="DAE9F8"/>
            <w:noWrap/>
            <w:vAlign w:val="center"/>
            <w:hideMark/>
          </w:tcPr>
          <w:p w14:paraId="248E3D7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22,433</w:t>
            </w:r>
          </w:p>
        </w:tc>
        <w:tc>
          <w:tcPr>
            <w:tcW w:w="414" w:type="pct"/>
            <w:tcBorders>
              <w:top w:val="nil"/>
              <w:left w:val="nil"/>
              <w:bottom w:val="nil"/>
              <w:right w:val="nil"/>
            </w:tcBorders>
            <w:shd w:val="clear" w:color="000000" w:fill="DAE9F8"/>
            <w:noWrap/>
            <w:vAlign w:val="center"/>
            <w:hideMark/>
          </w:tcPr>
          <w:p w14:paraId="7FD804F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23,316</w:t>
            </w:r>
          </w:p>
        </w:tc>
        <w:tc>
          <w:tcPr>
            <w:tcW w:w="414" w:type="pct"/>
            <w:tcBorders>
              <w:top w:val="nil"/>
              <w:left w:val="nil"/>
              <w:bottom w:val="nil"/>
              <w:right w:val="nil"/>
            </w:tcBorders>
            <w:shd w:val="clear" w:color="000000" w:fill="DAE9F8"/>
            <w:noWrap/>
            <w:vAlign w:val="center"/>
            <w:hideMark/>
          </w:tcPr>
          <w:p w14:paraId="1D44888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24,234</w:t>
            </w:r>
          </w:p>
        </w:tc>
        <w:tc>
          <w:tcPr>
            <w:tcW w:w="414" w:type="pct"/>
            <w:tcBorders>
              <w:top w:val="nil"/>
              <w:left w:val="nil"/>
              <w:bottom w:val="nil"/>
              <w:right w:val="nil"/>
            </w:tcBorders>
            <w:shd w:val="clear" w:color="000000" w:fill="DAE9F8"/>
            <w:noWrap/>
            <w:vAlign w:val="center"/>
            <w:hideMark/>
          </w:tcPr>
          <w:p w14:paraId="6936471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25,189</w:t>
            </w:r>
          </w:p>
        </w:tc>
        <w:tc>
          <w:tcPr>
            <w:tcW w:w="414" w:type="pct"/>
            <w:tcBorders>
              <w:top w:val="nil"/>
              <w:left w:val="nil"/>
              <w:bottom w:val="nil"/>
              <w:right w:val="nil"/>
            </w:tcBorders>
            <w:shd w:val="clear" w:color="000000" w:fill="DAE9F8"/>
            <w:noWrap/>
            <w:vAlign w:val="center"/>
            <w:hideMark/>
          </w:tcPr>
          <w:p w14:paraId="6251D8A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26,182</w:t>
            </w:r>
          </w:p>
        </w:tc>
        <w:tc>
          <w:tcPr>
            <w:tcW w:w="414" w:type="pct"/>
            <w:tcBorders>
              <w:top w:val="nil"/>
              <w:left w:val="nil"/>
              <w:bottom w:val="nil"/>
              <w:right w:val="nil"/>
            </w:tcBorders>
            <w:shd w:val="clear" w:color="000000" w:fill="DAE9F8"/>
            <w:noWrap/>
            <w:vAlign w:val="center"/>
            <w:hideMark/>
          </w:tcPr>
          <w:p w14:paraId="78F076D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27,215</w:t>
            </w:r>
          </w:p>
        </w:tc>
      </w:tr>
      <w:tr w:rsidR="000F7A56" w:rsidRPr="000F7A56" w14:paraId="02506514" w14:textId="77777777" w:rsidTr="003316E8">
        <w:trPr>
          <w:trHeight w:val="225"/>
        </w:trPr>
        <w:tc>
          <w:tcPr>
            <w:tcW w:w="770" w:type="pct"/>
            <w:tcBorders>
              <w:top w:val="nil"/>
              <w:left w:val="nil"/>
              <w:bottom w:val="nil"/>
              <w:right w:val="nil"/>
            </w:tcBorders>
            <w:noWrap/>
            <w:vAlign w:val="bottom"/>
            <w:hideMark/>
          </w:tcPr>
          <w:p w14:paraId="1833266B"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Women</w:t>
            </w:r>
          </w:p>
        </w:tc>
        <w:tc>
          <w:tcPr>
            <w:tcW w:w="92" w:type="pct"/>
            <w:tcBorders>
              <w:top w:val="nil"/>
              <w:left w:val="nil"/>
              <w:bottom w:val="nil"/>
              <w:right w:val="nil"/>
            </w:tcBorders>
            <w:noWrap/>
            <w:vAlign w:val="bottom"/>
            <w:hideMark/>
          </w:tcPr>
          <w:p w14:paraId="7D55A325"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5960BF3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11,364</w:t>
            </w:r>
          </w:p>
        </w:tc>
        <w:tc>
          <w:tcPr>
            <w:tcW w:w="414" w:type="pct"/>
            <w:tcBorders>
              <w:top w:val="nil"/>
              <w:left w:val="nil"/>
              <w:bottom w:val="nil"/>
              <w:right w:val="nil"/>
            </w:tcBorders>
            <w:noWrap/>
            <w:vAlign w:val="center"/>
            <w:hideMark/>
          </w:tcPr>
          <w:p w14:paraId="6F93CBA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12,199</w:t>
            </w:r>
          </w:p>
        </w:tc>
        <w:tc>
          <w:tcPr>
            <w:tcW w:w="414" w:type="pct"/>
            <w:tcBorders>
              <w:top w:val="nil"/>
              <w:left w:val="nil"/>
              <w:bottom w:val="nil"/>
              <w:right w:val="nil"/>
            </w:tcBorders>
            <w:noWrap/>
            <w:vAlign w:val="center"/>
            <w:hideMark/>
          </w:tcPr>
          <w:p w14:paraId="13F80A5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13,097</w:t>
            </w:r>
          </w:p>
        </w:tc>
        <w:tc>
          <w:tcPr>
            <w:tcW w:w="414" w:type="pct"/>
            <w:tcBorders>
              <w:top w:val="nil"/>
              <w:left w:val="nil"/>
              <w:bottom w:val="nil"/>
              <w:right w:val="nil"/>
            </w:tcBorders>
            <w:noWrap/>
            <w:vAlign w:val="center"/>
            <w:hideMark/>
          </w:tcPr>
          <w:p w14:paraId="2DB0F16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13,612</w:t>
            </w:r>
          </w:p>
        </w:tc>
        <w:tc>
          <w:tcPr>
            <w:tcW w:w="414" w:type="pct"/>
            <w:tcBorders>
              <w:top w:val="nil"/>
              <w:left w:val="nil"/>
              <w:bottom w:val="nil"/>
              <w:right w:val="nil"/>
            </w:tcBorders>
            <w:noWrap/>
            <w:vAlign w:val="center"/>
            <w:hideMark/>
          </w:tcPr>
          <w:p w14:paraId="782937A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14,148</w:t>
            </w:r>
          </w:p>
        </w:tc>
        <w:tc>
          <w:tcPr>
            <w:tcW w:w="414" w:type="pct"/>
            <w:tcBorders>
              <w:top w:val="nil"/>
              <w:left w:val="nil"/>
              <w:bottom w:val="nil"/>
              <w:right w:val="nil"/>
            </w:tcBorders>
            <w:noWrap/>
            <w:vAlign w:val="center"/>
            <w:hideMark/>
          </w:tcPr>
          <w:p w14:paraId="6048256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14,704</w:t>
            </w:r>
          </w:p>
        </w:tc>
        <w:tc>
          <w:tcPr>
            <w:tcW w:w="414" w:type="pct"/>
            <w:tcBorders>
              <w:top w:val="nil"/>
              <w:left w:val="nil"/>
              <w:bottom w:val="nil"/>
              <w:right w:val="nil"/>
            </w:tcBorders>
            <w:noWrap/>
            <w:vAlign w:val="center"/>
            <w:hideMark/>
          </w:tcPr>
          <w:p w14:paraId="4AD0D63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15,283</w:t>
            </w:r>
          </w:p>
        </w:tc>
        <w:tc>
          <w:tcPr>
            <w:tcW w:w="414" w:type="pct"/>
            <w:tcBorders>
              <w:top w:val="nil"/>
              <w:left w:val="nil"/>
              <w:bottom w:val="nil"/>
              <w:right w:val="nil"/>
            </w:tcBorders>
            <w:noWrap/>
            <w:vAlign w:val="center"/>
            <w:hideMark/>
          </w:tcPr>
          <w:p w14:paraId="48B79D8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15,886</w:t>
            </w:r>
          </w:p>
        </w:tc>
        <w:tc>
          <w:tcPr>
            <w:tcW w:w="414" w:type="pct"/>
            <w:tcBorders>
              <w:top w:val="nil"/>
              <w:left w:val="nil"/>
              <w:bottom w:val="nil"/>
              <w:right w:val="nil"/>
            </w:tcBorders>
            <w:noWrap/>
            <w:vAlign w:val="center"/>
            <w:hideMark/>
          </w:tcPr>
          <w:p w14:paraId="4722324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16,512</w:t>
            </w:r>
          </w:p>
        </w:tc>
        <w:tc>
          <w:tcPr>
            <w:tcW w:w="414" w:type="pct"/>
            <w:tcBorders>
              <w:top w:val="nil"/>
              <w:left w:val="nil"/>
              <w:bottom w:val="nil"/>
              <w:right w:val="nil"/>
            </w:tcBorders>
            <w:noWrap/>
            <w:vAlign w:val="center"/>
            <w:hideMark/>
          </w:tcPr>
          <w:p w14:paraId="05F0CF6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17,164</w:t>
            </w:r>
          </w:p>
        </w:tc>
      </w:tr>
      <w:tr w:rsidR="000F7A56" w:rsidRPr="000F7A56" w14:paraId="431769EB" w14:textId="77777777" w:rsidTr="003316E8">
        <w:trPr>
          <w:trHeight w:val="225"/>
        </w:trPr>
        <w:tc>
          <w:tcPr>
            <w:tcW w:w="770" w:type="pct"/>
            <w:tcBorders>
              <w:top w:val="nil"/>
              <w:left w:val="nil"/>
              <w:bottom w:val="nil"/>
              <w:right w:val="nil"/>
            </w:tcBorders>
            <w:noWrap/>
            <w:vAlign w:val="bottom"/>
            <w:hideMark/>
          </w:tcPr>
          <w:p w14:paraId="61426384"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 xml:space="preserve">Men </w:t>
            </w:r>
          </w:p>
        </w:tc>
        <w:tc>
          <w:tcPr>
            <w:tcW w:w="92" w:type="pct"/>
            <w:tcBorders>
              <w:top w:val="nil"/>
              <w:left w:val="nil"/>
              <w:bottom w:val="nil"/>
              <w:right w:val="nil"/>
            </w:tcBorders>
            <w:noWrap/>
            <w:vAlign w:val="bottom"/>
            <w:hideMark/>
          </w:tcPr>
          <w:p w14:paraId="4AF0A216"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0C86FC6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4,694</w:t>
            </w:r>
          </w:p>
        </w:tc>
        <w:tc>
          <w:tcPr>
            <w:tcW w:w="414" w:type="pct"/>
            <w:tcBorders>
              <w:top w:val="nil"/>
              <w:left w:val="nil"/>
              <w:bottom w:val="nil"/>
              <w:right w:val="nil"/>
            </w:tcBorders>
            <w:noWrap/>
            <w:vAlign w:val="center"/>
            <w:hideMark/>
          </w:tcPr>
          <w:p w14:paraId="318D260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5,039</w:t>
            </w:r>
          </w:p>
        </w:tc>
        <w:tc>
          <w:tcPr>
            <w:tcW w:w="414" w:type="pct"/>
            <w:tcBorders>
              <w:top w:val="nil"/>
              <w:left w:val="nil"/>
              <w:bottom w:val="nil"/>
              <w:right w:val="nil"/>
            </w:tcBorders>
            <w:noWrap/>
            <w:vAlign w:val="center"/>
            <w:hideMark/>
          </w:tcPr>
          <w:p w14:paraId="0EF7A52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5,410</w:t>
            </w:r>
          </w:p>
        </w:tc>
        <w:tc>
          <w:tcPr>
            <w:tcW w:w="414" w:type="pct"/>
            <w:tcBorders>
              <w:top w:val="nil"/>
              <w:left w:val="nil"/>
              <w:bottom w:val="nil"/>
              <w:right w:val="nil"/>
            </w:tcBorders>
            <w:noWrap/>
            <w:vAlign w:val="center"/>
            <w:hideMark/>
          </w:tcPr>
          <w:p w14:paraId="4D87396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5,623</w:t>
            </w:r>
          </w:p>
        </w:tc>
        <w:tc>
          <w:tcPr>
            <w:tcW w:w="414" w:type="pct"/>
            <w:tcBorders>
              <w:top w:val="nil"/>
              <w:left w:val="nil"/>
              <w:bottom w:val="nil"/>
              <w:right w:val="nil"/>
            </w:tcBorders>
            <w:noWrap/>
            <w:vAlign w:val="center"/>
            <w:hideMark/>
          </w:tcPr>
          <w:p w14:paraId="57B32B9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5,844</w:t>
            </w:r>
          </w:p>
        </w:tc>
        <w:tc>
          <w:tcPr>
            <w:tcW w:w="414" w:type="pct"/>
            <w:tcBorders>
              <w:top w:val="nil"/>
              <w:left w:val="nil"/>
              <w:bottom w:val="nil"/>
              <w:right w:val="nil"/>
            </w:tcBorders>
            <w:noWrap/>
            <w:vAlign w:val="center"/>
            <w:hideMark/>
          </w:tcPr>
          <w:p w14:paraId="0F9D338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6,074</w:t>
            </w:r>
          </w:p>
        </w:tc>
        <w:tc>
          <w:tcPr>
            <w:tcW w:w="414" w:type="pct"/>
            <w:tcBorders>
              <w:top w:val="nil"/>
              <w:left w:val="nil"/>
              <w:bottom w:val="nil"/>
              <w:right w:val="nil"/>
            </w:tcBorders>
            <w:noWrap/>
            <w:vAlign w:val="center"/>
            <w:hideMark/>
          </w:tcPr>
          <w:p w14:paraId="1CCD8CF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6,313</w:t>
            </w:r>
          </w:p>
        </w:tc>
        <w:tc>
          <w:tcPr>
            <w:tcW w:w="414" w:type="pct"/>
            <w:tcBorders>
              <w:top w:val="nil"/>
              <w:left w:val="nil"/>
              <w:bottom w:val="nil"/>
              <w:right w:val="nil"/>
            </w:tcBorders>
            <w:noWrap/>
            <w:vAlign w:val="center"/>
            <w:hideMark/>
          </w:tcPr>
          <w:p w14:paraId="14A4D26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6,562</w:t>
            </w:r>
          </w:p>
        </w:tc>
        <w:tc>
          <w:tcPr>
            <w:tcW w:w="414" w:type="pct"/>
            <w:tcBorders>
              <w:top w:val="nil"/>
              <w:left w:val="nil"/>
              <w:bottom w:val="nil"/>
              <w:right w:val="nil"/>
            </w:tcBorders>
            <w:noWrap/>
            <w:vAlign w:val="center"/>
            <w:hideMark/>
          </w:tcPr>
          <w:p w14:paraId="122916A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6,820</w:t>
            </w:r>
          </w:p>
        </w:tc>
        <w:tc>
          <w:tcPr>
            <w:tcW w:w="414" w:type="pct"/>
            <w:tcBorders>
              <w:top w:val="nil"/>
              <w:left w:val="nil"/>
              <w:bottom w:val="nil"/>
              <w:right w:val="nil"/>
            </w:tcBorders>
            <w:noWrap/>
            <w:vAlign w:val="center"/>
            <w:hideMark/>
          </w:tcPr>
          <w:p w14:paraId="4D57F9C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7,090</w:t>
            </w:r>
          </w:p>
        </w:tc>
      </w:tr>
      <w:tr w:rsidR="000F7A56" w:rsidRPr="000F7A56" w14:paraId="30A5003D" w14:textId="77777777" w:rsidTr="003316E8">
        <w:trPr>
          <w:trHeight w:val="252"/>
        </w:trPr>
        <w:tc>
          <w:tcPr>
            <w:tcW w:w="770" w:type="pct"/>
            <w:tcBorders>
              <w:top w:val="nil"/>
              <w:left w:val="nil"/>
              <w:bottom w:val="nil"/>
              <w:right w:val="nil"/>
            </w:tcBorders>
            <w:noWrap/>
            <w:vAlign w:val="bottom"/>
            <w:hideMark/>
          </w:tcPr>
          <w:p w14:paraId="74472F8A"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Persons of self-described gender</w:t>
            </w:r>
          </w:p>
        </w:tc>
        <w:tc>
          <w:tcPr>
            <w:tcW w:w="92" w:type="pct"/>
            <w:tcBorders>
              <w:top w:val="nil"/>
              <w:left w:val="nil"/>
              <w:bottom w:val="nil"/>
              <w:right w:val="nil"/>
            </w:tcBorders>
            <w:noWrap/>
            <w:vAlign w:val="bottom"/>
            <w:hideMark/>
          </w:tcPr>
          <w:p w14:paraId="69F7B2CC"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5E932B1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EE8787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762D4D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358BDA8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514B3D2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E756E9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A20488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138B73A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67E0BD3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33C8926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r>
      <w:tr w:rsidR="000F7A56" w:rsidRPr="000F7A56" w14:paraId="5662E024" w14:textId="77777777" w:rsidTr="003316E8">
        <w:trPr>
          <w:trHeight w:val="225"/>
        </w:trPr>
        <w:tc>
          <w:tcPr>
            <w:tcW w:w="770" w:type="pct"/>
            <w:tcBorders>
              <w:top w:val="nil"/>
              <w:left w:val="nil"/>
              <w:bottom w:val="nil"/>
              <w:right w:val="nil"/>
            </w:tcBorders>
            <w:noWrap/>
            <w:vAlign w:val="bottom"/>
            <w:hideMark/>
          </w:tcPr>
          <w:p w14:paraId="4506EBF1"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Vacant positions</w:t>
            </w:r>
          </w:p>
        </w:tc>
        <w:tc>
          <w:tcPr>
            <w:tcW w:w="92" w:type="pct"/>
            <w:tcBorders>
              <w:top w:val="nil"/>
              <w:left w:val="nil"/>
              <w:bottom w:val="nil"/>
              <w:right w:val="nil"/>
            </w:tcBorders>
            <w:noWrap/>
            <w:vAlign w:val="bottom"/>
            <w:hideMark/>
          </w:tcPr>
          <w:p w14:paraId="359656D7"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638E4B3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755</w:t>
            </w:r>
          </w:p>
        </w:tc>
        <w:tc>
          <w:tcPr>
            <w:tcW w:w="414" w:type="pct"/>
            <w:tcBorders>
              <w:top w:val="nil"/>
              <w:left w:val="nil"/>
              <w:bottom w:val="nil"/>
              <w:right w:val="nil"/>
            </w:tcBorders>
            <w:noWrap/>
            <w:vAlign w:val="center"/>
            <w:hideMark/>
          </w:tcPr>
          <w:p w14:paraId="64E8B0B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810</w:t>
            </w:r>
          </w:p>
        </w:tc>
        <w:tc>
          <w:tcPr>
            <w:tcW w:w="414" w:type="pct"/>
            <w:tcBorders>
              <w:top w:val="nil"/>
              <w:left w:val="nil"/>
              <w:bottom w:val="nil"/>
              <w:right w:val="nil"/>
            </w:tcBorders>
            <w:noWrap/>
            <w:vAlign w:val="center"/>
            <w:hideMark/>
          </w:tcPr>
          <w:p w14:paraId="4DD0ECC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870</w:t>
            </w:r>
          </w:p>
        </w:tc>
        <w:tc>
          <w:tcPr>
            <w:tcW w:w="414" w:type="pct"/>
            <w:tcBorders>
              <w:top w:val="nil"/>
              <w:left w:val="nil"/>
              <w:bottom w:val="nil"/>
              <w:right w:val="nil"/>
            </w:tcBorders>
            <w:noWrap/>
            <w:vAlign w:val="center"/>
            <w:hideMark/>
          </w:tcPr>
          <w:p w14:paraId="63181E8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904</w:t>
            </w:r>
          </w:p>
        </w:tc>
        <w:tc>
          <w:tcPr>
            <w:tcW w:w="414" w:type="pct"/>
            <w:tcBorders>
              <w:top w:val="nil"/>
              <w:left w:val="nil"/>
              <w:bottom w:val="nil"/>
              <w:right w:val="nil"/>
            </w:tcBorders>
            <w:noWrap/>
            <w:vAlign w:val="center"/>
            <w:hideMark/>
          </w:tcPr>
          <w:p w14:paraId="2F58F10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940</w:t>
            </w:r>
          </w:p>
        </w:tc>
        <w:tc>
          <w:tcPr>
            <w:tcW w:w="414" w:type="pct"/>
            <w:tcBorders>
              <w:top w:val="nil"/>
              <w:left w:val="nil"/>
              <w:bottom w:val="nil"/>
              <w:right w:val="nil"/>
            </w:tcBorders>
            <w:noWrap/>
            <w:vAlign w:val="center"/>
            <w:hideMark/>
          </w:tcPr>
          <w:p w14:paraId="022338F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977</w:t>
            </w:r>
          </w:p>
        </w:tc>
        <w:tc>
          <w:tcPr>
            <w:tcW w:w="414" w:type="pct"/>
            <w:tcBorders>
              <w:top w:val="nil"/>
              <w:left w:val="nil"/>
              <w:bottom w:val="nil"/>
              <w:right w:val="nil"/>
            </w:tcBorders>
            <w:noWrap/>
            <w:vAlign w:val="center"/>
            <w:hideMark/>
          </w:tcPr>
          <w:p w14:paraId="1C4C2D2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1,015</w:t>
            </w:r>
          </w:p>
        </w:tc>
        <w:tc>
          <w:tcPr>
            <w:tcW w:w="414" w:type="pct"/>
            <w:tcBorders>
              <w:top w:val="nil"/>
              <w:left w:val="nil"/>
              <w:bottom w:val="nil"/>
              <w:right w:val="nil"/>
            </w:tcBorders>
            <w:noWrap/>
            <w:vAlign w:val="center"/>
            <w:hideMark/>
          </w:tcPr>
          <w:p w14:paraId="316CDC1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1,055</w:t>
            </w:r>
          </w:p>
        </w:tc>
        <w:tc>
          <w:tcPr>
            <w:tcW w:w="414" w:type="pct"/>
            <w:tcBorders>
              <w:top w:val="nil"/>
              <w:left w:val="nil"/>
              <w:bottom w:val="nil"/>
              <w:right w:val="nil"/>
            </w:tcBorders>
            <w:noWrap/>
            <w:vAlign w:val="center"/>
            <w:hideMark/>
          </w:tcPr>
          <w:p w14:paraId="3844C55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1,097</w:t>
            </w:r>
          </w:p>
        </w:tc>
        <w:tc>
          <w:tcPr>
            <w:tcW w:w="414" w:type="pct"/>
            <w:tcBorders>
              <w:top w:val="nil"/>
              <w:left w:val="nil"/>
              <w:bottom w:val="nil"/>
              <w:right w:val="nil"/>
            </w:tcBorders>
            <w:noWrap/>
            <w:vAlign w:val="center"/>
            <w:hideMark/>
          </w:tcPr>
          <w:p w14:paraId="4154343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1,140</w:t>
            </w:r>
          </w:p>
        </w:tc>
      </w:tr>
      <w:tr w:rsidR="000F7A56" w:rsidRPr="000F7A56" w14:paraId="310D5451" w14:textId="77777777" w:rsidTr="003316E8">
        <w:trPr>
          <w:trHeight w:val="225"/>
        </w:trPr>
        <w:tc>
          <w:tcPr>
            <w:tcW w:w="770" w:type="pct"/>
            <w:tcBorders>
              <w:top w:val="nil"/>
              <w:left w:val="nil"/>
              <w:bottom w:val="nil"/>
              <w:right w:val="nil"/>
            </w:tcBorders>
            <w:noWrap/>
            <w:vAlign w:val="bottom"/>
            <w:hideMark/>
          </w:tcPr>
          <w:p w14:paraId="2A3DA297"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New positions</w:t>
            </w:r>
          </w:p>
        </w:tc>
        <w:tc>
          <w:tcPr>
            <w:tcW w:w="92" w:type="pct"/>
            <w:tcBorders>
              <w:top w:val="nil"/>
              <w:left w:val="nil"/>
              <w:bottom w:val="nil"/>
              <w:right w:val="nil"/>
            </w:tcBorders>
            <w:noWrap/>
            <w:vAlign w:val="bottom"/>
            <w:hideMark/>
          </w:tcPr>
          <w:p w14:paraId="199348B5"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4259170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1,206</w:t>
            </w:r>
          </w:p>
        </w:tc>
        <w:tc>
          <w:tcPr>
            <w:tcW w:w="414" w:type="pct"/>
            <w:tcBorders>
              <w:top w:val="nil"/>
              <w:left w:val="nil"/>
              <w:bottom w:val="nil"/>
              <w:right w:val="nil"/>
            </w:tcBorders>
            <w:noWrap/>
            <w:vAlign w:val="center"/>
            <w:hideMark/>
          </w:tcPr>
          <w:p w14:paraId="6ED5481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1,295</w:t>
            </w:r>
          </w:p>
        </w:tc>
        <w:tc>
          <w:tcPr>
            <w:tcW w:w="414" w:type="pct"/>
            <w:tcBorders>
              <w:top w:val="nil"/>
              <w:left w:val="nil"/>
              <w:bottom w:val="nil"/>
              <w:right w:val="nil"/>
            </w:tcBorders>
            <w:noWrap/>
            <w:vAlign w:val="center"/>
            <w:hideMark/>
          </w:tcPr>
          <w:p w14:paraId="073CD2A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1,390</w:t>
            </w:r>
          </w:p>
        </w:tc>
        <w:tc>
          <w:tcPr>
            <w:tcW w:w="414" w:type="pct"/>
            <w:tcBorders>
              <w:top w:val="nil"/>
              <w:left w:val="nil"/>
              <w:bottom w:val="nil"/>
              <w:right w:val="nil"/>
            </w:tcBorders>
            <w:noWrap/>
            <w:vAlign w:val="center"/>
            <w:hideMark/>
          </w:tcPr>
          <w:p w14:paraId="436976F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1,445</w:t>
            </w:r>
          </w:p>
        </w:tc>
        <w:tc>
          <w:tcPr>
            <w:tcW w:w="414" w:type="pct"/>
            <w:tcBorders>
              <w:top w:val="nil"/>
              <w:left w:val="nil"/>
              <w:bottom w:val="nil"/>
              <w:right w:val="nil"/>
            </w:tcBorders>
            <w:noWrap/>
            <w:vAlign w:val="center"/>
            <w:hideMark/>
          </w:tcPr>
          <w:p w14:paraId="400644C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1,501</w:t>
            </w:r>
          </w:p>
        </w:tc>
        <w:tc>
          <w:tcPr>
            <w:tcW w:w="414" w:type="pct"/>
            <w:tcBorders>
              <w:top w:val="nil"/>
              <w:left w:val="nil"/>
              <w:bottom w:val="nil"/>
              <w:right w:val="nil"/>
            </w:tcBorders>
            <w:noWrap/>
            <w:vAlign w:val="center"/>
            <w:hideMark/>
          </w:tcPr>
          <w:p w14:paraId="4B88D4E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1,560</w:t>
            </w:r>
          </w:p>
        </w:tc>
        <w:tc>
          <w:tcPr>
            <w:tcW w:w="414" w:type="pct"/>
            <w:tcBorders>
              <w:top w:val="nil"/>
              <w:left w:val="nil"/>
              <w:bottom w:val="nil"/>
              <w:right w:val="nil"/>
            </w:tcBorders>
            <w:noWrap/>
            <w:vAlign w:val="center"/>
            <w:hideMark/>
          </w:tcPr>
          <w:p w14:paraId="5B5CFA4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1,622</w:t>
            </w:r>
          </w:p>
        </w:tc>
        <w:tc>
          <w:tcPr>
            <w:tcW w:w="414" w:type="pct"/>
            <w:tcBorders>
              <w:top w:val="nil"/>
              <w:left w:val="nil"/>
              <w:bottom w:val="nil"/>
              <w:right w:val="nil"/>
            </w:tcBorders>
            <w:noWrap/>
            <w:vAlign w:val="center"/>
            <w:hideMark/>
          </w:tcPr>
          <w:p w14:paraId="18FB98B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1,686</w:t>
            </w:r>
          </w:p>
        </w:tc>
        <w:tc>
          <w:tcPr>
            <w:tcW w:w="414" w:type="pct"/>
            <w:tcBorders>
              <w:top w:val="nil"/>
              <w:left w:val="nil"/>
              <w:bottom w:val="nil"/>
              <w:right w:val="nil"/>
            </w:tcBorders>
            <w:noWrap/>
            <w:vAlign w:val="center"/>
            <w:hideMark/>
          </w:tcPr>
          <w:p w14:paraId="071E938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1,752</w:t>
            </w:r>
          </w:p>
        </w:tc>
        <w:tc>
          <w:tcPr>
            <w:tcW w:w="414" w:type="pct"/>
            <w:tcBorders>
              <w:top w:val="nil"/>
              <w:left w:val="nil"/>
              <w:bottom w:val="nil"/>
              <w:right w:val="nil"/>
            </w:tcBorders>
            <w:noWrap/>
            <w:vAlign w:val="center"/>
            <w:hideMark/>
          </w:tcPr>
          <w:p w14:paraId="3B0E5CD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1,821</w:t>
            </w:r>
          </w:p>
        </w:tc>
      </w:tr>
      <w:tr w:rsidR="003316E8" w:rsidRPr="000F7A56" w14:paraId="0580A29E" w14:textId="77777777" w:rsidTr="003316E8">
        <w:trPr>
          <w:trHeight w:val="225"/>
        </w:trPr>
        <w:tc>
          <w:tcPr>
            <w:tcW w:w="861" w:type="pct"/>
            <w:gridSpan w:val="2"/>
            <w:tcBorders>
              <w:top w:val="nil"/>
              <w:left w:val="nil"/>
              <w:bottom w:val="nil"/>
              <w:right w:val="nil"/>
            </w:tcBorders>
            <w:shd w:val="clear" w:color="000000" w:fill="DAE9F8"/>
            <w:noWrap/>
            <w:vAlign w:val="bottom"/>
            <w:hideMark/>
          </w:tcPr>
          <w:p w14:paraId="67686C95" w14:textId="77777777" w:rsidR="000F7A56" w:rsidRPr="000F7A56" w:rsidRDefault="000F7A56" w:rsidP="000F7A56">
            <w:pPr>
              <w:spacing w:before="0" w:after="0"/>
              <w:rPr>
                <w:rFonts w:ascii="Arial" w:hAnsi="Arial" w:cs="Arial"/>
                <w:sz w:val="16"/>
                <w:szCs w:val="16"/>
              </w:rPr>
            </w:pPr>
            <w:r w:rsidRPr="000F7A56">
              <w:rPr>
                <w:rFonts w:ascii="Arial" w:hAnsi="Arial" w:cs="Arial"/>
                <w:sz w:val="16"/>
                <w:szCs w:val="16"/>
              </w:rPr>
              <w:t>Permanent - Part time</w:t>
            </w:r>
          </w:p>
        </w:tc>
        <w:tc>
          <w:tcPr>
            <w:tcW w:w="414" w:type="pct"/>
            <w:tcBorders>
              <w:top w:val="nil"/>
              <w:left w:val="nil"/>
              <w:bottom w:val="nil"/>
              <w:right w:val="nil"/>
            </w:tcBorders>
            <w:shd w:val="clear" w:color="000000" w:fill="DAE9F8"/>
            <w:noWrap/>
            <w:vAlign w:val="center"/>
            <w:hideMark/>
          </w:tcPr>
          <w:p w14:paraId="2C1A831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6,840</w:t>
            </w:r>
          </w:p>
        </w:tc>
        <w:tc>
          <w:tcPr>
            <w:tcW w:w="414" w:type="pct"/>
            <w:tcBorders>
              <w:top w:val="nil"/>
              <w:left w:val="nil"/>
              <w:bottom w:val="nil"/>
              <w:right w:val="nil"/>
            </w:tcBorders>
            <w:shd w:val="clear" w:color="000000" w:fill="DAE9F8"/>
            <w:noWrap/>
            <w:vAlign w:val="center"/>
            <w:hideMark/>
          </w:tcPr>
          <w:p w14:paraId="1023157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7,343</w:t>
            </w:r>
          </w:p>
        </w:tc>
        <w:tc>
          <w:tcPr>
            <w:tcW w:w="414" w:type="pct"/>
            <w:tcBorders>
              <w:top w:val="nil"/>
              <w:left w:val="nil"/>
              <w:bottom w:val="nil"/>
              <w:right w:val="nil"/>
            </w:tcBorders>
            <w:shd w:val="clear" w:color="000000" w:fill="DAE9F8"/>
            <w:noWrap/>
            <w:vAlign w:val="center"/>
            <w:hideMark/>
          </w:tcPr>
          <w:p w14:paraId="2CFA69F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7,883</w:t>
            </w:r>
          </w:p>
        </w:tc>
        <w:tc>
          <w:tcPr>
            <w:tcW w:w="414" w:type="pct"/>
            <w:tcBorders>
              <w:top w:val="nil"/>
              <w:left w:val="nil"/>
              <w:bottom w:val="nil"/>
              <w:right w:val="nil"/>
            </w:tcBorders>
            <w:shd w:val="clear" w:color="000000" w:fill="DAE9F8"/>
            <w:noWrap/>
            <w:vAlign w:val="center"/>
            <w:hideMark/>
          </w:tcPr>
          <w:p w14:paraId="1DC0016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8,193</w:t>
            </w:r>
          </w:p>
        </w:tc>
        <w:tc>
          <w:tcPr>
            <w:tcW w:w="414" w:type="pct"/>
            <w:tcBorders>
              <w:top w:val="nil"/>
              <w:left w:val="nil"/>
              <w:bottom w:val="nil"/>
              <w:right w:val="nil"/>
            </w:tcBorders>
            <w:shd w:val="clear" w:color="000000" w:fill="DAE9F8"/>
            <w:noWrap/>
            <w:vAlign w:val="center"/>
            <w:hideMark/>
          </w:tcPr>
          <w:p w14:paraId="6A016EC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8,515</w:t>
            </w:r>
          </w:p>
        </w:tc>
        <w:tc>
          <w:tcPr>
            <w:tcW w:w="414" w:type="pct"/>
            <w:tcBorders>
              <w:top w:val="nil"/>
              <w:left w:val="nil"/>
              <w:bottom w:val="nil"/>
              <w:right w:val="nil"/>
            </w:tcBorders>
            <w:shd w:val="clear" w:color="000000" w:fill="DAE9F8"/>
            <w:noWrap/>
            <w:vAlign w:val="center"/>
            <w:hideMark/>
          </w:tcPr>
          <w:p w14:paraId="5403BD4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8,851</w:t>
            </w:r>
          </w:p>
        </w:tc>
        <w:tc>
          <w:tcPr>
            <w:tcW w:w="414" w:type="pct"/>
            <w:tcBorders>
              <w:top w:val="nil"/>
              <w:left w:val="nil"/>
              <w:bottom w:val="nil"/>
              <w:right w:val="nil"/>
            </w:tcBorders>
            <w:shd w:val="clear" w:color="000000" w:fill="DAE9F8"/>
            <w:noWrap/>
            <w:vAlign w:val="center"/>
            <w:hideMark/>
          </w:tcPr>
          <w:p w14:paraId="2E80553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9,199</w:t>
            </w:r>
          </w:p>
        </w:tc>
        <w:tc>
          <w:tcPr>
            <w:tcW w:w="414" w:type="pct"/>
            <w:tcBorders>
              <w:top w:val="nil"/>
              <w:left w:val="nil"/>
              <w:bottom w:val="nil"/>
              <w:right w:val="nil"/>
            </w:tcBorders>
            <w:shd w:val="clear" w:color="000000" w:fill="DAE9F8"/>
            <w:noWrap/>
            <w:vAlign w:val="center"/>
            <w:hideMark/>
          </w:tcPr>
          <w:p w14:paraId="0C51AFF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9,562</w:t>
            </w:r>
          </w:p>
        </w:tc>
        <w:tc>
          <w:tcPr>
            <w:tcW w:w="414" w:type="pct"/>
            <w:tcBorders>
              <w:top w:val="nil"/>
              <w:left w:val="nil"/>
              <w:bottom w:val="nil"/>
              <w:right w:val="nil"/>
            </w:tcBorders>
            <w:shd w:val="clear" w:color="000000" w:fill="DAE9F8"/>
            <w:noWrap/>
            <w:vAlign w:val="center"/>
            <w:hideMark/>
          </w:tcPr>
          <w:p w14:paraId="34D95FA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9,939</w:t>
            </w:r>
          </w:p>
        </w:tc>
        <w:tc>
          <w:tcPr>
            <w:tcW w:w="414" w:type="pct"/>
            <w:tcBorders>
              <w:top w:val="nil"/>
              <w:left w:val="nil"/>
              <w:bottom w:val="nil"/>
              <w:right w:val="nil"/>
            </w:tcBorders>
            <w:shd w:val="clear" w:color="000000" w:fill="DAE9F8"/>
            <w:noWrap/>
            <w:vAlign w:val="center"/>
            <w:hideMark/>
          </w:tcPr>
          <w:p w14:paraId="1237E60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10,331</w:t>
            </w:r>
          </w:p>
        </w:tc>
      </w:tr>
      <w:tr w:rsidR="000F7A56" w:rsidRPr="000F7A56" w14:paraId="686CB171" w14:textId="77777777" w:rsidTr="003316E8">
        <w:trPr>
          <w:trHeight w:val="225"/>
        </w:trPr>
        <w:tc>
          <w:tcPr>
            <w:tcW w:w="770" w:type="pct"/>
            <w:tcBorders>
              <w:top w:val="nil"/>
              <w:left w:val="nil"/>
              <w:bottom w:val="nil"/>
              <w:right w:val="nil"/>
            </w:tcBorders>
            <w:noWrap/>
            <w:vAlign w:val="bottom"/>
            <w:hideMark/>
          </w:tcPr>
          <w:p w14:paraId="32EB357B"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Women</w:t>
            </w:r>
          </w:p>
        </w:tc>
        <w:tc>
          <w:tcPr>
            <w:tcW w:w="92" w:type="pct"/>
            <w:tcBorders>
              <w:top w:val="nil"/>
              <w:left w:val="nil"/>
              <w:bottom w:val="nil"/>
              <w:right w:val="nil"/>
            </w:tcBorders>
            <w:noWrap/>
            <w:vAlign w:val="bottom"/>
            <w:hideMark/>
          </w:tcPr>
          <w:p w14:paraId="046F7E5D"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444F5E9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6,181</w:t>
            </w:r>
          </w:p>
        </w:tc>
        <w:tc>
          <w:tcPr>
            <w:tcW w:w="414" w:type="pct"/>
            <w:tcBorders>
              <w:top w:val="nil"/>
              <w:left w:val="nil"/>
              <w:bottom w:val="nil"/>
              <w:right w:val="nil"/>
            </w:tcBorders>
            <w:noWrap/>
            <w:vAlign w:val="center"/>
            <w:hideMark/>
          </w:tcPr>
          <w:p w14:paraId="33EDD36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6,635</w:t>
            </w:r>
          </w:p>
        </w:tc>
        <w:tc>
          <w:tcPr>
            <w:tcW w:w="414" w:type="pct"/>
            <w:tcBorders>
              <w:top w:val="nil"/>
              <w:left w:val="nil"/>
              <w:bottom w:val="nil"/>
              <w:right w:val="nil"/>
            </w:tcBorders>
            <w:noWrap/>
            <w:vAlign w:val="center"/>
            <w:hideMark/>
          </w:tcPr>
          <w:p w14:paraId="45D2ED0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7,124</w:t>
            </w:r>
          </w:p>
        </w:tc>
        <w:tc>
          <w:tcPr>
            <w:tcW w:w="414" w:type="pct"/>
            <w:tcBorders>
              <w:top w:val="nil"/>
              <w:left w:val="nil"/>
              <w:bottom w:val="nil"/>
              <w:right w:val="nil"/>
            </w:tcBorders>
            <w:noWrap/>
            <w:vAlign w:val="center"/>
            <w:hideMark/>
          </w:tcPr>
          <w:p w14:paraId="47DB251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7,404</w:t>
            </w:r>
          </w:p>
        </w:tc>
        <w:tc>
          <w:tcPr>
            <w:tcW w:w="414" w:type="pct"/>
            <w:tcBorders>
              <w:top w:val="nil"/>
              <w:left w:val="nil"/>
              <w:bottom w:val="nil"/>
              <w:right w:val="nil"/>
            </w:tcBorders>
            <w:noWrap/>
            <w:vAlign w:val="center"/>
            <w:hideMark/>
          </w:tcPr>
          <w:p w14:paraId="3D2BBD0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7,695</w:t>
            </w:r>
          </w:p>
        </w:tc>
        <w:tc>
          <w:tcPr>
            <w:tcW w:w="414" w:type="pct"/>
            <w:tcBorders>
              <w:top w:val="nil"/>
              <w:left w:val="nil"/>
              <w:bottom w:val="nil"/>
              <w:right w:val="nil"/>
            </w:tcBorders>
            <w:noWrap/>
            <w:vAlign w:val="center"/>
            <w:hideMark/>
          </w:tcPr>
          <w:p w14:paraId="51FE7F5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7,998</w:t>
            </w:r>
          </w:p>
        </w:tc>
        <w:tc>
          <w:tcPr>
            <w:tcW w:w="414" w:type="pct"/>
            <w:tcBorders>
              <w:top w:val="nil"/>
              <w:left w:val="nil"/>
              <w:bottom w:val="nil"/>
              <w:right w:val="nil"/>
            </w:tcBorders>
            <w:noWrap/>
            <w:vAlign w:val="center"/>
            <w:hideMark/>
          </w:tcPr>
          <w:p w14:paraId="2B6729D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8,313</w:t>
            </w:r>
          </w:p>
        </w:tc>
        <w:tc>
          <w:tcPr>
            <w:tcW w:w="414" w:type="pct"/>
            <w:tcBorders>
              <w:top w:val="nil"/>
              <w:left w:val="nil"/>
              <w:bottom w:val="nil"/>
              <w:right w:val="nil"/>
            </w:tcBorders>
            <w:noWrap/>
            <w:vAlign w:val="center"/>
            <w:hideMark/>
          </w:tcPr>
          <w:p w14:paraId="2FBD91D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8,640</w:t>
            </w:r>
          </w:p>
        </w:tc>
        <w:tc>
          <w:tcPr>
            <w:tcW w:w="414" w:type="pct"/>
            <w:tcBorders>
              <w:top w:val="nil"/>
              <w:left w:val="nil"/>
              <w:bottom w:val="nil"/>
              <w:right w:val="nil"/>
            </w:tcBorders>
            <w:noWrap/>
            <w:vAlign w:val="center"/>
            <w:hideMark/>
          </w:tcPr>
          <w:p w14:paraId="1690084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8,981</w:t>
            </w:r>
          </w:p>
        </w:tc>
        <w:tc>
          <w:tcPr>
            <w:tcW w:w="414" w:type="pct"/>
            <w:tcBorders>
              <w:top w:val="nil"/>
              <w:left w:val="nil"/>
              <w:bottom w:val="nil"/>
              <w:right w:val="nil"/>
            </w:tcBorders>
            <w:noWrap/>
            <w:vAlign w:val="center"/>
            <w:hideMark/>
          </w:tcPr>
          <w:p w14:paraId="2E9A16E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9,335</w:t>
            </w:r>
          </w:p>
        </w:tc>
      </w:tr>
      <w:tr w:rsidR="000F7A56" w:rsidRPr="000F7A56" w14:paraId="39E51BE4" w14:textId="77777777" w:rsidTr="003316E8">
        <w:trPr>
          <w:trHeight w:val="225"/>
        </w:trPr>
        <w:tc>
          <w:tcPr>
            <w:tcW w:w="770" w:type="pct"/>
            <w:tcBorders>
              <w:top w:val="nil"/>
              <w:left w:val="nil"/>
              <w:bottom w:val="nil"/>
              <w:right w:val="nil"/>
            </w:tcBorders>
            <w:noWrap/>
            <w:vAlign w:val="bottom"/>
            <w:hideMark/>
          </w:tcPr>
          <w:p w14:paraId="2CE037FC"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 xml:space="preserve">Men </w:t>
            </w:r>
          </w:p>
        </w:tc>
        <w:tc>
          <w:tcPr>
            <w:tcW w:w="92" w:type="pct"/>
            <w:tcBorders>
              <w:top w:val="nil"/>
              <w:left w:val="nil"/>
              <w:bottom w:val="nil"/>
              <w:right w:val="nil"/>
            </w:tcBorders>
            <w:noWrap/>
            <w:vAlign w:val="bottom"/>
            <w:hideMark/>
          </w:tcPr>
          <w:p w14:paraId="30D082A8"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4A31452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277</w:t>
            </w:r>
          </w:p>
        </w:tc>
        <w:tc>
          <w:tcPr>
            <w:tcW w:w="414" w:type="pct"/>
            <w:tcBorders>
              <w:top w:val="nil"/>
              <w:left w:val="nil"/>
              <w:bottom w:val="nil"/>
              <w:right w:val="nil"/>
            </w:tcBorders>
            <w:noWrap/>
            <w:vAlign w:val="center"/>
            <w:hideMark/>
          </w:tcPr>
          <w:p w14:paraId="5F36554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297</w:t>
            </w:r>
          </w:p>
        </w:tc>
        <w:tc>
          <w:tcPr>
            <w:tcW w:w="414" w:type="pct"/>
            <w:tcBorders>
              <w:top w:val="nil"/>
              <w:left w:val="nil"/>
              <w:bottom w:val="nil"/>
              <w:right w:val="nil"/>
            </w:tcBorders>
            <w:noWrap/>
            <w:vAlign w:val="center"/>
            <w:hideMark/>
          </w:tcPr>
          <w:p w14:paraId="4273B2B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319</w:t>
            </w:r>
          </w:p>
        </w:tc>
        <w:tc>
          <w:tcPr>
            <w:tcW w:w="414" w:type="pct"/>
            <w:tcBorders>
              <w:top w:val="nil"/>
              <w:left w:val="nil"/>
              <w:bottom w:val="nil"/>
              <w:right w:val="nil"/>
            </w:tcBorders>
            <w:noWrap/>
            <w:vAlign w:val="center"/>
            <w:hideMark/>
          </w:tcPr>
          <w:p w14:paraId="6B9C938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332</w:t>
            </w:r>
          </w:p>
        </w:tc>
        <w:tc>
          <w:tcPr>
            <w:tcW w:w="414" w:type="pct"/>
            <w:tcBorders>
              <w:top w:val="nil"/>
              <w:left w:val="nil"/>
              <w:bottom w:val="nil"/>
              <w:right w:val="nil"/>
            </w:tcBorders>
            <w:noWrap/>
            <w:vAlign w:val="center"/>
            <w:hideMark/>
          </w:tcPr>
          <w:p w14:paraId="70D3F1C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345</w:t>
            </w:r>
          </w:p>
        </w:tc>
        <w:tc>
          <w:tcPr>
            <w:tcW w:w="414" w:type="pct"/>
            <w:tcBorders>
              <w:top w:val="nil"/>
              <w:left w:val="nil"/>
              <w:bottom w:val="nil"/>
              <w:right w:val="nil"/>
            </w:tcBorders>
            <w:noWrap/>
            <w:vAlign w:val="center"/>
            <w:hideMark/>
          </w:tcPr>
          <w:p w14:paraId="0DEFAD2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358</w:t>
            </w:r>
          </w:p>
        </w:tc>
        <w:tc>
          <w:tcPr>
            <w:tcW w:w="414" w:type="pct"/>
            <w:tcBorders>
              <w:top w:val="nil"/>
              <w:left w:val="nil"/>
              <w:bottom w:val="nil"/>
              <w:right w:val="nil"/>
            </w:tcBorders>
            <w:noWrap/>
            <w:vAlign w:val="center"/>
            <w:hideMark/>
          </w:tcPr>
          <w:p w14:paraId="3ED156E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373</w:t>
            </w:r>
          </w:p>
        </w:tc>
        <w:tc>
          <w:tcPr>
            <w:tcW w:w="414" w:type="pct"/>
            <w:tcBorders>
              <w:top w:val="nil"/>
              <w:left w:val="nil"/>
              <w:bottom w:val="nil"/>
              <w:right w:val="nil"/>
            </w:tcBorders>
            <w:noWrap/>
            <w:vAlign w:val="center"/>
            <w:hideMark/>
          </w:tcPr>
          <w:p w14:paraId="7FFFB12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387</w:t>
            </w:r>
          </w:p>
        </w:tc>
        <w:tc>
          <w:tcPr>
            <w:tcW w:w="414" w:type="pct"/>
            <w:tcBorders>
              <w:top w:val="nil"/>
              <w:left w:val="nil"/>
              <w:bottom w:val="nil"/>
              <w:right w:val="nil"/>
            </w:tcBorders>
            <w:noWrap/>
            <w:vAlign w:val="center"/>
            <w:hideMark/>
          </w:tcPr>
          <w:p w14:paraId="0F3D4D0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402</w:t>
            </w:r>
          </w:p>
        </w:tc>
        <w:tc>
          <w:tcPr>
            <w:tcW w:w="414" w:type="pct"/>
            <w:tcBorders>
              <w:top w:val="nil"/>
              <w:left w:val="nil"/>
              <w:bottom w:val="nil"/>
              <w:right w:val="nil"/>
            </w:tcBorders>
            <w:noWrap/>
            <w:vAlign w:val="center"/>
            <w:hideMark/>
          </w:tcPr>
          <w:p w14:paraId="3DC140F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418</w:t>
            </w:r>
          </w:p>
        </w:tc>
      </w:tr>
      <w:tr w:rsidR="000F7A56" w:rsidRPr="000F7A56" w14:paraId="7041D274" w14:textId="77777777" w:rsidTr="003316E8">
        <w:trPr>
          <w:trHeight w:val="225"/>
        </w:trPr>
        <w:tc>
          <w:tcPr>
            <w:tcW w:w="770" w:type="pct"/>
            <w:tcBorders>
              <w:top w:val="nil"/>
              <w:left w:val="nil"/>
              <w:bottom w:val="nil"/>
              <w:right w:val="nil"/>
            </w:tcBorders>
            <w:noWrap/>
            <w:vAlign w:val="bottom"/>
            <w:hideMark/>
          </w:tcPr>
          <w:p w14:paraId="256BD877"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Persons of self-described gender</w:t>
            </w:r>
          </w:p>
        </w:tc>
        <w:tc>
          <w:tcPr>
            <w:tcW w:w="92" w:type="pct"/>
            <w:tcBorders>
              <w:top w:val="nil"/>
              <w:left w:val="nil"/>
              <w:bottom w:val="nil"/>
              <w:right w:val="nil"/>
            </w:tcBorders>
            <w:noWrap/>
            <w:vAlign w:val="bottom"/>
            <w:hideMark/>
          </w:tcPr>
          <w:p w14:paraId="355C1084"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27F2762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1BAB02E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A9BC1E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146B385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705CADD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E858A8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541F9E0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5BFE559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726AD5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31D5C05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r>
      <w:tr w:rsidR="000F7A56" w:rsidRPr="000F7A56" w14:paraId="4C074E9B" w14:textId="77777777" w:rsidTr="003316E8">
        <w:trPr>
          <w:trHeight w:val="225"/>
        </w:trPr>
        <w:tc>
          <w:tcPr>
            <w:tcW w:w="770" w:type="pct"/>
            <w:tcBorders>
              <w:top w:val="nil"/>
              <w:left w:val="nil"/>
              <w:bottom w:val="nil"/>
              <w:right w:val="nil"/>
            </w:tcBorders>
            <w:noWrap/>
            <w:vAlign w:val="bottom"/>
            <w:hideMark/>
          </w:tcPr>
          <w:p w14:paraId="28339318"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Vacant positions</w:t>
            </w:r>
          </w:p>
        </w:tc>
        <w:tc>
          <w:tcPr>
            <w:tcW w:w="92" w:type="pct"/>
            <w:tcBorders>
              <w:top w:val="nil"/>
              <w:left w:val="nil"/>
              <w:bottom w:val="nil"/>
              <w:right w:val="nil"/>
            </w:tcBorders>
            <w:noWrap/>
            <w:vAlign w:val="bottom"/>
            <w:hideMark/>
          </w:tcPr>
          <w:p w14:paraId="5D9EC95F"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2FA0308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262</w:t>
            </w:r>
          </w:p>
        </w:tc>
        <w:tc>
          <w:tcPr>
            <w:tcW w:w="414" w:type="pct"/>
            <w:tcBorders>
              <w:top w:val="nil"/>
              <w:left w:val="nil"/>
              <w:bottom w:val="nil"/>
              <w:right w:val="nil"/>
            </w:tcBorders>
            <w:noWrap/>
            <w:vAlign w:val="center"/>
            <w:hideMark/>
          </w:tcPr>
          <w:p w14:paraId="2F7398C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281</w:t>
            </w:r>
          </w:p>
        </w:tc>
        <w:tc>
          <w:tcPr>
            <w:tcW w:w="414" w:type="pct"/>
            <w:tcBorders>
              <w:top w:val="nil"/>
              <w:left w:val="nil"/>
              <w:bottom w:val="nil"/>
              <w:right w:val="nil"/>
            </w:tcBorders>
            <w:noWrap/>
            <w:vAlign w:val="center"/>
            <w:hideMark/>
          </w:tcPr>
          <w:p w14:paraId="00B8879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302</w:t>
            </w:r>
          </w:p>
        </w:tc>
        <w:tc>
          <w:tcPr>
            <w:tcW w:w="414" w:type="pct"/>
            <w:tcBorders>
              <w:top w:val="nil"/>
              <w:left w:val="nil"/>
              <w:bottom w:val="nil"/>
              <w:right w:val="nil"/>
            </w:tcBorders>
            <w:noWrap/>
            <w:vAlign w:val="center"/>
            <w:hideMark/>
          </w:tcPr>
          <w:p w14:paraId="4236BDB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314</w:t>
            </w:r>
          </w:p>
        </w:tc>
        <w:tc>
          <w:tcPr>
            <w:tcW w:w="414" w:type="pct"/>
            <w:tcBorders>
              <w:top w:val="nil"/>
              <w:left w:val="nil"/>
              <w:bottom w:val="nil"/>
              <w:right w:val="nil"/>
            </w:tcBorders>
            <w:noWrap/>
            <w:vAlign w:val="center"/>
            <w:hideMark/>
          </w:tcPr>
          <w:p w14:paraId="4919EE9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326</w:t>
            </w:r>
          </w:p>
        </w:tc>
        <w:tc>
          <w:tcPr>
            <w:tcW w:w="414" w:type="pct"/>
            <w:tcBorders>
              <w:top w:val="nil"/>
              <w:left w:val="nil"/>
              <w:bottom w:val="nil"/>
              <w:right w:val="nil"/>
            </w:tcBorders>
            <w:noWrap/>
            <w:vAlign w:val="center"/>
            <w:hideMark/>
          </w:tcPr>
          <w:p w14:paraId="02E3615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339</w:t>
            </w:r>
          </w:p>
        </w:tc>
        <w:tc>
          <w:tcPr>
            <w:tcW w:w="414" w:type="pct"/>
            <w:tcBorders>
              <w:top w:val="nil"/>
              <w:left w:val="nil"/>
              <w:bottom w:val="nil"/>
              <w:right w:val="nil"/>
            </w:tcBorders>
            <w:noWrap/>
            <w:vAlign w:val="center"/>
            <w:hideMark/>
          </w:tcPr>
          <w:p w14:paraId="68190BF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352</w:t>
            </w:r>
          </w:p>
        </w:tc>
        <w:tc>
          <w:tcPr>
            <w:tcW w:w="414" w:type="pct"/>
            <w:tcBorders>
              <w:top w:val="nil"/>
              <w:left w:val="nil"/>
              <w:bottom w:val="nil"/>
              <w:right w:val="nil"/>
            </w:tcBorders>
            <w:noWrap/>
            <w:vAlign w:val="center"/>
            <w:hideMark/>
          </w:tcPr>
          <w:p w14:paraId="23ECA44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366</w:t>
            </w:r>
          </w:p>
        </w:tc>
        <w:tc>
          <w:tcPr>
            <w:tcW w:w="414" w:type="pct"/>
            <w:tcBorders>
              <w:top w:val="nil"/>
              <w:left w:val="nil"/>
              <w:bottom w:val="nil"/>
              <w:right w:val="nil"/>
            </w:tcBorders>
            <w:noWrap/>
            <w:vAlign w:val="center"/>
            <w:hideMark/>
          </w:tcPr>
          <w:p w14:paraId="4867F6D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381</w:t>
            </w:r>
          </w:p>
        </w:tc>
        <w:tc>
          <w:tcPr>
            <w:tcW w:w="414" w:type="pct"/>
            <w:tcBorders>
              <w:top w:val="nil"/>
              <w:left w:val="nil"/>
              <w:bottom w:val="nil"/>
              <w:right w:val="nil"/>
            </w:tcBorders>
            <w:noWrap/>
            <w:vAlign w:val="center"/>
            <w:hideMark/>
          </w:tcPr>
          <w:p w14:paraId="577559E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396</w:t>
            </w:r>
          </w:p>
        </w:tc>
      </w:tr>
      <w:tr w:rsidR="000F7A56" w:rsidRPr="000F7A56" w14:paraId="4883ED33" w14:textId="77777777" w:rsidTr="003316E8">
        <w:trPr>
          <w:trHeight w:val="225"/>
        </w:trPr>
        <w:tc>
          <w:tcPr>
            <w:tcW w:w="770" w:type="pct"/>
            <w:tcBorders>
              <w:top w:val="nil"/>
              <w:left w:val="nil"/>
              <w:bottom w:val="nil"/>
              <w:right w:val="nil"/>
            </w:tcBorders>
            <w:noWrap/>
            <w:vAlign w:val="bottom"/>
            <w:hideMark/>
          </w:tcPr>
          <w:p w14:paraId="4F5F8007"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New positions</w:t>
            </w:r>
          </w:p>
        </w:tc>
        <w:tc>
          <w:tcPr>
            <w:tcW w:w="92" w:type="pct"/>
            <w:tcBorders>
              <w:top w:val="nil"/>
              <w:left w:val="nil"/>
              <w:bottom w:val="nil"/>
              <w:right w:val="nil"/>
            </w:tcBorders>
            <w:noWrap/>
            <w:vAlign w:val="bottom"/>
            <w:hideMark/>
          </w:tcPr>
          <w:p w14:paraId="1DBF5FB7"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51C7BAC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120</w:t>
            </w:r>
          </w:p>
        </w:tc>
        <w:tc>
          <w:tcPr>
            <w:tcW w:w="414" w:type="pct"/>
            <w:tcBorders>
              <w:top w:val="nil"/>
              <w:left w:val="nil"/>
              <w:bottom w:val="nil"/>
              <w:right w:val="nil"/>
            </w:tcBorders>
            <w:noWrap/>
            <w:vAlign w:val="center"/>
            <w:hideMark/>
          </w:tcPr>
          <w:p w14:paraId="7655798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129</w:t>
            </w:r>
          </w:p>
        </w:tc>
        <w:tc>
          <w:tcPr>
            <w:tcW w:w="414" w:type="pct"/>
            <w:tcBorders>
              <w:top w:val="nil"/>
              <w:left w:val="nil"/>
              <w:bottom w:val="nil"/>
              <w:right w:val="nil"/>
            </w:tcBorders>
            <w:noWrap/>
            <w:vAlign w:val="center"/>
            <w:hideMark/>
          </w:tcPr>
          <w:p w14:paraId="4824E97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138</w:t>
            </w:r>
          </w:p>
        </w:tc>
        <w:tc>
          <w:tcPr>
            <w:tcW w:w="414" w:type="pct"/>
            <w:tcBorders>
              <w:top w:val="nil"/>
              <w:left w:val="nil"/>
              <w:bottom w:val="nil"/>
              <w:right w:val="nil"/>
            </w:tcBorders>
            <w:noWrap/>
            <w:vAlign w:val="center"/>
            <w:hideMark/>
          </w:tcPr>
          <w:p w14:paraId="4B1D72F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144</w:t>
            </w:r>
          </w:p>
        </w:tc>
        <w:tc>
          <w:tcPr>
            <w:tcW w:w="414" w:type="pct"/>
            <w:tcBorders>
              <w:top w:val="nil"/>
              <w:left w:val="nil"/>
              <w:bottom w:val="nil"/>
              <w:right w:val="nil"/>
            </w:tcBorders>
            <w:noWrap/>
            <w:vAlign w:val="center"/>
            <w:hideMark/>
          </w:tcPr>
          <w:p w14:paraId="43CF52E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149</w:t>
            </w:r>
          </w:p>
        </w:tc>
        <w:tc>
          <w:tcPr>
            <w:tcW w:w="414" w:type="pct"/>
            <w:tcBorders>
              <w:top w:val="nil"/>
              <w:left w:val="nil"/>
              <w:bottom w:val="nil"/>
              <w:right w:val="nil"/>
            </w:tcBorders>
            <w:noWrap/>
            <w:vAlign w:val="center"/>
            <w:hideMark/>
          </w:tcPr>
          <w:p w14:paraId="03AD43F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155</w:t>
            </w:r>
          </w:p>
        </w:tc>
        <w:tc>
          <w:tcPr>
            <w:tcW w:w="414" w:type="pct"/>
            <w:tcBorders>
              <w:top w:val="nil"/>
              <w:left w:val="nil"/>
              <w:bottom w:val="nil"/>
              <w:right w:val="nil"/>
            </w:tcBorders>
            <w:noWrap/>
            <w:vAlign w:val="center"/>
            <w:hideMark/>
          </w:tcPr>
          <w:p w14:paraId="2915037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161</w:t>
            </w:r>
          </w:p>
        </w:tc>
        <w:tc>
          <w:tcPr>
            <w:tcW w:w="414" w:type="pct"/>
            <w:tcBorders>
              <w:top w:val="nil"/>
              <w:left w:val="nil"/>
              <w:bottom w:val="nil"/>
              <w:right w:val="nil"/>
            </w:tcBorders>
            <w:noWrap/>
            <w:vAlign w:val="center"/>
            <w:hideMark/>
          </w:tcPr>
          <w:p w14:paraId="2633CB6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168</w:t>
            </w:r>
          </w:p>
        </w:tc>
        <w:tc>
          <w:tcPr>
            <w:tcW w:w="414" w:type="pct"/>
            <w:tcBorders>
              <w:top w:val="nil"/>
              <w:left w:val="nil"/>
              <w:bottom w:val="nil"/>
              <w:right w:val="nil"/>
            </w:tcBorders>
            <w:noWrap/>
            <w:vAlign w:val="center"/>
            <w:hideMark/>
          </w:tcPr>
          <w:p w14:paraId="2C0FAF2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174</w:t>
            </w:r>
          </w:p>
        </w:tc>
        <w:tc>
          <w:tcPr>
            <w:tcW w:w="414" w:type="pct"/>
            <w:tcBorders>
              <w:top w:val="nil"/>
              <w:left w:val="nil"/>
              <w:bottom w:val="nil"/>
              <w:right w:val="nil"/>
            </w:tcBorders>
            <w:noWrap/>
            <w:vAlign w:val="center"/>
            <w:hideMark/>
          </w:tcPr>
          <w:p w14:paraId="70BE1DA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181</w:t>
            </w:r>
          </w:p>
        </w:tc>
      </w:tr>
      <w:tr w:rsidR="000F7A56" w:rsidRPr="000F7A56" w14:paraId="25D8FA04" w14:textId="77777777" w:rsidTr="003316E8">
        <w:trPr>
          <w:trHeight w:val="225"/>
        </w:trPr>
        <w:tc>
          <w:tcPr>
            <w:tcW w:w="861" w:type="pct"/>
            <w:gridSpan w:val="2"/>
            <w:tcBorders>
              <w:top w:val="nil"/>
              <w:left w:val="nil"/>
              <w:bottom w:val="nil"/>
              <w:right w:val="nil"/>
            </w:tcBorders>
            <w:noWrap/>
            <w:vAlign w:val="bottom"/>
            <w:hideMark/>
          </w:tcPr>
          <w:p w14:paraId="082FA874"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Total Community &amp; Planning Services</w:t>
            </w:r>
          </w:p>
        </w:tc>
        <w:tc>
          <w:tcPr>
            <w:tcW w:w="414" w:type="pct"/>
            <w:tcBorders>
              <w:top w:val="single" w:sz="4" w:space="0" w:color="auto"/>
              <w:left w:val="nil"/>
              <w:bottom w:val="single" w:sz="4" w:space="0" w:color="auto"/>
              <w:right w:val="nil"/>
            </w:tcBorders>
            <w:noWrap/>
            <w:vAlign w:val="center"/>
            <w:hideMark/>
          </w:tcPr>
          <w:p w14:paraId="275E255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24,859</w:t>
            </w:r>
          </w:p>
        </w:tc>
        <w:tc>
          <w:tcPr>
            <w:tcW w:w="414" w:type="pct"/>
            <w:tcBorders>
              <w:top w:val="single" w:sz="4" w:space="0" w:color="auto"/>
              <w:left w:val="nil"/>
              <w:bottom w:val="single" w:sz="4" w:space="0" w:color="auto"/>
              <w:right w:val="nil"/>
            </w:tcBorders>
            <w:noWrap/>
            <w:vAlign w:val="center"/>
            <w:hideMark/>
          </w:tcPr>
          <w:p w14:paraId="61CB1AB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26,686</w:t>
            </w:r>
          </w:p>
        </w:tc>
        <w:tc>
          <w:tcPr>
            <w:tcW w:w="414" w:type="pct"/>
            <w:tcBorders>
              <w:top w:val="single" w:sz="4" w:space="0" w:color="auto"/>
              <w:left w:val="nil"/>
              <w:bottom w:val="single" w:sz="4" w:space="0" w:color="auto"/>
              <w:right w:val="nil"/>
            </w:tcBorders>
            <w:noWrap/>
            <w:vAlign w:val="center"/>
            <w:hideMark/>
          </w:tcPr>
          <w:p w14:paraId="47CE0EA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28,651</w:t>
            </w:r>
          </w:p>
        </w:tc>
        <w:tc>
          <w:tcPr>
            <w:tcW w:w="414" w:type="pct"/>
            <w:tcBorders>
              <w:top w:val="single" w:sz="4" w:space="0" w:color="auto"/>
              <w:left w:val="nil"/>
              <w:bottom w:val="single" w:sz="4" w:space="0" w:color="auto"/>
              <w:right w:val="nil"/>
            </w:tcBorders>
            <w:noWrap/>
            <w:vAlign w:val="center"/>
            <w:hideMark/>
          </w:tcPr>
          <w:p w14:paraId="4715849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29,777</w:t>
            </w:r>
          </w:p>
        </w:tc>
        <w:tc>
          <w:tcPr>
            <w:tcW w:w="414" w:type="pct"/>
            <w:tcBorders>
              <w:top w:val="single" w:sz="4" w:space="0" w:color="auto"/>
              <w:left w:val="nil"/>
              <w:bottom w:val="single" w:sz="4" w:space="0" w:color="auto"/>
              <w:right w:val="nil"/>
            </w:tcBorders>
            <w:noWrap/>
            <w:vAlign w:val="center"/>
            <w:hideMark/>
          </w:tcPr>
          <w:p w14:paraId="1F8BB5B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30,948</w:t>
            </w:r>
          </w:p>
        </w:tc>
        <w:tc>
          <w:tcPr>
            <w:tcW w:w="414" w:type="pct"/>
            <w:tcBorders>
              <w:top w:val="single" w:sz="4" w:space="0" w:color="auto"/>
              <w:left w:val="nil"/>
              <w:bottom w:val="single" w:sz="4" w:space="0" w:color="auto"/>
              <w:right w:val="nil"/>
            </w:tcBorders>
            <w:noWrap/>
            <w:vAlign w:val="center"/>
            <w:hideMark/>
          </w:tcPr>
          <w:p w14:paraId="4DC653A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32,166</w:t>
            </w:r>
          </w:p>
        </w:tc>
        <w:tc>
          <w:tcPr>
            <w:tcW w:w="414" w:type="pct"/>
            <w:tcBorders>
              <w:top w:val="single" w:sz="4" w:space="0" w:color="auto"/>
              <w:left w:val="nil"/>
              <w:bottom w:val="single" w:sz="4" w:space="0" w:color="auto"/>
              <w:right w:val="nil"/>
            </w:tcBorders>
            <w:noWrap/>
            <w:vAlign w:val="center"/>
            <w:hideMark/>
          </w:tcPr>
          <w:p w14:paraId="4C839C9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33,433</w:t>
            </w:r>
          </w:p>
        </w:tc>
        <w:tc>
          <w:tcPr>
            <w:tcW w:w="414" w:type="pct"/>
            <w:tcBorders>
              <w:top w:val="single" w:sz="4" w:space="0" w:color="auto"/>
              <w:left w:val="nil"/>
              <w:bottom w:val="single" w:sz="4" w:space="0" w:color="auto"/>
              <w:right w:val="nil"/>
            </w:tcBorders>
            <w:noWrap/>
            <w:vAlign w:val="center"/>
            <w:hideMark/>
          </w:tcPr>
          <w:p w14:paraId="701AF07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34,750</w:t>
            </w:r>
          </w:p>
        </w:tc>
        <w:tc>
          <w:tcPr>
            <w:tcW w:w="414" w:type="pct"/>
            <w:tcBorders>
              <w:top w:val="single" w:sz="4" w:space="0" w:color="auto"/>
              <w:left w:val="nil"/>
              <w:bottom w:val="single" w:sz="4" w:space="0" w:color="auto"/>
              <w:right w:val="nil"/>
            </w:tcBorders>
            <w:noWrap/>
            <w:vAlign w:val="center"/>
            <w:hideMark/>
          </w:tcPr>
          <w:p w14:paraId="548729F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36,121</w:t>
            </w:r>
          </w:p>
        </w:tc>
        <w:tc>
          <w:tcPr>
            <w:tcW w:w="414" w:type="pct"/>
            <w:tcBorders>
              <w:top w:val="single" w:sz="4" w:space="0" w:color="auto"/>
              <w:left w:val="nil"/>
              <w:bottom w:val="single" w:sz="4" w:space="0" w:color="auto"/>
              <w:right w:val="nil"/>
            </w:tcBorders>
            <w:noWrap/>
            <w:vAlign w:val="center"/>
            <w:hideMark/>
          </w:tcPr>
          <w:p w14:paraId="6061DFF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37,546</w:t>
            </w:r>
          </w:p>
        </w:tc>
      </w:tr>
      <w:tr w:rsidR="000F7A56" w:rsidRPr="000F7A56" w14:paraId="7DB82053" w14:textId="77777777" w:rsidTr="000F7A56">
        <w:trPr>
          <w:trHeight w:val="225"/>
        </w:trPr>
        <w:tc>
          <w:tcPr>
            <w:tcW w:w="2516" w:type="pct"/>
            <w:gridSpan w:val="6"/>
            <w:tcBorders>
              <w:top w:val="nil"/>
              <w:left w:val="nil"/>
              <w:bottom w:val="nil"/>
              <w:right w:val="nil"/>
            </w:tcBorders>
            <w:noWrap/>
            <w:vAlign w:val="bottom"/>
            <w:hideMark/>
          </w:tcPr>
          <w:p w14:paraId="0FFC40A6" w14:textId="77777777" w:rsidR="000F7A56" w:rsidRPr="000F7A56" w:rsidRDefault="000F7A56" w:rsidP="000F7A56">
            <w:pPr>
              <w:spacing w:before="0" w:after="0"/>
              <w:jc w:val="right"/>
              <w:rPr>
                <w:rFonts w:ascii="Arial" w:hAnsi="Arial" w:cs="Arial"/>
                <w:sz w:val="16"/>
                <w:szCs w:val="16"/>
              </w:rPr>
            </w:pPr>
          </w:p>
        </w:tc>
        <w:tc>
          <w:tcPr>
            <w:tcW w:w="414" w:type="pct"/>
            <w:tcBorders>
              <w:top w:val="nil"/>
              <w:left w:val="nil"/>
              <w:bottom w:val="nil"/>
              <w:right w:val="nil"/>
            </w:tcBorders>
            <w:noWrap/>
            <w:vAlign w:val="bottom"/>
            <w:hideMark/>
          </w:tcPr>
          <w:p w14:paraId="5B48E7EF" w14:textId="77777777" w:rsidR="000F7A56" w:rsidRPr="000F7A56" w:rsidRDefault="000F7A56" w:rsidP="000F7A56">
            <w:pPr>
              <w:spacing w:before="0" w:after="0"/>
              <w:jc w:val="center"/>
              <w:rPr>
                <w:rFonts w:ascii="Times New Roman" w:hAnsi="Times New Roman"/>
                <w:sz w:val="20"/>
                <w:szCs w:val="20"/>
              </w:rPr>
            </w:pPr>
          </w:p>
        </w:tc>
        <w:tc>
          <w:tcPr>
            <w:tcW w:w="414" w:type="pct"/>
            <w:tcBorders>
              <w:top w:val="nil"/>
              <w:left w:val="nil"/>
              <w:bottom w:val="nil"/>
              <w:right w:val="nil"/>
            </w:tcBorders>
            <w:noWrap/>
            <w:vAlign w:val="bottom"/>
            <w:hideMark/>
          </w:tcPr>
          <w:p w14:paraId="16F6AE8B"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1092C17F"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6915E50C"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0800FB3E"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28B332FF" w14:textId="77777777" w:rsidR="000F7A56" w:rsidRPr="000F7A56" w:rsidRDefault="000F7A56" w:rsidP="000F7A56">
            <w:pPr>
              <w:spacing w:before="0" w:after="0"/>
              <w:rPr>
                <w:rFonts w:ascii="Times New Roman" w:hAnsi="Times New Roman"/>
                <w:sz w:val="20"/>
                <w:szCs w:val="20"/>
              </w:rPr>
            </w:pPr>
          </w:p>
        </w:tc>
      </w:tr>
      <w:tr w:rsidR="000F7A56" w:rsidRPr="000F7A56" w14:paraId="4F17F3DD" w14:textId="77777777" w:rsidTr="000F7A56">
        <w:trPr>
          <w:trHeight w:val="225"/>
        </w:trPr>
        <w:tc>
          <w:tcPr>
            <w:tcW w:w="2516" w:type="pct"/>
            <w:gridSpan w:val="6"/>
            <w:tcBorders>
              <w:top w:val="nil"/>
              <w:left w:val="nil"/>
              <w:bottom w:val="nil"/>
              <w:right w:val="nil"/>
            </w:tcBorders>
            <w:noWrap/>
            <w:vAlign w:val="bottom"/>
            <w:hideMark/>
          </w:tcPr>
          <w:p w14:paraId="1BBCF921"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Corporate Services</w:t>
            </w:r>
          </w:p>
        </w:tc>
        <w:tc>
          <w:tcPr>
            <w:tcW w:w="414" w:type="pct"/>
            <w:tcBorders>
              <w:top w:val="nil"/>
              <w:left w:val="nil"/>
              <w:bottom w:val="nil"/>
              <w:right w:val="nil"/>
            </w:tcBorders>
            <w:noWrap/>
            <w:vAlign w:val="bottom"/>
            <w:hideMark/>
          </w:tcPr>
          <w:p w14:paraId="3BAE2CE6" w14:textId="77777777" w:rsidR="000F7A56" w:rsidRPr="000F7A56" w:rsidRDefault="000F7A56" w:rsidP="000F7A56">
            <w:pPr>
              <w:spacing w:before="0" w:after="0"/>
              <w:rPr>
                <w:rFonts w:ascii="Arial" w:hAnsi="Arial" w:cs="Arial"/>
                <w:b/>
                <w:bCs/>
                <w:sz w:val="16"/>
                <w:szCs w:val="16"/>
              </w:rPr>
            </w:pPr>
          </w:p>
        </w:tc>
        <w:tc>
          <w:tcPr>
            <w:tcW w:w="414" w:type="pct"/>
            <w:tcBorders>
              <w:top w:val="nil"/>
              <w:left w:val="nil"/>
              <w:bottom w:val="nil"/>
              <w:right w:val="nil"/>
            </w:tcBorders>
            <w:noWrap/>
            <w:vAlign w:val="bottom"/>
            <w:hideMark/>
          </w:tcPr>
          <w:p w14:paraId="23FD3917"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4483F069"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14AAC9CF"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770CBF9F"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3F202428" w14:textId="77777777" w:rsidR="000F7A56" w:rsidRPr="000F7A56" w:rsidRDefault="000F7A56" w:rsidP="000F7A56">
            <w:pPr>
              <w:spacing w:before="0" w:after="0"/>
              <w:rPr>
                <w:rFonts w:ascii="Times New Roman" w:hAnsi="Times New Roman"/>
                <w:sz w:val="20"/>
                <w:szCs w:val="20"/>
              </w:rPr>
            </w:pPr>
          </w:p>
        </w:tc>
      </w:tr>
      <w:tr w:rsidR="003316E8" w:rsidRPr="000F7A56" w14:paraId="06497240" w14:textId="77777777" w:rsidTr="003316E8">
        <w:trPr>
          <w:trHeight w:val="225"/>
        </w:trPr>
        <w:tc>
          <w:tcPr>
            <w:tcW w:w="861" w:type="pct"/>
            <w:gridSpan w:val="2"/>
            <w:tcBorders>
              <w:top w:val="nil"/>
              <w:left w:val="nil"/>
              <w:bottom w:val="nil"/>
              <w:right w:val="nil"/>
            </w:tcBorders>
            <w:shd w:val="clear" w:color="000000" w:fill="DAE9F8"/>
            <w:noWrap/>
            <w:vAlign w:val="bottom"/>
            <w:hideMark/>
          </w:tcPr>
          <w:p w14:paraId="64F33D40" w14:textId="77777777" w:rsidR="000F7A56" w:rsidRPr="000F7A56" w:rsidRDefault="000F7A56" w:rsidP="000F7A56">
            <w:pPr>
              <w:spacing w:before="0" w:after="0"/>
              <w:rPr>
                <w:rFonts w:ascii="Arial" w:hAnsi="Arial" w:cs="Arial"/>
                <w:sz w:val="16"/>
                <w:szCs w:val="16"/>
              </w:rPr>
            </w:pPr>
            <w:r w:rsidRPr="000F7A56">
              <w:rPr>
                <w:rFonts w:ascii="Arial" w:hAnsi="Arial" w:cs="Arial"/>
                <w:sz w:val="16"/>
                <w:szCs w:val="16"/>
              </w:rPr>
              <w:t>Permanent - Full time</w:t>
            </w:r>
          </w:p>
        </w:tc>
        <w:tc>
          <w:tcPr>
            <w:tcW w:w="414" w:type="pct"/>
            <w:tcBorders>
              <w:top w:val="nil"/>
              <w:left w:val="nil"/>
              <w:bottom w:val="nil"/>
              <w:right w:val="nil"/>
            </w:tcBorders>
            <w:shd w:val="clear" w:color="000000" w:fill="DAE9F8"/>
            <w:noWrap/>
            <w:vAlign w:val="center"/>
            <w:hideMark/>
          </w:tcPr>
          <w:p w14:paraId="6281A38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12,618</w:t>
            </w:r>
          </w:p>
        </w:tc>
        <w:tc>
          <w:tcPr>
            <w:tcW w:w="414" w:type="pct"/>
            <w:tcBorders>
              <w:top w:val="nil"/>
              <w:left w:val="nil"/>
              <w:bottom w:val="nil"/>
              <w:right w:val="nil"/>
            </w:tcBorders>
            <w:shd w:val="clear" w:color="000000" w:fill="DAE9F8"/>
            <w:noWrap/>
            <w:vAlign w:val="center"/>
            <w:hideMark/>
          </w:tcPr>
          <w:p w14:paraId="226B65B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13,545</w:t>
            </w:r>
          </w:p>
        </w:tc>
        <w:tc>
          <w:tcPr>
            <w:tcW w:w="414" w:type="pct"/>
            <w:tcBorders>
              <w:top w:val="nil"/>
              <w:left w:val="nil"/>
              <w:bottom w:val="nil"/>
              <w:right w:val="nil"/>
            </w:tcBorders>
            <w:shd w:val="clear" w:color="000000" w:fill="DAE9F8"/>
            <w:noWrap/>
            <w:vAlign w:val="center"/>
            <w:hideMark/>
          </w:tcPr>
          <w:p w14:paraId="0D2AA22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14,543</w:t>
            </w:r>
          </w:p>
        </w:tc>
        <w:tc>
          <w:tcPr>
            <w:tcW w:w="414" w:type="pct"/>
            <w:tcBorders>
              <w:top w:val="nil"/>
              <w:left w:val="nil"/>
              <w:bottom w:val="nil"/>
              <w:right w:val="nil"/>
            </w:tcBorders>
            <w:shd w:val="clear" w:color="000000" w:fill="DAE9F8"/>
            <w:noWrap/>
            <w:vAlign w:val="center"/>
            <w:hideMark/>
          </w:tcPr>
          <w:p w14:paraId="379BAF9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15,114</w:t>
            </w:r>
          </w:p>
        </w:tc>
        <w:tc>
          <w:tcPr>
            <w:tcW w:w="414" w:type="pct"/>
            <w:tcBorders>
              <w:top w:val="nil"/>
              <w:left w:val="nil"/>
              <w:bottom w:val="nil"/>
              <w:right w:val="nil"/>
            </w:tcBorders>
            <w:shd w:val="clear" w:color="000000" w:fill="DAE9F8"/>
            <w:noWrap/>
            <w:vAlign w:val="center"/>
            <w:hideMark/>
          </w:tcPr>
          <w:p w14:paraId="6AAC5CF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15,709</w:t>
            </w:r>
          </w:p>
        </w:tc>
        <w:tc>
          <w:tcPr>
            <w:tcW w:w="414" w:type="pct"/>
            <w:tcBorders>
              <w:top w:val="nil"/>
              <w:left w:val="nil"/>
              <w:bottom w:val="nil"/>
              <w:right w:val="nil"/>
            </w:tcBorders>
            <w:shd w:val="clear" w:color="000000" w:fill="DAE9F8"/>
            <w:noWrap/>
            <w:vAlign w:val="center"/>
            <w:hideMark/>
          </w:tcPr>
          <w:p w14:paraId="71776E8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16,327</w:t>
            </w:r>
          </w:p>
        </w:tc>
        <w:tc>
          <w:tcPr>
            <w:tcW w:w="414" w:type="pct"/>
            <w:tcBorders>
              <w:top w:val="nil"/>
              <w:left w:val="nil"/>
              <w:bottom w:val="nil"/>
              <w:right w:val="nil"/>
            </w:tcBorders>
            <w:shd w:val="clear" w:color="000000" w:fill="DAE9F8"/>
            <w:noWrap/>
            <w:vAlign w:val="center"/>
            <w:hideMark/>
          </w:tcPr>
          <w:p w14:paraId="0DD757F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16,970</w:t>
            </w:r>
          </w:p>
        </w:tc>
        <w:tc>
          <w:tcPr>
            <w:tcW w:w="414" w:type="pct"/>
            <w:tcBorders>
              <w:top w:val="nil"/>
              <w:left w:val="nil"/>
              <w:bottom w:val="nil"/>
              <w:right w:val="nil"/>
            </w:tcBorders>
            <w:shd w:val="clear" w:color="000000" w:fill="DAE9F8"/>
            <w:noWrap/>
            <w:vAlign w:val="center"/>
            <w:hideMark/>
          </w:tcPr>
          <w:p w14:paraId="195606A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17,639</w:t>
            </w:r>
          </w:p>
        </w:tc>
        <w:tc>
          <w:tcPr>
            <w:tcW w:w="414" w:type="pct"/>
            <w:tcBorders>
              <w:top w:val="nil"/>
              <w:left w:val="nil"/>
              <w:bottom w:val="nil"/>
              <w:right w:val="nil"/>
            </w:tcBorders>
            <w:shd w:val="clear" w:color="000000" w:fill="DAE9F8"/>
            <w:noWrap/>
            <w:vAlign w:val="center"/>
            <w:hideMark/>
          </w:tcPr>
          <w:p w14:paraId="144B0F4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18,334</w:t>
            </w:r>
          </w:p>
        </w:tc>
        <w:tc>
          <w:tcPr>
            <w:tcW w:w="414" w:type="pct"/>
            <w:tcBorders>
              <w:top w:val="nil"/>
              <w:left w:val="nil"/>
              <w:bottom w:val="nil"/>
              <w:right w:val="nil"/>
            </w:tcBorders>
            <w:shd w:val="clear" w:color="000000" w:fill="DAE9F8"/>
            <w:noWrap/>
            <w:vAlign w:val="center"/>
            <w:hideMark/>
          </w:tcPr>
          <w:p w14:paraId="1E9647B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19,058</w:t>
            </w:r>
          </w:p>
        </w:tc>
      </w:tr>
      <w:tr w:rsidR="000F7A56" w:rsidRPr="000F7A56" w14:paraId="782B6667" w14:textId="77777777" w:rsidTr="003316E8">
        <w:trPr>
          <w:trHeight w:val="225"/>
        </w:trPr>
        <w:tc>
          <w:tcPr>
            <w:tcW w:w="770" w:type="pct"/>
            <w:tcBorders>
              <w:top w:val="nil"/>
              <w:left w:val="nil"/>
              <w:bottom w:val="nil"/>
              <w:right w:val="nil"/>
            </w:tcBorders>
            <w:noWrap/>
            <w:vAlign w:val="bottom"/>
            <w:hideMark/>
          </w:tcPr>
          <w:p w14:paraId="4AB0BB05"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Women</w:t>
            </w:r>
          </w:p>
        </w:tc>
        <w:tc>
          <w:tcPr>
            <w:tcW w:w="92" w:type="pct"/>
            <w:tcBorders>
              <w:top w:val="nil"/>
              <w:left w:val="nil"/>
              <w:bottom w:val="nil"/>
              <w:right w:val="nil"/>
            </w:tcBorders>
            <w:noWrap/>
            <w:vAlign w:val="bottom"/>
            <w:hideMark/>
          </w:tcPr>
          <w:p w14:paraId="79038A60"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17E083B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8,226</w:t>
            </w:r>
          </w:p>
        </w:tc>
        <w:tc>
          <w:tcPr>
            <w:tcW w:w="414" w:type="pct"/>
            <w:tcBorders>
              <w:top w:val="nil"/>
              <w:left w:val="nil"/>
              <w:bottom w:val="nil"/>
              <w:right w:val="nil"/>
            </w:tcBorders>
            <w:noWrap/>
            <w:vAlign w:val="center"/>
            <w:hideMark/>
          </w:tcPr>
          <w:p w14:paraId="1B2A645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8,831</w:t>
            </w:r>
          </w:p>
        </w:tc>
        <w:tc>
          <w:tcPr>
            <w:tcW w:w="414" w:type="pct"/>
            <w:tcBorders>
              <w:top w:val="nil"/>
              <w:left w:val="nil"/>
              <w:bottom w:val="nil"/>
              <w:right w:val="nil"/>
            </w:tcBorders>
            <w:noWrap/>
            <w:vAlign w:val="center"/>
            <w:hideMark/>
          </w:tcPr>
          <w:p w14:paraId="44583B6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9,481</w:t>
            </w:r>
          </w:p>
        </w:tc>
        <w:tc>
          <w:tcPr>
            <w:tcW w:w="414" w:type="pct"/>
            <w:tcBorders>
              <w:top w:val="nil"/>
              <w:left w:val="nil"/>
              <w:bottom w:val="nil"/>
              <w:right w:val="nil"/>
            </w:tcBorders>
            <w:noWrap/>
            <w:vAlign w:val="center"/>
            <w:hideMark/>
          </w:tcPr>
          <w:p w14:paraId="07EC3B3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9,853</w:t>
            </w:r>
          </w:p>
        </w:tc>
        <w:tc>
          <w:tcPr>
            <w:tcW w:w="414" w:type="pct"/>
            <w:tcBorders>
              <w:top w:val="nil"/>
              <w:left w:val="nil"/>
              <w:bottom w:val="nil"/>
              <w:right w:val="nil"/>
            </w:tcBorders>
            <w:noWrap/>
            <w:vAlign w:val="center"/>
            <w:hideMark/>
          </w:tcPr>
          <w:p w14:paraId="0CA92B9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10,241</w:t>
            </w:r>
          </w:p>
        </w:tc>
        <w:tc>
          <w:tcPr>
            <w:tcW w:w="414" w:type="pct"/>
            <w:tcBorders>
              <w:top w:val="nil"/>
              <w:left w:val="nil"/>
              <w:bottom w:val="nil"/>
              <w:right w:val="nil"/>
            </w:tcBorders>
            <w:noWrap/>
            <w:vAlign w:val="center"/>
            <w:hideMark/>
          </w:tcPr>
          <w:p w14:paraId="50F9FB9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10,644</w:t>
            </w:r>
          </w:p>
        </w:tc>
        <w:tc>
          <w:tcPr>
            <w:tcW w:w="414" w:type="pct"/>
            <w:tcBorders>
              <w:top w:val="nil"/>
              <w:left w:val="nil"/>
              <w:bottom w:val="nil"/>
              <w:right w:val="nil"/>
            </w:tcBorders>
            <w:noWrap/>
            <w:vAlign w:val="center"/>
            <w:hideMark/>
          </w:tcPr>
          <w:p w14:paraId="2135075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11,063</w:t>
            </w:r>
          </w:p>
        </w:tc>
        <w:tc>
          <w:tcPr>
            <w:tcW w:w="414" w:type="pct"/>
            <w:tcBorders>
              <w:top w:val="nil"/>
              <w:left w:val="nil"/>
              <w:bottom w:val="nil"/>
              <w:right w:val="nil"/>
            </w:tcBorders>
            <w:noWrap/>
            <w:vAlign w:val="center"/>
            <w:hideMark/>
          </w:tcPr>
          <w:p w14:paraId="0A66DB9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11,499</w:t>
            </w:r>
          </w:p>
        </w:tc>
        <w:tc>
          <w:tcPr>
            <w:tcW w:w="414" w:type="pct"/>
            <w:tcBorders>
              <w:top w:val="nil"/>
              <w:left w:val="nil"/>
              <w:bottom w:val="nil"/>
              <w:right w:val="nil"/>
            </w:tcBorders>
            <w:noWrap/>
            <w:vAlign w:val="center"/>
            <w:hideMark/>
          </w:tcPr>
          <w:p w14:paraId="2702DA9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11,953</w:t>
            </w:r>
          </w:p>
        </w:tc>
        <w:tc>
          <w:tcPr>
            <w:tcW w:w="414" w:type="pct"/>
            <w:tcBorders>
              <w:top w:val="nil"/>
              <w:left w:val="nil"/>
              <w:bottom w:val="nil"/>
              <w:right w:val="nil"/>
            </w:tcBorders>
            <w:noWrap/>
            <w:vAlign w:val="center"/>
            <w:hideMark/>
          </w:tcPr>
          <w:p w14:paraId="3387B4A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12,424</w:t>
            </w:r>
          </w:p>
        </w:tc>
      </w:tr>
      <w:tr w:rsidR="000F7A56" w:rsidRPr="000F7A56" w14:paraId="117B0BEB" w14:textId="77777777" w:rsidTr="003316E8">
        <w:trPr>
          <w:trHeight w:val="225"/>
        </w:trPr>
        <w:tc>
          <w:tcPr>
            <w:tcW w:w="770" w:type="pct"/>
            <w:tcBorders>
              <w:top w:val="nil"/>
              <w:left w:val="nil"/>
              <w:bottom w:val="nil"/>
              <w:right w:val="nil"/>
            </w:tcBorders>
            <w:noWrap/>
            <w:vAlign w:val="bottom"/>
            <w:hideMark/>
          </w:tcPr>
          <w:p w14:paraId="34046C8A"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 xml:space="preserve">Men </w:t>
            </w:r>
          </w:p>
        </w:tc>
        <w:tc>
          <w:tcPr>
            <w:tcW w:w="92" w:type="pct"/>
            <w:tcBorders>
              <w:top w:val="nil"/>
              <w:left w:val="nil"/>
              <w:bottom w:val="nil"/>
              <w:right w:val="nil"/>
            </w:tcBorders>
            <w:noWrap/>
            <w:vAlign w:val="bottom"/>
            <w:hideMark/>
          </w:tcPr>
          <w:p w14:paraId="28C4ABFF"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1C07228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3,426</w:t>
            </w:r>
          </w:p>
        </w:tc>
        <w:tc>
          <w:tcPr>
            <w:tcW w:w="414" w:type="pct"/>
            <w:tcBorders>
              <w:top w:val="nil"/>
              <w:left w:val="nil"/>
              <w:bottom w:val="nil"/>
              <w:right w:val="nil"/>
            </w:tcBorders>
            <w:noWrap/>
            <w:vAlign w:val="center"/>
            <w:hideMark/>
          </w:tcPr>
          <w:p w14:paraId="58C3E35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3,678</w:t>
            </w:r>
          </w:p>
        </w:tc>
        <w:tc>
          <w:tcPr>
            <w:tcW w:w="414" w:type="pct"/>
            <w:tcBorders>
              <w:top w:val="nil"/>
              <w:left w:val="nil"/>
              <w:bottom w:val="nil"/>
              <w:right w:val="nil"/>
            </w:tcBorders>
            <w:noWrap/>
            <w:vAlign w:val="center"/>
            <w:hideMark/>
          </w:tcPr>
          <w:p w14:paraId="6DF6569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3,949</w:t>
            </w:r>
          </w:p>
        </w:tc>
        <w:tc>
          <w:tcPr>
            <w:tcW w:w="414" w:type="pct"/>
            <w:tcBorders>
              <w:top w:val="nil"/>
              <w:left w:val="nil"/>
              <w:bottom w:val="nil"/>
              <w:right w:val="nil"/>
            </w:tcBorders>
            <w:noWrap/>
            <w:vAlign w:val="center"/>
            <w:hideMark/>
          </w:tcPr>
          <w:p w14:paraId="1E6445E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4,104</w:t>
            </w:r>
          </w:p>
        </w:tc>
        <w:tc>
          <w:tcPr>
            <w:tcW w:w="414" w:type="pct"/>
            <w:tcBorders>
              <w:top w:val="nil"/>
              <w:left w:val="nil"/>
              <w:bottom w:val="nil"/>
              <w:right w:val="nil"/>
            </w:tcBorders>
            <w:noWrap/>
            <w:vAlign w:val="center"/>
            <w:hideMark/>
          </w:tcPr>
          <w:p w14:paraId="07DA9C8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4,265</w:t>
            </w:r>
          </w:p>
        </w:tc>
        <w:tc>
          <w:tcPr>
            <w:tcW w:w="414" w:type="pct"/>
            <w:tcBorders>
              <w:top w:val="nil"/>
              <w:left w:val="nil"/>
              <w:bottom w:val="nil"/>
              <w:right w:val="nil"/>
            </w:tcBorders>
            <w:noWrap/>
            <w:vAlign w:val="center"/>
            <w:hideMark/>
          </w:tcPr>
          <w:p w14:paraId="68B42A0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4,433</w:t>
            </w:r>
          </w:p>
        </w:tc>
        <w:tc>
          <w:tcPr>
            <w:tcW w:w="414" w:type="pct"/>
            <w:tcBorders>
              <w:top w:val="nil"/>
              <w:left w:val="nil"/>
              <w:bottom w:val="nil"/>
              <w:right w:val="nil"/>
            </w:tcBorders>
            <w:noWrap/>
            <w:vAlign w:val="center"/>
            <w:hideMark/>
          </w:tcPr>
          <w:p w14:paraId="62BC5A5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4,608</w:t>
            </w:r>
          </w:p>
        </w:tc>
        <w:tc>
          <w:tcPr>
            <w:tcW w:w="414" w:type="pct"/>
            <w:tcBorders>
              <w:top w:val="nil"/>
              <w:left w:val="nil"/>
              <w:bottom w:val="nil"/>
              <w:right w:val="nil"/>
            </w:tcBorders>
            <w:noWrap/>
            <w:vAlign w:val="center"/>
            <w:hideMark/>
          </w:tcPr>
          <w:p w14:paraId="6EE22CE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4,789</w:t>
            </w:r>
          </w:p>
        </w:tc>
        <w:tc>
          <w:tcPr>
            <w:tcW w:w="414" w:type="pct"/>
            <w:tcBorders>
              <w:top w:val="nil"/>
              <w:left w:val="nil"/>
              <w:bottom w:val="nil"/>
              <w:right w:val="nil"/>
            </w:tcBorders>
            <w:noWrap/>
            <w:vAlign w:val="center"/>
            <w:hideMark/>
          </w:tcPr>
          <w:p w14:paraId="75E21C7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4,978</w:t>
            </w:r>
          </w:p>
        </w:tc>
        <w:tc>
          <w:tcPr>
            <w:tcW w:w="414" w:type="pct"/>
            <w:tcBorders>
              <w:top w:val="nil"/>
              <w:left w:val="nil"/>
              <w:bottom w:val="nil"/>
              <w:right w:val="nil"/>
            </w:tcBorders>
            <w:noWrap/>
            <w:vAlign w:val="center"/>
            <w:hideMark/>
          </w:tcPr>
          <w:p w14:paraId="7E6C07F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5,174</w:t>
            </w:r>
          </w:p>
        </w:tc>
      </w:tr>
      <w:tr w:rsidR="000F7A56" w:rsidRPr="000F7A56" w14:paraId="426224B6" w14:textId="77777777" w:rsidTr="003316E8">
        <w:trPr>
          <w:trHeight w:val="225"/>
        </w:trPr>
        <w:tc>
          <w:tcPr>
            <w:tcW w:w="770" w:type="pct"/>
            <w:tcBorders>
              <w:top w:val="nil"/>
              <w:left w:val="nil"/>
              <w:bottom w:val="nil"/>
              <w:right w:val="nil"/>
            </w:tcBorders>
            <w:noWrap/>
            <w:vAlign w:val="bottom"/>
            <w:hideMark/>
          </w:tcPr>
          <w:p w14:paraId="3884E0DB"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lastRenderedPageBreak/>
              <w:t>Persons of self-described gender</w:t>
            </w:r>
          </w:p>
        </w:tc>
        <w:tc>
          <w:tcPr>
            <w:tcW w:w="92" w:type="pct"/>
            <w:tcBorders>
              <w:top w:val="nil"/>
              <w:left w:val="nil"/>
              <w:bottom w:val="nil"/>
              <w:right w:val="nil"/>
            </w:tcBorders>
            <w:noWrap/>
            <w:vAlign w:val="bottom"/>
            <w:hideMark/>
          </w:tcPr>
          <w:p w14:paraId="5CB30B06"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5BBABA5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58CBC8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328939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66B2722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66D11BE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7F28446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6D6362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2E882A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CE956F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EBA768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r>
      <w:tr w:rsidR="000F7A56" w:rsidRPr="000F7A56" w14:paraId="72E2A03F" w14:textId="77777777" w:rsidTr="003316E8">
        <w:trPr>
          <w:trHeight w:val="225"/>
        </w:trPr>
        <w:tc>
          <w:tcPr>
            <w:tcW w:w="770" w:type="pct"/>
            <w:tcBorders>
              <w:top w:val="nil"/>
              <w:left w:val="nil"/>
              <w:bottom w:val="nil"/>
              <w:right w:val="nil"/>
            </w:tcBorders>
            <w:noWrap/>
            <w:vAlign w:val="bottom"/>
            <w:hideMark/>
          </w:tcPr>
          <w:p w14:paraId="4A2723C5"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Vacant positions</w:t>
            </w:r>
          </w:p>
        </w:tc>
        <w:tc>
          <w:tcPr>
            <w:tcW w:w="92" w:type="pct"/>
            <w:tcBorders>
              <w:top w:val="nil"/>
              <w:left w:val="nil"/>
              <w:bottom w:val="nil"/>
              <w:right w:val="nil"/>
            </w:tcBorders>
            <w:noWrap/>
            <w:vAlign w:val="bottom"/>
            <w:hideMark/>
          </w:tcPr>
          <w:p w14:paraId="5A942B9C"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0159E0D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182</w:t>
            </w:r>
          </w:p>
        </w:tc>
        <w:tc>
          <w:tcPr>
            <w:tcW w:w="414" w:type="pct"/>
            <w:tcBorders>
              <w:top w:val="nil"/>
              <w:left w:val="nil"/>
              <w:bottom w:val="nil"/>
              <w:right w:val="nil"/>
            </w:tcBorders>
            <w:noWrap/>
            <w:vAlign w:val="center"/>
            <w:hideMark/>
          </w:tcPr>
          <w:p w14:paraId="7013FB9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195</w:t>
            </w:r>
          </w:p>
        </w:tc>
        <w:tc>
          <w:tcPr>
            <w:tcW w:w="414" w:type="pct"/>
            <w:tcBorders>
              <w:top w:val="nil"/>
              <w:left w:val="nil"/>
              <w:bottom w:val="nil"/>
              <w:right w:val="nil"/>
            </w:tcBorders>
            <w:noWrap/>
            <w:vAlign w:val="center"/>
            <w:hideMark/>
          </w:tcPr>
          <w:p w14:paraId="49A7950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210</w:t>
            </w:r>
          </w:p>
        </w:tc>
        <w:tc>
          <w:tcPr>
            <w:tcW w:w="414" w:type="pct"/>
            <w:tcBorders>
              <w:top w:val="nil"/>
              <w:left w:val="nil"/>
              <w:bottom w:val="nil"/>
              <w:right w:val="nil"/>
            </w:tcBorders>
            <w:noWrap/>
            <w:vAlign w:val="center"/>
            <w:hideMark/>
          </w:tcPr>
          <w:p w14:paraId="3D0C92A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218</w:t>
            </w:r>
          </w:p>
        </w:tc>
        <w:tc>
          <w:tcPr>
            <w:tcW w:w="414" w:type="pct"/>
            <w:tcBorders>
              <w:top w:val="nil"/>
              <w:left w:val="nil"/>
              <w:bottom w:val="nil"/>
              <w:right w:val="nil"/>
            </w:tcBorders>
            <w:noWrap/>
            <w:vAlign w:val="center"/>
            <w:hideMark/>
          </w:tcPr>
          <w:p w14:paraId="266295C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227</w:t>
            </w:r>
          </w:p>
        </w:tc>
        <w:tc>
          <w:tcPr>
            <w:tcW w:w="414" w:type="pct"/>
            <w:tcBorders>
              <w:top w:val="nil"/>
              <w:left w:val="nil"/>
              <w:bottom w:val="nil"/>
              <w:right w:val="nil"/>
            </w:tcBorders>
            <w:noWrap/>
            <w:vAlign w:val="center"/>
            <w:hideMark/>
          </w:tcPr>
          <w:p w14:paraId="2F18412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235</w:t>
            </w:r>
          </w:p>
        </w:tc>
        <w:tc>
          <w:tcPr>
            <w:tcW w:w="414" w:type="pct"/>
            <w:tcBorders>
              <w:top w:val="nil"/>
              <w:left w:val="nil"/>
              <w:bottom w:val="nil"/>
              <w:right w:val="nil"/>
            </w:tcBorders>
            <w:noWrap/>
            <w:vAlign w:val="center"/>
            <w:hideMark/>
          </w:tcPr>
          <w:p w14:paraId="5088D49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245</w:t>
            </w:r>
          </w:p>
        </w:tc>
        <w:tc>
          <w:tcPr>
            <w:tcW w:w="414" w:type="pct"/>
            <w:tcBorders>
              <w:top w:val="nil"/>
              <w:left w:val="nil"/>
              <w:bottom w:val="nil"/>
              <w:right w:val="nil"/>
            </w:tcBorders>
            <w:noWrap/>
            <w:vAlign w:val="center"/>
            <w:hideMark/>
          </w:tcPr>
          <w:p w14:paraId="2C510AD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254</w:t>
            </w:r>
          </w:p>
        </w:tc>
        <w:tc>
          <w:tcPr>
            <w:tcW w:w="414" w:type="pct"/>
            <w:tcBorders>
              <w:top w:val="nil"/>
              <w:left w:val="nil"/>
              <w:bottom w:val="nil"/>
              <w:right w:val="nil"/>
            </w:tcBorders>
            <w:noWrap/>
            <w:vAlign w:val="center"/>
            <w:hideMark/>
          </w:tcPr>
          <w:p w14:paraId="3C18927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264</w:t>
            </w:r>
          </w:p>
        </w:tc>
        <w:tc>
          <w:tcPr>
            <w:tcW w:w="414" w:type="pct"/>
            <w:tcBorders>
              <w:top w:val="nil"/>
              <w:left w:val="nil"/>
              <w:bottom w:val="nil"/>
              <w:right w:val="nil"/>
            </w:tcBorders>
            <w:noWrap/>
            <w:vAlign w:val="center"/>
            <w:hideMark/>
          </w:tcPr>
          <w:p w14:paraId="15B8F02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275</w:t>
            </w:r>
          </w:p>
        </w:tc>
      </w:tr>
      <w:tr w:rsidR="000F7A56" w:rsidRPr="000F7A56" w14:paraId="3A795611" w14:textId="77777777" w:rsidTr="003316E8">
        <w:trPr>
          <w:trHeight w:val="225"/>
        </w:trPr>
        <w:tc>
          <w:tcPr>
            <w:tcW w:w="770" w:type="pct"/>
            <w:tcBorders>
              <w:top w:val="nil"/>
              <w:left w:val="nil"/>
              <w:bottom w:val="nil"/>
              <w:right w:val="nil"/>
            </w:tcBorders>
            <w:noWrap/>
            <w:vAlign w:val="bottom"/>
            <w:hideMark/>
          </w:tcPr>
          <w:p w14:paraId="7B2A9009"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New positions</w:t>
            </w:r>
          </w:p>
        </w:tc>
        <w:tc>
          <w:tcPr>
            <w:tcW w:w="92" w:type="pct"/>
            <w:tcBorders>
              <w:top w:val="nil"/>
              <w:left w:val="nil"/>
              <w:bottom w:val="nil"/>
              <w:right w:val="nil"/>
            </w:tcBorders>
            <w:noWrap/>
            <w:vAlign w:val="bottom"/>
            <w:hideMark/>
          </w:tcPr>
          <w:p w14:paraId="2AE4B2EA"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22B0886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784</w:t>
            </w:r>
          </w:p>
        </w:tc>
        <w:tc>
          <w:tcPr>
            <w:tcW w:w="414" w:type="pct"/>
            <w:tcBorders>
              <w:top w:val="nil"/>
              <w:left w:val="nil"/>
              <w:bottom w:val="nil"/>
              <w:right w:val="nil"/>
            </w:tcBorders>
            <w:noWrap/>
            <w:vAlign w:val="center"/>
            <w:hideMark/>
          </w:tcPr>
          <w:p w14:paraId="696DEFF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842</w:t>
            </w:r>
          </w:p>
        </w:tc>
        <w:tc>
          <w:tcPr>
            <w:tcW w:w="414" w:type="pct"/>
            <w:tcBorders>
              <w:top w:val="nil"/>
              <w:left w:val="nil"/>
              <w:bottom w:val="nil"/>
              <w:right w:val="nil"/>
            </w:tcBorders>
            <w:noWrap/>
            <w:vAlign w:val="center"/>
            <w:hideMark/>
          </w:tcPr>
          <w:p w14:paraId="399BF66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904</w:t>
            </w:r>
          </w:p>
        </w:tc>
        <w:tc>
          <w:tcPr>
            <w:tcW w:w="414" w:type="pct"/>
            <w:tcBorders>
              <w:top w:val="nil"/>
              <w:left w:val="nil"/>
              <w:bottom w:val="nil"/>
              <w:right w:val="nil"/>
            </w:tcBorders>
            <w:noWrap/>
            <w:vAlign w:val="center"/>
            <w:hideMark/>
          </w:tcPr>
          <w:p w14:paraId="2F48AA2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939</w:t>
            </w:r>
          </w:p>
        </w:tc>
        <w:tc>
          <w:tcPr>
            <w:tcW w:w="414" w:type="pct"/>
            <w:tcBorders>
              <w:top w:val="nil"/>
              <w:left w:val="nil"/>
              <w:bottom w:val="nil"/>
              <w:right w:val="nil"/>
            </w:tcBorders>
            <w:noWrap/>
            <w:vAlign w:val="center"/>
            <w:hideMark/>
          </w:tcPr>
          <w:p w14:paraId="11B57B9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976</w:t>
            </w:r>
          </w:p>
        </w:tc>
        <w:tc>
          <w:tcPr>
            <w:tcW w:w="414" w:type="pct"/>
            <w:tcBorders>
              <w:top w:val="nil"/>
              <w:left w:val="nil"/>
              <w:bottom w:val="nil"/>
              <w:right w:val="nil"/>
            </w:tcBorders>
            <w:noWrap/>
            <w:vAlign w:val="center"/>
            <w:hideMark/>
          </w:tcPr>
          <w:p w14:paraId="7A53BB6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1,014</w:t>
            </w:r>
          </w:p>
        </w:tc>
        <w:tc>
          <w:tcPr>
            <w:tcW w:w="414" w:type="pct"/>
            <w:tcBorders>
              <w:top w:val="nil"/>
              <w:left w:val="nil"/>
              <w:bottom w:val="nil"/>
              <w:right w:val="nil"/>
            </w:tcBorders>
            <w:noWrap/>
            <w:vAlign w:val="center"/>
            <w:hideMark/>
          </w:tcPr>
          <w:p w14:paraId="794A47C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1,054</w:t>
            </w:r>
          </w:p>
        </w:tc>
        <w:tc>
          <w:tcPr>
            <w:tcW w:w="414" w:type="pct"/>
            <w:tcBorders>
              <w:top w:val="nil"/>
              <w:left w:val="nil"/>
              <w:bottom w:val="nil"/>
              <w:right w:val="nil"/>
            </w:tcBorders>
            <w:noWrap/>
            <w:vAlign w:val="center"/>
            <w:hideMark/>
          </w:tcPr>
          <w:p w14:paraId="31B1390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1,096</w:t>
            </w:r>
          </w:p>
        </w:tc>
        <w:tc>
          <w:tcPr>
            <w:tcW w:w="414" w:type="pct"/>
            <w:tcBorders>
              <w:top w:val="nil"/>
              <w:left w:val="nil"/>
              <w:bottom w:val="nil"/>
              <w:right w:val="nil"/>
            </w:tcBorders>
            <w:noWrap/>
            <w:vAlign w:val="center"/>
            <w:hideMark/>
          </w:tcPr>
          <w:p w14:paraId="76E6566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1,139</w:t>
            </w:r>
          </w:p>
        </w:tc>
        <w:tc>
          <w:tcPr>
            <w:tcW w:w="414" w:type="pct"/>
            <w:tcBorders>
              <w:top w:val="nil"/>
              <w:left w:val="nil"/>
              <w:bottom w:val="nil"/>
              <w:right w:val="nil"/>
            </w:tcBorders>
            <w:noWrap/>
            <w:vAlign w:val="center"/>
            <w:hideMark/>
          </w:tcPr>
          <w:p w14:paraId="7D8D8D7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1,184</w:t>
            </w:r>
          </w:p>
        </w:tc>
      </w:tr>
      <w:tr w:rsidR="003316E8" w:rsidRPr="000F7A56" w14:paraId="2866188F" w14:textId="77777777" w:rsidTr="003316E8">
        <w:trPr>
          <w:trHeight w:val="225"/>
        </w:trPr>
        <w:tc>
          <w:tcPr>
            <w:tcW w:w="861" w:type="pct"/>
            <w:gridSpan w:val="2"/>
            <w:tcBorders>
              <w:top w:val="nil"/>
              <w:left w:val="nil"/>
              <w:bottom w:val="nil"/>
              <w:right w:val="nil"/>
            </w:tcBorders>
            <w:shd w:val="clear" w:color="000000" w:fill="DAE9F8"/>
            <w:noWrap/>
            <w:vAlign w:val="bottom"/>
            <w:hideMark/>
          </w:tcPr>
          <w:p w14:paraId="5BE78E6F" w14:textId="77777777" w:rsidR="000F7A56" w:rsidRPr="000F7A56" w:rsidRDefault="000F7A56" w:rsidP="000F7A56">
            <w:pPr>
              <w:spacing w:before="0" w:after="0"/>
              <w:rPr>
                <w:rFonts w:ascii="Arial" w:hAnsi="Arial" w:cs="Arial"/>
                <w:sz w:val="16"/>
                <w:szCs w:val="16"/>
              </w:rPr>
            </w:pPr>
            <w:r w:rsidRPr="000F7A56">
              <w:rPr>
                <w:rFonts w:ascii="Arial" w:hAnsi="Arial" w:cs="Arial"/>
                <w:sz w:val="16"/>
                <w:szCs w:val="16"/>
              </w:rPr>
              <w:t>Permanent - Part time</w:t>
            </w:r>
          </w:p>
        </w:tc>
        <w:tc>
          <w:tcPr>
            <w:tcW w:w="414" w:type="pct"/>
            <w:tcBorders>
              <w:top w:val="nil"/>
              <w:left w:val="nil"/>
              <w:bottom w:val="nil"/>
              <w:right w:val="nil"/>
            </w:tcBorders>
            <w:shd w:val="clear" w:color="000000" w:fill="DAE9F8"/>
            <w:noWrap/>
            <w:vAlign w:val="center"/>
            <w:hideMark/>
          </w:tcPr>
          <w:p w14:paraId="5D50245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2,248</w:t>
            </w:r>
          </w:p>
        </w:tc>
        <w:tc>
          <w:tcPr>
            <w:tcW w:w="414" w:type="pct"/>
            <w:tcBorders>
              <w:top w:val="nil"/>
              <w:left w:val="nil"/>
              <w:bottom w:val="nil"/>
              <w:right w:val="nil"/>
            </w:tcBorders>
            <w:shd w:val="clear" w:color="000000" w:fill="DAE9F8"/>
            <w:noWrap/>
            <w:vAlign w:val="center"/>
            <w:hideMark/>
          </w:tcPr>
          <w:p w14:paraId="6690278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2,413</w:t>
            </w:r>
          </w:p>
        </w:tc>
        <w:tc>
          <w:tcPr>
            <w:tcW w:w="414" w:type="pct"/>
            <w:tcBorders>
              <w:top w:val="nil"/>
              <w:left w:val="nil"/>
              <w:bottom w:val="nil"/>
              <w:right w:val="nil"/>
            </w:tcBorders>
            <w:shd w:val="clear" w:color="000000" w:fill="DAE9F8"/>
            <w:noWrap/>
            <w:vAlign w:val="center"/>
            <w:hideMark/>
          </w:tcPr>
          <w:p w14:paraId="4348554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2,591</w:t>
            </w:r>
          </w:p>
        </w:tc>
        <w:tc>
          <w:tcPr>
            <w:tcW w:w="414" w:type="pct"/>
            <w:tcBorders>
              <w:top w:val="nil"/>
              <w:left w:val="nil"/>
              <w:bottom w:val="nil"/>
              <w:right w:val="nil"/>
            </w:tcBorders>
            <w:shd w:val="clear" w:color="000000" w:fill="DAE9F8"/>
            <w:noWrap/>
            <w:vAlign w:val="center"/>
            <w:hideMark/>
          </w:tcPr>
          <w:p w14:paraId="48FC87B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2,693</w:t>
            </w:r>
          </w:p>
        </w:tc>
        <w:tc>
          <w:tcPr>
            <w:tcW w:w="414" w:type="pct"/>
            <w:tcBorders>
              <w:top w:val="nil"/>
              <w:left w:val="nil"/>
              <w:bottom w:val="nil"/>
              <w:right w:val="nil"/>
            </w:tcBorders>
            <w:shd w:val="clear" w:color="000000" w:fill="DAE9F8"/>
            <w:noWrap/>
            <w:vAlign w:val="center"/>
            <w:hideMark/>
          </w:tcPr>
          <w:p w14:paraId="1AEE77A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2,799</w:t>
            </w:r>
          </w:p>
        </w:tc>
        <w:tc>
          <w:tcPr>
            <w:tcW w:w="414" w:type="pct"/>
            <w:tcBorders>
              <w:top w:val="nil"/>
              <w:left w:val="nil"/>
              <w:bottom w:val="nil"/>
              <w:right w:val="nil"/>
            </w:tcBorders>
            <w:shd w:val="clear" w:color="000000" w:fill="DAE9F8"/>
            <w:noWrap/>
            <w:vAlign w:val="center"/>
            <w:hideMark/>
          </w:tcPr>
          <w:p w14:paraId="4971202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2,909</w:t>
            </w:r>
          </w:p>
        </w:tc>
        <w:tc>
          <w:tcPr>
            <w:tcW w:w="414" w:type="pct"/>
            <w:tcBorders>
              <w:top w:val="nil"/>
              <w:left w:val="nil"/>
              <w:bottom w:val="nil"/>
              <w:right w:val="nil"/>
            </w:tcBorders>
            <w:shd w:val="clear" w:color="000000" w:fill="DAE9F8"/>
            <w:noWrap/>
            <w:vAlign w:val="center"/>
            <w:hideMark/>
          </w:tcPr>
          <w:p w14:paraId="13EB53E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3,023</w:t>
            </w:r>
          </w:p>
        </w:tc>
        <w:tc>
          <w:tcPr>
            <w:tcW w:w="414" w:type="pct"/>
            <w:tcBorders>
              <w:top w:val="nil"/>
              <w:left w:val="nil"/>
              <w:bottom w:val="nil"/>
              <w:right w:val="nil"/>
            </w:tcBorders>
            <w:shd w:val="clear" w:color="000000" w:fill="DAE9F8"/>
            <w:noWrap/>
            <w:vAlign w:val="center"/>
            <w:hideMark/>
          </w:tcPr>
          <w:p w14:paraId="45FDC52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3,142</w:t>
            </w:r>
          </w:p>
        </w:tc>
        <w:tc>
          <w:tcPr>
            <w:tcW w:w="414" w:type="pct"/>
            <w:tcBorders>
              <w:top w:val="nil"/>
              <w:left w:val="nil"/>
              <w:bottom w:val="nil"/>
              <w:right w:val="nil"/>
            </w:tcBorders>
            <w:shd w:val="clear" w:color="000000" w:fill="DAE9F8"/>
            <w:noWrap/>
            <w:vAlign w:val="center"/>
            <w:hideMark/>
          </w:tcPr>
          <w:p w14:paraId="3381C1B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3,266</w:t>
            </w:r>
          </w:p>
        </w:tc>
        <w:tc>
          <w:tcPr>
            <w:tcW w:w="414" w:type="pct"/>
            <w:tcBorders>
              <w:top w:val="nil"/>
              <w:left w:val="nil"/>
              <w:bottom w:val="nil"/>
              <w:right w:val="nil"/>
            </w:tcBorders>
            <w:shd w:val="clear" w:color="000000" w:fill="DAE9F8"/>
            <w:noWrap/>
            <w:vAlign w:val="center"/>
            <w:hideMark/>
          </w:tcPr>
          <w:p w14:paraId="13F13AB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3,395</w:t>
            </w:r>
          </w:p>
        </w:tc>
      </w:tr>
      <w:tr w:rsidR="000F7A56" w:rsidRPr="000F7A56" w14:paraId="6BDA1A60" w14:textId="77777777" w:rsidTr="003316E8">
        <w:trPr>
          <w:trHeight w:val="225"/>
        </w:trPr>
        <w:tc>
          <w:tcPr>
            <w:tcW w:w="770" w:type="pct"/>
            <w:tcBorders>
              <w:top w:val="nil"/>
              <w:left w:val="nil"/>
              <w:bottom w:val="nil"/>
              <w:right w:val="nil"/>
            </w:tcBorders>
            <w:noWrap/>
            <w:vAlign w:val="bottom"/>
            <w:hideMark/>
          </w:tcPr>
          <w:p w14:paraId="6FC8E184"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Women</w:t>
            </w:r>
          </w:p>
        </w:tc>
        <w:tc>
          <w:tcPr>
            <w:tcW w:w="92" w:type="pct"/>
            <w:tcBorders>
              <w:top w:val="nil"/>
              <w:left w:val="nil"/>
              <w:bottom w:val="nil"/>
              <w:right w:val="nil"/>
            </w:tcBorders>
            <w:noWrap/>
            <w:vAlign w:val="bottom"/>
            <w:hideMark/>
          </w:tcPr>
          <w:p w14:paraId="08806E4E"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421468C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1,924</w:t>
            </w:r>
          </w:p>
        </w:tc>
        <w:tc>
          <w:tcPr>
            <w:tcW w:w="414" w:type="pct"/>
            <w:tcBorders>
              <w:top w:val="nil"/>
              <w:left w:val="nil"/>
              <w:bottom w:val="nil"/>
              <w:right w:val="nil"/>
            </w:tcBorders>
            <w:noWrap/>
            <w:vAlign w:val="center"/>
            <w:hideMark/>
          </w:tcPr>
          <w:p w14:paraId="2405385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2,065</w:t>
            </w:r>
          </w:p>
        </w:tc>
        <w:tc>
          <w:tcPr>
            <w:tcW w:w="414" w:type="pct"/>
            <w:tcBorders>
              <w:top w:val="nil"/>
              <w:left w:val="nil"/>
              <w:bottom w:val="nil"/>
              <w:right w:val="nil"/>
            </w:tcBorders>
            <w:noWrap/>
            <w:vAlign w:val="center"/>
            <w:hideMark/>
          </w:tcPr>
          <w:p w14:paraId="77505B5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2,217</w:t>
            </w:r>
          </w:p>
        </w:tc>
        <w:tc>
          <w:tcPr>
            <w:tcW w:w="414" w:type="pct"/>
            <w:tcBorders>
              <w:top w:val="nil"/>
              <w:left w:val="nil"/>
              <w:bottom w:val="nil"/>
              <w:right w:val="nil"/>
            </w:tcBorders>
            <w:noWrap/>
            <w:vAlign w:val="center"/>
            <w:hideMark/>
          </w:tcPr>
          <w:p w14:paraId="60CC253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2,305</w:t>
            </w:r>
          </w:p>
        </w:tc>
        <w:tc>
          <w:tcPr>
            <w:tcW w:w="414" w:type="pct"/>
            <w:tcBorders>
              <w:top w:val="nil"/>
              <w:left w:val="nil"/>
              <w:bottom w:val="nil"/>
              <w:right w:val="nil"/>
            </w:tcBorders>
            <w:noWrap/>
            <w:vAlign w:val="center"/>
            <w:hideMark/>
          </w:tcPr>
          <w:p w14:paraId="12BC935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2,395</w:t>
            </w:r>
          </w:p>
        </w:tc>
        <w:tc>
          <w:tcPr>
            <w:tcW w:w="414" w:type="pct"/>
            <w:tcBorders>
              <w:top w:val="nil"/>
              <w:left w:val="nil"/>
              <w:bottom w:val="nil"/>
              <w:right w:val="nil"/>
            </w:tcBorders>
            <w:noWrap/>
            <w:vAlign w:val="center"/>
            <w:hideMark/>
          </w:tcPr>
          <w:p w14:paraId="676C1FD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2,490</w:t>
            </w:r>
          </w:p>
        </w:tc>
        <w:tc>
          <w:tcPr>
            <w:tcW w:w="414" w:type="pct"/>
            <w:tcBorders>
              <w:top w:val="nil"/>
              <w:left w:val="nil"/>
              <w:bottom w:val="nil"/>
              <w:right w:val="nil"/>
            </w:tcBorders>
            <w:noWrap/>
            <w:vAlign w:val="center"/>
            <w:hideMark/>
          </w:tcPr>
          <w:p w14:paraId="3A0EEC7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2,588</w:t>
            </w:r>
          </w:p>
        </w:tc>
        <w:tc>
          <w:tcPr>
            <w:tcW w:w="414" w:type="pct"/>
            <w:tcBorders>
              <w:top w:val="nil"/>
              <w:left w:val="nil"/>
              <w:bottom w:val="nil"/>
              <w:right w:val="nil"/>
            </w:tcBorders>
            <w:noWrap/>
            <w:vAlign w:val="center"/>
            <w:hideMark/>
          </w:tcPr>
          <w:p w14:paraId="6991D41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2,690</w:t>
            </w:r>
          </w:p>
        </w:tc>
        <w:tc>
          <w:tcPr>
            <w:tcW w:w="414" w:type="pct"/>
            <w:tcBorders>
              <w:top w:val="nil"/>
              <w:left w:val="nil"/>
              <w:bottom w:val="nil"/>
              <w:right w:val="nil"/>
            </w:tcBorders>
            <w:noWrap/>
            <w:vAlign w:val="center"/>
            <w:hideMark/>
          </w:tcPr>
          <w:p w14:paraId="1A8247C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2,796</w:t>
            </w:r>
          </w:p>
        </w:tc>
        <w:tc>
          <w:tcPr>
            <w:tcW w:w="414" w:type="pct"/>
            <w:tcBorders>
              <w:top w:val="nil"/>
              <w:left w:val="nil"/>
              <w:bottom w:val="nil"/>
              <w:right w:val="nil"/>
            </w:tcBorders>
            <w:noWrap/>
            <w:vAlign w:val="center"/>
            <w:hideMark/>
          </w:tcPr>
          <w:p w14:paraId="13096E5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2,906</w:t>
            </w:r>
          </w:p>
        </w:tc>
      </w:tr>
      <w:tr w:rsidR="000F7A56" w:rsidRPr="000F7A56" w14:paraId="4186AA25" w14:textId="77777777" w:rsidTr="003316E8">
        <w:trPr>
          <w:trHeight w:val="225"/>
        </w:trPr>
        <w:tc>
          <w:tcPr>
            <w:tcW w:w="770" w:type="pct"/>
            <w:tcBorders>
              <w:top w:val="nil"/>
              <w:left w:val="nil"/>
              <w:bottom w:val="nil"/>
              <w:right w:val="nil"/>
            </w:tcBorders>
            <w:noWrap/>
            <w:vAlign w:val="bottom"/>
            <w:hideMark/>
          </w:tcPr>
          <w:p w14:paraId="2932C5DE"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 xml:space="preserve">Men </w:t>
            </w:r>
          </w:p>
        </w:tc>
        <w:tc>
          <w:tcPr>
            <w:tcW w:w="92" w:type="pct"/>
            <w:tcBorders>
              <w:top w:val="nil"/>
              <w:left w:val="nil"/>
              <w:bottom w:val="nil"/>
              <w:right w:val="nil"/>
            </w:tcBorders>
            <w:noWrap/>
            <w:vAlign w:val="bottom"/>
            <w:hideMark/>
          </w:tcPr>
          <w:p w14:paraId="1BDDAC31"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2223A5C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202</w:t>
            </w:r>
          </w:p>
        </w:tc>
        <w:tc>
          <w:tcPr>
            <w:tcW w:w="414" w:type="pct"/>
            <w:tcBorders>
              <w:top w:val="nil"/>
              <w:left w:val="nil"/>
              <w:bottom w:val="nil"/>
              <w:right w:val="nil"/>
            </w:tcBorders>
            <w:noWrap/>
            <w:vAlign w:val="center"/>
            <w:hideMark/>
          </w:tcPr>
          <w:p w14:paraId="4C9B6BD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217</w:t>
            </w:r>
          </w:p>
        </w:tc>
        <w:tc>
          <w:tcPr>
            <w:tcW w:w="414" w:type="pct"/>
            <w:tcBorders>
              <w:top w:val="nil"/>
              <w:left w:val="nil"/>
              <w:bottom w:val="nil"/>
              <w:right w:val="nil"/>
            </w:tcBorders>
            <w:noWrap/>
            <w:vAlign w:val="center"/>
            <w:hideMark/>
          </w:tcPr>
          <w:p w14:paraId="0184882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233</w:t>
            </w:r>
          </w:p>
        </w:tc>
        <w:tc>
          <w:tcPr>
            <w:tcW w:w="414" w:type="pct"/>
            <w:tcBorders>
              <w:top w:val="nil"/>
              <w:left w:val="nil"/>
              <w:bottom w:val="nil"/>
              <w:right w:val="nil"/>
            </w:tcBorders>
            <w:noWrap/>
            <w:vAlign w:val="center"/>
            <w:hideMark/>
          </w:tcPr>
          <w:p w14:paraId="5466DA8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242</w:t>
            </w:r>
          </w:p>
        </w:tc>
        <w:tc>
          <w:tcPr>
            <w:tcW w:w="414" w:type="pct"/>
            <w:tcBorders>
              <w:top w:val="nil"/>
              <w:left w:val="nil"/>
              <w:bottom w:val="nil"/>
              <w:right w:val="nil"/>
            </w:tcBorders>
            <w:noWrap/>
            <w:vAlign w:val="center"/>
            <w:hideMark/>
          </w:tcPr>
          <w:p w14:paraId="08D9B7D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251</w:t>
            </w:r>
          </w:p>
        </w:tc>
        <w:tc>
          <w:tcPr>
            <w:tcW w:w="414" w:type="pct"/>
            <w:tcBorders>
              <w:top w:val="nil"/>
              <w:left w:val="nil"/>
              <w:bottom w:val="nil"/>
              <w:right w:val="nil"/>
            </w:tcBorders>
            <w:noWrap/>
            <w:vAlign w:val="center"/>
            <w:hideMark/>
          </w:tcPr>
          <w:p w14:paraId="236EC01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261</w:t>
            </w:r>
          </w:p>
        </w:tc>
        <w:tc>
          <w:tcPr>
            <w:tcW w:w="414" w:type="pct"/>
            <w:tcBorders>
              <w:top w:val="nil"/>
              <w:left w:val="nil"/>
              <w:bottom w:val="nil"/>
              <w:right w:val="nil"/>
            </w:tcBorders>
            <w:noWrap/>
            <w:vAlign w:val="center"/>
            <w:hideMark/>
          </w:tcPr>
          <w:p w14:paraId="6ACD394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272</w:t>
            </w:r>
          </w:p>
        </w:tc>
        <w:tc>
          <w:tcPr>
            <w:tcW w:w="414" w:type="pct"/>
            <w:tcBorders>
              <w:top w:val="nil"/>
              <w:left w:val="nil"/>
              <w:bottom w:val="nil"/>
              <w:right w:val="nil"/>
            </w:tcBorders>
            <w:noWrap/>
            <w:vAlign w:val="center"/>
            <w:hideMark/>
          </w:tcPr>
          <w:p w14:paraId="5E1A643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282</w:t>
            </w:r>
          </w:p>
        </w:tc>
        <w:tc>
          <w:tcPr>
            <w:tcW w:w="414" w:type="pct"/>
            <w:tcBorders>
              <w:top w:val="nil"/>
              <w:left w:val="nil"/>
              <w:bottom w:val="nil"/>
              <w:right w:val="nil"/>
            </w:tcBorders>
            <w:noWrap/>
            <w:vAlign w:val="center"/>
            <w:hideMark/>
          </w:tcPr>
          <w:p w14:paraId="358306D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294</w:t>
            </w:r>
          </w:p>
        </w:tc>
        <w:tc>
          <w:tcPr>
            <w:tcW w:w="414" w:type="pct"/>
            <w:tcBorders>
              <w:top w:val="nil"/>
              <w:left w:val="nil"/>
              <w:bottom w:val="nil"/>
              <w:right w:val="nil"/>
            </w:tcBorders>
            <w:noWrap/>
            <w:vAlign w:val="center"/>
            <w:hideMark/>
          </w:tcPr>
          <w:p w14:paraId="7EA9574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305</w:t>
            </w:r>
          </w:p>
        </w:tc>
      </w:tr>
      <w:tr w:rsidR="000F7A56" w:rsidRPr="000F7A56" w14:paraId="7DAFD23D" w14:textId="77777777" w:rsidTr="003316E8">
        <w:trPr>
          <w:trHeight w:val="225"/>
        </w:trPr>
        <w:tc>
          <w:tcPr>
            <w:tcW w:w="770" w:type="pct"/>
            <w:tcBorders>
              <w:top w:val="nil"/>
              <w:left w:val="nil"/>
              <w:bottom w:val="nil"/>
              <w:right w:val="nil"/>
            </w:tcBorders>
            <w:noWrap/>
            <w:vAlign w:val="bottom"/>
            <w:hideMark/>
          </w:tcPr>
          <w:p w14:paraId="663A1572"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Persons of self-described gender</w:t>
            </w:r>
          </w:p>
        </w:tc>
        <w:tc>
          <w:tcPr>
            <w:tcW w:w="92" w:type="pct"/>
            <w:tcBorders>
              <w:top w:val="nil"/>
              <w:left w:val="nil"/>
              <w:bottom w:val="nil"/>
              <w:right w:val="nil"/>
            </w:tcBorders>
            <w:noWrap/>
            <w:vAlign w:val="bottom"/>
            <w:hideMark/>
          </w:tcPr>
          <w:p w14:paraId="5D55A59B"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39BF1A6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7365AFB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1F141EA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61E8FF0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28B996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088448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6B8E50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7E37010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1F304E5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1B393B9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r>
      <w:tr w:rsidR="000F7A56" w:rsidRPr="000F7A56" w14:paraId="16D50904" w14:textId="77777777" w:rsidTr="003316E8">
        <w:trPr>
          <w:trHeight w:val="225"/>
        </w:trPr>
        <w:tc>
          <w:tcPr>
            <w:tcW w:w="770" w:type="pct"/>
            <w:tcBorders>
              <w:top w:val="nil"/>
              <w:left w:val="nil"/>
              <w:bottom w:val="nil"/>
              <w:right w:val="nil"/>
            </w:tcBorders>
            <w:noWrap/>
            <w:vAlign w:val="bottom"/>
            <w:hideMark/>
          </w:tcPr>
          <w:p w14:paraId="5D216BD0"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Vacant positions</w:t>
            </w:r>
          </w:p>
        </w:tc>
        <w:tc>
          <w:tcPr>
            <w:tcW w:w="92" w:type="pct"/>
            <w:tcBorders>
              <w:top w:val="nil"/>
              <w:left w:val="nil"/>
              <w:bottom w:val="nil"/>
              <w:right w:val="nil"/>
            </w:tcBorders>
            <w:noWrap/>
            <w:vAlign w:val="bottom"/>
            <w:hideMark/>
          </w:tcPr>
          <w:p w14:paraId="6631FBED"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269AAC7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122</w:t>
            </w:r>
          </w:p>
        </w:tc>
        <w:tc>
          <w:tcPr>
            <w:tcW w:w="414" w:type="pct"/>
            <w:tcBorders>
              <w:top w:val="nil"/>
              <w:left w:val="nil"/>
              <w:bottom w:val="nil"/>
              <w:right w:val="nil"/>
            </w:tcBorders>
            <w:noWrap/>
            <w:vAlign w:val="center"/>
            <w:hideMark/>
          </w:tcPr>
          <w:p w14:paraId="16D7CE6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131</w:t>
            </w:r>
          </w:p>
        </w:tc>
        <w:tc>
          <w:tcPr>
            <w:tcW w:w="414" w:type="pct"/>
            <w:tcBorders>
              <w:top w:val="nil"/>
              <w:left w:val="nil"/>
              <w:bottom w:val="nil"/>
              <w:right w:val="nil"/>
            </w:tcBorders>
            <w:noWrap/>
            <w:vAlign w:val="center"/>
            <w:hideMark/>
          </w:tcPr>
          <w:p w14:paraId="7016894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141</w:t>
            </w:r>
          </w:p>
        </w:tc>
        <w:tc>
          <w:tcPr>
            <w:tcW w:w="414" w:type="pct"/>
            <w:tcBorders>
              <w:top w:val="nil"/>
              <w:left w:val="nil"/>
              <w:bottom w:val="nil"/>
              <w:right w:val="nil"/>
            </w:tcBorders>
            <w:noWrap/>
            <w:vAlign w:val="center"/>
            <w:hideMark/>
          </w:tcPr>
          <w:p w14:paraId="2B9D61A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146</w:t>
            </w:r>
          </w:p>
        </w:tc>
        <w:tc>
          <w:tcPr>
            <w:tcW w:w="414" w:type="pct"/>
            <w:tcBorders>
              <w:top w:val="nil"/>
              <w:left w:val="nil"/>
              <w:bottom w:val="nil"/>
              <w:right w:val="nil"/>
            </w:tcBorders>
            <w:noWrap/>
            <w:vAlign w:val="center"/>
            <w:hideMark/>
          </w:tcPr>
          <w:p w14:paraId="4FB81D0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152</w:t>
            </w:r>
          </w:p>
        </w:tc>
        <w:tc>
          <w:tcPr>
            <w:tcW w:w="414" w:type="pct"/>
            <w:tcBorders>
              <w:top w:val="nil"/>
              <w:left w:val="nil"/>
              <w:bottom w:val="nil"/>
              <w:right w:val="nil"/>
            </w:tcBorders>
            <w:noWrap/>
            <w:vAlign w:val="center"/>
            <w:hideMark/>
          </w:tcPr>
          <w:p w14:paraId="653F96A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158</w:t>
            </w:r>
          </w:p>
        </w:tc>
        <w:tc>
          <w:tcPr>
            <w:tcW w:w="414" w:type="pct"/>
            <w:tcBorders>
              <w:top w:val="nil"/>
              <w:left w:val="nil"/>
              <w:bottom w:val="nil"/>
              <w:right w:val="nil"/>
            </w:tcBorders>
            <w:noWrap/>
            <w:vAlign w:val="center"/>
            <w:hideMark/>
          </w:tcPr>
          <w:p w14:paraId="5384369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164</w:t>
            </w:r>
          </w:p>
        </w:tc>
        <w:tc>
          <w:tcPr>
            <w:tcW w:w="414" w:type="pct"/>
            <w:tcBorders>
              <w:top w:val="nil"/>
              <w:left w:val="nil"/>
              <w:bottom w:val="nil"/>
              <w:right w:val="nil"/>
            </w:tcBorders>
            <w:noWrap/>
            <w:vAlign w:val="center"/>
            <w:hideMark/>
          </w:tcPr>
          <w:p w14:paraId="122F7DE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171</w:t>
            </w:r>
          </w:p>
        </w:tc>
        <w:tc>
          <w:tcPr>
            <w:tcW w:w="414" w:type="pct"/>
            <w:tcBorders>
              <w:top w:val="nil"/>
              <w:left w:val="nil"/>
              <w:bottom w:val="nil"/>
              <w:right w:val="nil"/>
            </w:tcBorders>
            <w:noWrap/>
            <w:vAlign w:val="center"/>
            <w:hideMark/>
          </w:tcPr>
          <w:p w14:paraId="42FEA79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177</w:t>
            </w:r>
          </w:p>
        </w:tc>
        <w:tc>
          <w:tcPr>
            <w:tcW w:w="414" w:type="pct"/>
            <w:tcBorders>
              <w:top w:val="nil"/>
              <w:left w:val="nil"/>
              <w:bottom w:val="nil"/>
              <w:right w:val="nil"/>
            </w:tcBorders>
            <w:noWrap/>
            <w:vAlign w:val="center"/>
            <w:hideMark/>
          </w:tcPr>
          <w:p w14:paraId="3E712CE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184</w:t>
            </w:r>
          </w:p>
        </w:tc>
      </w:tr>
      <w:tr w:rsidR="000F7A56" w:rsidRPr="000F7A56" w14:paraId="10CC211F" w14:textId="77777777" w:rsidTr="003316E8">
        <w:trPr>
          <w:trHeight w:val="225"/>
        </w:trPr>
        <w:tc>
          <w:tcPr>
            <w:tcW w:w="770" w:type="pct"/>
            <w:tcBorders>
              <w:top w:val="nil"/>
              <w:left w:val="nil"/>
              <w:bottom w:val="nil"/>
              <w:right w:val="nil"/>
            </w:tcBorders>
            <w:noWrap/>
            <w:vAlign w:val="bottom"/>
            <w:hideMark/>
          </w:tcPr>
          <w:p w14:paraId="05C7A989"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New positions</w:t>
            </w:r>
          </w:p>
        </w:tc>
        <w:tc>
          <w:tcPr>
            <w:tcW w:w="92" w:type="pct"/>
            <w:tcBorders>
              <w:top w:val="nil"/>
              <w:left w:val="nil"/>
              <w:bottom w:val="nil"/>
              <w:right w:val="nil"/>
            </w:tcBorders>
            <w:noWrap/>
            <w:vAlign w:val="bottom"/>
            <w:hideMark/>
          </w:tcPr>
          <w:p w14:paraId="57BFA065"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6D79224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5B25B51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50A2354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79E409B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3C56830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5DEDAEF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25ED4A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B112C7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CE2A4C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DD71EF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r>
      <w:tr w:rsidR="000F7A56" w:rsidRPr="000F7A56" w14:paraId="0C29DFA0" w14:textId="77777777" w:rsidTr="003316E8">
        <w:trPr>
          <w:trHeight w:val="225"/>
        </w:trPr>
        <w:tc>
          <w:tcPr>
            <w:tcW w:w="861" w:type="pct"/>
            <w:gridSpan w:val="2"/>
            <w:tcBorders>
              <w:top w:val="nil"/>
              <w:left w:val="nil"/>
              <w:bottom w:val="nil"/>
              <w:right w:val="nil"/>
            </w:tcBorders>
            <w:noWrap/>
            <w:vAlign w:val="bottom"/>
            <w:hideMark/>
          </w:tcPr>
          <w:p w14:paraId="021F5840"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Total Corporate Services</w:t>
            </w:r>
          </w:p>
        </w:tc>
        <w:tc>
          <w:tcPr>
            <w:tcW w:w="414" w:type="pct"/>
            <w:tcBorders>
              <w:top w:val="single" w:sz="4" w:space="0" w:color="auto"/>
              <w:left w:val="nil"/>
              <w:bottom w:val="single" w:sz="4" w:space="0" w:color="auto"/>
              <w:right w:val="nil"/>
            </w:tcBorders>
            <w:noWrap/>
            <w:vAlign w:val="center"/>
            <w:hideMark/>
          </w:tcPr>
          <w:p w14:paraId="0789510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14,866</w:t>
            </w:r>
          </w:p>
        </w:tc>
        <w:tc>
          <w:tcPr>
            <w:tcW w:w="414" w:type="pct"/>
            <w:tcBorders>
              <w:top w:val="single" w:sz="4" w:space="0" w:color="auto"/>
              <w:left w:val="nil"/>
              <w:bottom w:val="single" w:sz="4" w:space="0" w:color="auto"/>
              <w:right w:val="nil"/>
            </w:tcBorders>
            <w:noWrap/>
            <w:vAlign w:val="center"/>
            <w:hideMark/>
          </w:tcPr>
          <w:p w14:paraId="39F5429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15,958</w:t>
            </w:r>
          </w:p>
        </w:tc>
        <w:tc>
          <w:tcPr>
            <w:tcW w:w="414" w:type="pct"/>
            <w:tcBorders>
              <w:top w:val="single" w:sz="4" w:space="0" w:color="auto"/>
              <w:left w:val="nil"/>
              <w:bottom w:val="single" w:sz="4" w:space="0" w:color="auto"/>
              <w:right w:val="nil"/>
            </w:tcBorders>
            <w:noWrap/>
            <w:vAlign w:val="center"/>
            <w:hideMark/>
          </w:tcPr>
          <w:p w14:paraId="1109261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17,133</w:t>
            </w:r>
          </w:p>
        </w:tc>
        <w:tc>
          <w:tcPr>
            <w:tcW w:w="414" w:type="pct"/>
            <w:tcBorders>
              <w:top w:val="single" w:sz="4" w:space="0" w:color="auto"/>
              <w:left w:val="nil"/>
              <w:bottom w:val="single" w:sz="4" w:space="0" w:color="auto"/>
              <w:right w:val="nil"/>
            </w:tcBorders>
            <w:noWrap/>
            <w:vAlign w:val="center"/>
            <w:hideMark/>
          </w:tcPr>
          <w:p w14:paraId="2706A42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17,807</w:t>
            </w:r>
          </w:p>
        </w:tc>
        <w:tc>
          <w:tcPr>
            <w:tcW w:w="414" w:type="pct"/>
            <w:tcBorders>
              <w:top w:val="single" w:sz="4" w:space="0" w:color="auto"/>
              <w:left w:val="nil"/>
              <w:bottom w:val="single" w:sz="4" w:space="0" w:color="auto"/>
              <w:right w:val="nil"/>
            </w:tcBorders>
            <w:noWrap/>
            <w:vAlign w:val="center"/>
            <w:hideMark/>
          </w:tcPr>
          <w:p w14:paraId="44D56D8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18,507</w:t>
            </w:r>
          </w:p>
        </w:tc>
        <w:tc>
          <w:tcPr>
            <w:tcW w:w="414" w:type="pct"/>
            <w:tcBorders>
              <w:top w:val="single" w:sz="4" w:space="0" w:color="auto"/>
              <w:left w:val="nil"/>
              <w:bottom w:val="single" w:sz="4" w:space="0" w:color="auto"/>
              <w:right w:val="nil"/>
            </w:tcBorders>
            <w:noWrap/>
            <w:vAlign w:val="center"/>
            <w:hideMark/>
          </w:tcPr>
          <w:p w14:paraId="4AD78E5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19,236</w:t>
            </w:r>
          </w:p>
        </w:tc>
        <w:tc>
          <w:tcPr>
            <w:tcW w:w="414" w:type="pct"/>
            <w:tcBorders>
              <w:top w:val="single" w:sz="4" w:space="0" w:color="auto"/>
              <w:left w:val="nil"/>
              <w:bottom w:val="single" w:sz="4" w:space="0" w:color="auto"/>
              <w:right w:val="nil"/>
            </w:tcBorders>
            <w:noWrap/>
            <w:vAlign w:val="center"/>
            <w:hideMark/>
          </w:tcPr>
          <w:p w14:paraId="4A7C5F3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19,993</w:t>
            </w:r>
          </w:p>
        </w:tc>
        <w:tc>
          <w:tcPr>
            <w:tcW w:w="414" w:type="pct"/>
            <w:tcBorders>
              <w:top w:val="single" w:sz="4" w:space="0" w:color="auto"/>
              <w:left w:val="nil"/>
              <w:bottom w:val="single" w:sz="4" w:space="0" w:color="auto"/>
              <w:right w:val="nil"/>
            </w:tcBorders>
            <w:noWrap/>
            <w:vAlign w:val="center"/>
            <w:hideMark/>
          </w:tcPr>
          <w:p w14:paraId="205DC95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20,781</w:t>
            </w:r>
          </w:p>
        </w:tc>
        <w:tc>
          <w:tcPr>
            <w:tcW w:w="414" w:type="pct"/>
            <w:tcBorders>
              <w:top w:val="single" w:sz="4" w:space="0" w:color="auto"/>
              <w:left w:val="nil"/>
              <w:bottom w:val="single" w:sz="4" w:space="0" w:color="auto"/>
              <w:right w:val="nil"/>
            </w:tcBorders>
            <w:noWrap/>
            <w:vAlign w:val="center"/>
            <w:hideMark/>
          </w:tcPr>
          <w:p w14:paraId="49024BA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21,601</w:t>
            </w:r>
          </w:p>
        </w:tc>
        <w:tc>
          <w:tcPr>
            <w:tcW w:w="414" w:type="pct"/>
            <w:tcBorders>
              <w:top w:val="single" w:sz="4" w:space="0" w:color="auto"/>
              <w:left w:val="nil"/>
              <w:bottom w:val="single" w:sz="4" w:space="0" w:color="auto"/>
              <w:right w:val="nil"/>
            </w:tcBorders>
            <w:noWrap/>
            <w:vAlign w:val="center"/>
            <w:hideMark/>
          </w:tcPr>
          <w:p w14:paraId="781D03D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22,453</w:t>
            </w:r>
          </w:p>
        </w:tc>
      </w:tr>
      <w:tr w:rsidR="000F7A56" w:rsidRPr="000F7A56" w14:paraId="285FD8A7" w14:textId="77777777" w:rsidTr="000F7A56">
        <w:trPr>
          <w:trHeight w:val="132"/>
        </w:trPr>
        <w:tc>
          <w:tcPr>
            <w:tcW w:w="2516" w:type="pct"/>
            <w:gridSpan w:val="6"/>
            <w:tcBorders>
              <w:top w:val="nil"/>
              <w:left w:val="nil"/>
              <w:bottom w:val="nil"/>
              <w:right w:val="nil"/>
            </w:tcBorders>
            <w:noWrap/>
            <w:vAlign w:val="bottom"/>
            <w:hideMark/>
          </w:tcPr>
          <w:p w14:paraId="3D74A25D" w14:textId="77777777" w:rsidR="000F7A56" w:rsidRPr="000F7A56" w:rsidRDefault="000F7A56" w:rsidP="000F7A56">
            <w:pPr>
              <w:spacing w:before="0" w:after="0"/>
              <w:jc w:val="right"/>
              <w:rPr>
                <w:rFonts w:ascii="Arial" w:hAnsi="Arial" w:cs="Arial"/>
                <w:sz w:val="16"/>
                <w:szCs w:val="16"/>
              </w:rPr>
            </w:pPr>
          </w:p>
        </w:tc>
        <w:tc>
          <w:tcPr>
            <w:tcW w:w="414" w:type="pct"/>
            <w:tcBorders>
              <w:top w:val="nil"/>
              <w:left w:val="nil"/>
              <w:bottom w:val="nil"/>
              <w:right w:val="nil"/>
            </w:tcBorders>
            <w:noWrap/>
            <w:vAlign w:val="bottom"/>
            <w:hideMark/>
          </w:tcPr>
          <w:p w14:paraId="3E85AE31" w14:textId="77777777" w:rsidR="000F7A56" w:rsidRPr="000F7A56" w:rsidRDefault="000F7A56" w:rsidP="000F7A56">
            <w:pPr>
              <w:spacing w:before="0" w:after="0"/>
              <w:jc w:val="center"/>
              <w:rPr>
                <w:rFonts w:ascii="Times New Roman" w:hAnsi="Times New Roman"/>
                <w:sz w:val="20"/>
                <w:szCs w:val="20"/>
              </w:rPr>
            </w:pPr>
          </w:p>
        </w:tc>
        <w:tc>
          <w:tcPr>
            <w:tcW w:w="414" w:type="pct"/>
            <w:tcBorders>
              <w:top w:val="nil"/>
              <w:left w:val="nil"/>
              <w:bottom w:val="nil"/>
              <w:right w:val="nil"/>
            </w:tcBorders>
            <w:noWrap/>
            <w:vAlign w:val="bottom"/>
            <w:hideMark/>
          </w:tcPr>
          <w:p w14:paraId="29785090"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07B77816"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24869A51"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5ADAE35A"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1A50C9F1" w14:textId="77777777" w:rsidR="000F7A56" w:rsidRPr="000F7A56" w:rsidRDefault="000F7A56" w:rsidP="000F7A56">
            <w:pPr>
              <w:spacing w:before="0" w:after="0"/>
              <w:rPr>
                <w:rFonts w:ascii="Times New Roman" w:hAnsi="Times New Roman"/>
                <w:sz w:val="20"/>
                <w:szCs w:val="20"/>
              </w:rPr>
            </w:pPr>
          </w:p>
        </w:tc>
      </w:tr>
      <w:tr w:rsidR="000F7A56" w:rsidRPr="000F7A56" w14:paraId="69A838F2" w14:textId="77777777" w:rsidTr="000F7A56">
        <w:trPr>
          <w:trHeight w:val="225"/>
        </w:trPr>
        <w:tc>
          <w:tcPr>
            <w:tcW w:w="2516" w:type="pct"/>
            <w:gridSpan w:val="6"/>
            <w:tcBorders>
              <w:top w:val="nil"/>
              <w:left w:val="nil"/>
              <w:bottom w:val="nil"/>
              <w:right w:val="nil"/>
            </w:tcBorders>
            <w:noWrap/>
            <w:vAlign w:val="bottom"/>
            <w:hideMark/>
          </w:tcPr>
          <w:p w14:paraId="000737B1"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Infrastructure &amp; Environment</w:t>
            </w:r>
          </w:p>
        </w:tc>
        <w:tc>
          <w:tcPr>
            <w:tcW w:w="414" w:type="pct"/>
            <w:tcBorders>
              <w:top w:val="nil"/>
              <w:left w:val="nil"/>
              <w:bottom w:val="nil"/>
              <w:right w:val="nil"/>
            </w:tcBorders>
            <w:noWrap/>
            <w:vAlign w:val="bottom"/>
            <w:hideMark/>
          </w:tcPr>
          <w:p w14:paraId="2FF03D8B" w14:textId="77777777" w:rsidR="000F7A56" w:rsidRPr="000F7A56" w:rsidRDefault="000F7A56" w:rsidP="000F7A56">
            <w:pPr>
              <w:spacing w:before="0" w:after="0"/>
              <w:rPr>
                <w:rFonts w:ascii="Arial" w:hAnsi="Arial" w:cs="Arial"/>
                <w:b/>
                <w:bCs/>
                <w:sz w:val="16"/>
                <w:szCs w:val="16"/>
              </w:rPr>
            </w:pPr>
          </w:p>
        </w:tc>
        <w:tc>
          <w:tcPr>
            <w:tcW w:w="414" w:type="pct"/>
            <w:tcBorders>
              <w:top w:val="nil"/>
              <w:left w:val="nil"/>
              <w:bottom w:val="nil"/>
              <w:right w:val="nil"/>
            </w:tcBorders>
            <w:noWrap/>
            <w:vAlign w:val="bottom"/>
            <w:hideMark/>
          </w:tcPr>
          <w:p w14:paraId="2E75D8D6"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7A0C5AF6"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470A8BAC"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7A9D2C82" w14:textId="77777777" w:rsidR="000F7A56" w:rsidRPr="000F7A56" w:rsidRDefault="000F7A56" w:rsidP="000F7A56">
            <w:pPr>
              <w:spacing w:before="0" w:after="0"/>
              <w:rPr>
                <w:rFonts w:ascii="Times New Roman" w:hAnsi="Times New Roman"/>
                <w:sz w:val="20"/>
                <w:szCs w:val="20"/>
              </w:rPr>
            </w:pPr>
          </w:p>
        </w:tc>
        <w:tc>
          <w:tcPr>
            <w:tcW w:w="414" w:type="pct"/>
            <w:tcBorders>
              <w:top w:val="nil"/>
              <w:left w:val="nil"/>
              <w:bottom w:val="nil"/>
              <w:right w:val="nil"/>
            </w:tcBorders>
            <w:noWrap/>
            <w:vAlign w:val="bottom"/>
            <w:hideMark/>
          </w:tcPr>
          <w:p w14:paraId="7AC16E0F" w14:textId="77777777" w:rsidR="000F7A56" w:rsidRPr="000F7A56" w:rsidRDefault="000F7A56" w:rsidP="000F7A56">
            <w:pPr>
              <w:spacing w:before="0" w:after="0"/>
              <w:rPr>
                <w:rFonts w:ascii="Times New Roman" w:hAnsi="Times New Roman"/>
                <w:sz w:val="20"/>
                <w:szCs w:val="20"/>
              </w:rPr>
            </w:pPr>
          </w:p>
        </w:tc>
      </w:tr>
      <w:tr w:rsidR="003316E8" w:rsidRPr="000F7A56" w14:paraId="06536383" w14:textId="77777777" w:rsidTr="003316E8">
        <w:trPr>
          <w:trHeight w:val="225"/>
        </w:trPr>
        <w:tc>
          <w:tcPr>
            <w:tcW w:w="861" w:type="pct"/>
            <w:gridSpan w:val="2"/>
            <w:tcBorders>
              <w:top w:val="nil"/>
              <w:left w:val="nil"/>
              <w:bottom w:val="nil"/>
              <w:right w:val="nil"/>
            </w:tcBorders>
            <w:shd w:val="clear" w:color="000000" w:fill="DAE9F8"/>
            <w:noWrap/>
            <w:vAlign w:val="bottom"/>
            <w:hideMark/>
          </w:tcPr>
          <w:p w14:paraId="759D93B9" w14:textId="77777777" w:rsidR="000F7A56" w:rsidRPr="000F7A56" w:rsidRDefault="000F7A56" w:rsidP="000F7A56">
            <w:pPr>
              <w:spacing w:before="0" w:after="0"/>
              <w:rPr>
                <w:rFonts w:ascii="Arial" w:hAnsi="Arial" w:cs="Arial"/>
                <w:sz w:val="16"/>
                <w:szCs w:val="16"/>
              </w:rPr>
            </w:pPr>
            <w:r w:rsidRPr="000F7A56">
              <w:rPr>
                <w:rFonts w:ascii="Arial" w:hAnsi="Arial" w:cs="Arial"/>
                <w:sz w:val="16"/>
                <w:szCs w:val="16"/>
              </w:rPr>
              <w:t>Permanent - Full time</w:t>
            </w:r>
          </w:p>
        </w:tc>
        <w:tc>
          <w:tcPr>
            <w:tcW w:w="414" w:type="pct"/>
            <w:tcBorders>
              <w:top w:val="nil"/>
              <w:left w:val="nil"/>
              <w:bottom w:val="nil"/>
              <w:right w:val="nil"/>
            </w:tcBorders>
            <w:shd w:val="clear" w:color="000000" w:fill="DAE9F8"/>
            <w:noWrap/>
            <w:vAlign w:val="center"/>
            <w:hideMark/>
          </w:tcPr>
          <w:p w14:paraId="39390B0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18,668</w:t>
            </w:r>
          </w:p>
        </w:tc>
        <w:tc>
          <w:tcPr>
            <w:tcW w:w="414" w:type="pct"/>
            <w:tcBorders>
              <w:top w:val="nil"/>
              <w:left w:val="nil"/>
              <w:bottom w:val="nil"/>
              <w:right w:val="nil"/>
            </w:tcBorders>
            <w:shd w:val="clear" w:color="000000" w:fill="DAE9F8"/>
            <w:noWrap/>
            <w:vAlign w:val="center"/>
            <w:hideMark/>
          </w:tcPr>
          <w:p w14:paraId="5C69F2D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20,040</w:t>
            </w:r>
          </w:p>
        </w:tc>
        <w:tc>
          <w:tcPr>
            <w:tcW w:w="414" w:type="pct"/>
            <w:tcBorders>
              <w:top w:val="nil"/>
              <w:left w:val="nil"/>
              <w:bottom w:val="nil"/>
              <w:right w:val="nil"/>
            </w:tcBorders>
            <w:shd w:val="clear" w:color="000000" w:fill="DAE9F8"/>
            <w:noWrap/>
            <w:vAlign w:val="center"/>
            <w:hideMark/>
          </w:tcPr>
          <w:p w14:paraId="6795613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21,515</w:t>
            </w:r>
          </w:p>
        </w:tc>
        <w:tc>
          <w:tcPr>
            <w:tcW w:w="414" w:type="pct"/>
            <w:tcBorders>
              <w:top w:val="nil"/>
              <w:left w:val="nil"/>
              <w:bottom w:val="nil"/>
              <w:right w:val="nil"/>
            </w:tcBorders>
            <w:shd w:val="clear" w:color="000000" w:fill="DAE9F8"/>
            <w:noWrap/>
            <w:vAlign w:val="center"/>
            <w:hideMark/>
          </w:tcPr>
          <w:p w14:paraId="68BF6FA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22,361</w:t>
            </w:r>
          </w:p>
        </w:tc>
        <w:tc>
          <w:tcPr>
            <w:tcW w:w="414" w:type="pct"/>
            <w:tcBorders>
              <w:top w:val="nil"/>
              <w:left w:val="nil"/>
              <w:bottom w:val="nil"/>
              <w:right w:val="nil"/>
            </w:tcBorders>
            <w:shd w:val="clear" w:color="000000" w:fill="DAE9F8"/>
            <w:noWrap/>
            <w:vAlign w:val="center"/>
            <w:hideMark/>
          </w:tcPr>
          <w:p w14:paraId="132ADFA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23,231</w:t>
            </w:r>
          </w:p>
        </w:tc>
        <w:tc>
          <w:tcPr>
            <w:tcW w:w="414" w:type="pct"/>
            <w:tcBorders>
              <w:top w:val="nil"/>
              <w:left w:val="nil"/>
              <w:bottom w:val="nil"/>
              <w:right w:val="nil"/>
            </w:tcBorders>
            <w:shd w:val="clear" w:color="000000" w:fill="DAE9F8"/>
            <w:noWrap/>
            <w:vAlign w:val="center"/>
            <w:hideMark/>
          </w:tcPr>
          <w:p w14:paraId="6ED3449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24,135</w:t>
            </w:r>
          </w:p>
        </w:tc>
        <w:tc>
          <w:tcPr>
            <w:tcW w:w="414" w:type="pct"/>
            <w:tcBorders>
              <w:top w:val="nil"/>
              <w:left w:val="nil"/>
              <w:bottom w:val="nil"/>
              <w:right w:val="nil"/>
            </w:tcBorders>
            <w:shd w:val="clear" w:color="000000" w:fill="DAE9F8"/>
            <w:noWrap/>
            <w:vAlign w:val="center"/>
            <w:hideMark/>
          </w:tcPr>
          <w:p w14:paraId="39FC1C4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25,077</w:t>
            </w:r>
          </w:p>
        </w:tc>
        <w:tc>
          <w:tcPr>
            <w:tcW w:w="414" w:type="pct"/>
            <w:tcBorders>
              <w:top w:val="nil"/>
              <w:left w:val="nil"/>
              <w:bottom w:val="nil"/>
              <w:right w:val="nil"/>
            </w:tcBorders>
            <w:shd w:val="clear" w:color="000000" w:fill="DAE9F8"/>
            <w:noWrap/>
            <w:vAlign w:val="center"/>
            <w:hideMark/>
          </w:tcPr>
          <w:p w14:paraId="17D63A6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26,056</w:t>
            </w:r>
          </w:p>
        </w:tc>
        <w:tc>
          <w:tcPr>
            <w:tcW w:w="414" w:type="pct"/>
            <w:tcBorders>
              <w:top w:val="nil"/>
              <w:left w:val="nil"/>
              <w:bottom w:val="nil"/>
              <w:right w:val="nil"/>
            </w:tcBorders>
            <w:shd w:val="clear" w:color="000000" w:fill="DAE9F8"/>
            <w:noWrap/>
            <w:vAlign w:val="center"/>
            <w:hideMark/>
          </w:tcPr>
          <w:p w14:paraId="108B03A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27,075</w:t>
            </w:r>
          </w:p>
        </w:tc>
        <w:tc>
          <w:tcPr>
            <w:tcW w:w="414" w:type="pct"/>
            <w:tcBorders>
              <w:top w:val="nil"/>
              <w:left w:val="nil"/>
              <w:bottom w:val="nil"/>
              <w:right w:val="nil"/>
            </w:tcBorders>
            <w:shd w:val="clear" w:color="000000" w:fill="DAE9F8"/>
            <w:noWrap/>
            <w:vAlign w:val="center"/>
            <w:hideMark/>
          </w:tcPr>
          <w:p w14:paraId="40187BD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28,145</w:t>
            </w:r>
          </w:p>
        </w:tc>
      </w:tr>
      <w:tr w:rsidR="000F7A56" w:rsidRPr="000F7A56" w14:paraId="5E57F7D0" w14:textId="77777777" w:rsidTr="003316E8">
        <w:trPr>
          <w:trHeight w:val="225"/>
        </w:trPr>
        <w:tc>
          <w:tcPr>
            <w:tcW w:w="770" w:type="pct"/>
            <w:tcBorders>
              <w:top w:val="nil"/>
              <w:left w:val="nil"/>
              <w:bottom w:val="nil"/>
              <w:right w:val="nil"/>
            </w:tcBorders>
            <w:noWrap/>
            <w:vAlign w:val="bottom"/>
            <w:hideMark/>
          </w:tcPr>
          <w:p w14:paraId="481D56DB"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Women</w:t>
            </w:r>
          </w:p>
        </w:tc>
        <w:tc>
          <w:tcPr>
            <w:tcW w:w="92" w:type="pct"/>
            <w:tcBorders>
              <w:top w:val="nil"/>
              <w:left w:val="nil"/>
              <w:bottom w:val="nil"/>
              <w:right w:val="nil"/>
            </w:tcBorders>
            <w:noWrap/>
            <w:vAlign w:val="bottom"/>
            <w:hideMark/>
          </w:tcPr>
          <w:p w14:paraId="2899E73A"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3348637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5,161</w:t>
            </w:r>
          </w:p>
        </w:tc>
        <w:tc>
          <w:tcPr>
            <w:tcW w:w="414" w:type="pct"/>
            <w:tcBorders>
              <w:top w:val="nil"/>
              <w:left w:val="nil"/>
              <w:bottom w:val="nil"/>
              <w:right w:val="nil"/>
            </w:tcBorders>
            <w:noWrap/>
            <w:vAlign w:val="center"/>
            <w:hideMark/>
          </w:tcPr>
          <w:p w14:paraId="7B1D1D2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5,540</w:t>
            </w:r>
          </w:p>
        </w:tc>
        <w:tc>
          <w:tcPr>
            <w:tcW w:w="414" w:type="pct"/>
            <w:tcBorders>
              <w:top w:val="nil"/>
              <w:left w:val="nil"/>
              <w:bottom w:val="nil"/>
              <w:right w:val="nil"/>
            </w:tcBorders>
            <w:noWrap/>
            <w:vAlign w:val="center"/>
            <w:hideMark/>
          </w:tcPr>
          <w:p w14:paraId="26F364B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5,948</w:t>
            </w:r>
          </w:p>
        </w:tc>
        <w:tc>
          <w:tcPr>
            <w:tcW w:w="414" w:type="pct"/>
            <w:tcBorders>
              <w:top w:val="nil"/>
              <w:left w:val="nil"/>
              <w:bottom w:val="nil"/>
              <w:right w:val="nil"/>
            </w:tcBorders>
            <w:noWrap/>
            <w:vAlign w:val="center"/>
            <w:hideMark/>
          </w:tcPr>
          <w:p w14:paraId="626B7F5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6,182</w:t>
            </w:r>
          </w:p>
        </w:tc>
        <w:tc>
          <w:tcPr>
            <w:tcW w:w="414" w:type="pct"/>
            <w:tcBorders>
              <w:top w:val="nil"/>
              <w:left w:val="nil"/>
              <w:bottom w:val="nil"/>
              <w:right w:val="nil"/>
            </w:tcBorders>
            <w:noWrap/>
            <w:vAlign w:val="center"/>
            <w:hideMark/>
          </w:tcPr>
          <w:p w14:paraId="51013C0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6,425</w:t>
            </w:r>
          </w:p>
        </w:tc>
        <w:tc>
          <w:tcPr>
            <w:tcW w:w="414" w:type="pct"/>
            <w:tcBorders>
              <w:top w:val="nil"/>
              <w:left w:val="nil"/>
              <w:bottom w:val="nil"/>
              <w:right w:val="nil"/>
            </w:tcBorders>
            <w:noWrap/>
            <w:vAlign w:val="center"/>
            <w:hideMark/>
          </w:tcPr>
          <w:p w14:paraId="3768589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6,678</w:t>
            </w:r>
          </w:p>
        </w:tc>
        <w:tc>
          <w:tcPr>
            <w:tcW w:w="414" w:type="pct"/>
            <w:tcBorders>
              <w:top w:val="nil"/>
              <w:left w:val="nil"/>
              <w:bottom w:val="nil"/>
              <w:right w:val="nil"/>
            </w:tcBorders>
            <w:noWrap/>
            <w:vAlign w:val="center"/>
            <w:hideMark/>
          </w:tcPr>
          <w:p w14:paraId="391C863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6,941</w:t>
            </w:r>
          </w:p>
        </w:tc>
        <w:tc>
          <w:tcPr>
            <w:tcW w:w="414" w:type="pct"/>
            <w:tcBorders>
              <w:top w:val="nil"/>
              <w:left w:val="nil"/>
              <w:bottom w:val="nil"/>
              <w:right w:val="nil"/>
            </w:tcBorders>
            <w:noWrap/>
            <w:vAlign w:val="center"/>
            <w:hideMark/>
          </w:tcPr>
          <w:p w14:paraId="16556CC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7,215</w:t>
            </w:r>
          </w:p>
        </w:tc>
        <w:tc>
          <w:tcPr>
            <w:tcW w:w="414" w:type="pct"/>
            <w:tcBorders>
              <w:top w:val="nil"/>
              <w:left w:val="nil"/>
              <w:bottom w:val="nil"/>
              <w:right w:val="nil"/>
            </w:tcBorders>
            <w:noWrap/>
            <w:vAlign w:val="center"/>
            <w:hideMark/>
          </w:tcPr>
          <w:p w14:paraId="663BF49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7,499</w:t>
            </w:r>
          </w:p>
        </w:tc>
        <w:tc>
          <w:tcPr>
            <w:tcW w:w="414" w:type="pct"/>
            <w:tcBorders>
              <w:top w:val="nil"/>
              <w:left w:val="nil"/>
              <w:bottom w:val="nil"/>
              <w:right w:val="nil"/>
            </w:tcBorders>
            <w:noWrap/>
            <w:vAlign w:val="center"/>
            <w:hideMark/>
          </w:tcPr>
          <w:p w14:paraId="252382A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7,795</w:t>
            </w:r>
          </w:p>
        </w:tc>
      </w:tr>
      <w:tr w:rsidR="000F7A56" w:rsidRPr="000F7A56" w14:paraId="2067F664" w14:textId="77777777" w:rsidTr="003316E8">
        <w:trPr>
          <w:trHeight w:val="225"/>
        </w:trPr>
        <w:tc>
          <w:tcPr>
            <w:tcW w:w="770" w:type="pct"/>
            <w:tcBorders>
              <w:top w:val="nil"/>
              <w:left w:val="nil"/>
              <w:bottom w:val="nil"/>
              <w:right w:val="nil"/>
            </w:tcBorders>
            <w:noWrap/>
            <w:vAlign w:val="bottom"/>
            <w:hideMark/>
          </w:tcPr>
          <w:p w14:paraId="6FCADAC6"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 xml:space="preserve">Men </w:t>
            </w:r>
          </w:p>
        </w:tc>
        <w:tc>
          <w:tcPr>
            <w:tcW w:w="92" w:type="pct"/>
            <w:tcBorders>
              <w:top w:val="nil"/>
              <w:left w:val="nil"/>
              <w:bottom w:val="nil"/>
              <w:right w:val="nil"/>
            </w:tcBorders>
            <w:noWrap/>
            <w:vAlign w:val="bottom"/>
            <w:hideMark/>
          </w:tcPr>
          <w:p w14:paraId="5437D391"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7CBC426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10,979</w:t>
            </w:r>
          </w:p>
        </w:tc>
        <w:tc>
          <w:tcPr>
            <w:tcW w:w="414" w:type="pct"/>
            <w:tcBorders>
              <w:top w:val="nil"/>
              <w:left w:val="nil"/>
              <w:bottom w:val="nil"/>
              <w:right w:val="nil"/>
            </w:tcBorders>
            <w:noWrap/>
            <w:vAlign w:val="center"/>
            <w:hideMark/>
          </w:tcPr>
          <w:p w14:paraId="5D4C7CB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11,786</w:t>
            </w:r>
          </w:p>
        </w:tc>
        <w:tc>
          <w:tcPr>
            <w:tcW w:w="414" w:type="pct"/>
            <w:tcBorders>
              <w:top w:val="nil"/>
              <w:left w:val="nil"/>
              <w:bottom w:val="nil"/>
              <w:right w:val="nil"/>
            </w:tcBorders>
            <w:noWrap/>
            <w:vAlign w:val="center"/>
            <w:hideMark/>
          </w:tcPr>
          <w:p w14:paraId="5A59C99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12,654</w:t>
            </w:r>
          </w:p>
        </w:tc>
        <w:tc>
          <w:tcPr>
            <w:tcW w:w="414" w:type="pct"/>
            <w:tcBorders>
              <w:top w:val="nil"/>
              <w:left w:val="nil"/>
              <w:bottom w:val="nil"/>
              <w:right w:val="nil"/>
            </w:tcBorders>
            <w:noWrap/>
            <w:vAlign w:val="center"/>
            <w:hideMark/>
          </w:tcPr>
          <w:p w14:paraId="4198179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13,151</w:t>
            </w:r>
          </w:p>
        </w:tc>
        <w:tc>
          <w:tcPr>
            <w:tcW w:w="414" w:type="pct"/>
            <w:tcBorders>
              <w:top w:val="nil"/>
              <w:left w:val="nil"/>
              <w:bottom w:val="nil"/>
              <w:right w:val="nil"/>
            </w:tcBorders>
            <w:noWrap/>
            <w:vAlign w:val="center"/>
            <w:hideMark/>
          </w:tcPr>
          <w:p w14:paraId="02CD3B3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13,658</w:t>
            </w:r>
          </w:p>
        </w:tc>
        <w:tc>
          <w:tcPr>
            <w:tcW w:w="414" w:type="pct"/>
            <w:tcBorders>
              <w:top w:val="nil"/>
              <w:left w:val="nil"/>
              <w:bottom w:val="nil"/>
              <w:right w:val="nil"/>
            </w:tcBorders>
            <w:noWrap/>
            <w:vAlign w:val="center"/>
            <w:hideMark/>
          </w:tcPr>
          <w:p w14:paraId="1664AA0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14,186</w:t>
            </w:r>
          </w:p>
        </w:tc>
        <w:tc>
          <w:tcPr>
            <w:tcW w:w="414" w:type="pct"/>
            <w:tcBorders>
              <w:top w:val="nil"/>
              <w:left w:val="nil"/>
              <w:bottom w:val="nil"/>
              <w:right w:val="nil"/>
            </w:tcBorders>
            <w:noWrap/>
            <w:vAlign w:val="center"/>
            <w:hideMark/>
          </w:tcPr>
          <w:p w14:paraId="2EDAD51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14,736</w:t>
            </w:r>
          </w:p>
        </w:tc>
        <w:tc>
          <w:tcPr>
            <w:tcW w:w="414" w:type="pct"/>
            <w:tcBorders>
              <w:top w:val="nil"/>
              <w:left w:val="nil"/>
              <w:bottom w:val="nil"/>
              <w:right w:val="nil"/>
            </w:tcBorders>
            <w:noWrap/>
            <w:vAlign w:val="center"/>
            <w:hideMark/>
          </w:tcPr>
          <w:p w14:paraId="1C2D8CF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15,308</w:t>
            </w:r>
          </w:p>
        </w:tc>
        <w:tc>
          <w:tcPr>
            <w:tcW w:w="414" w:type="pct"/>
            <w:tcBorders>
              <w:top w:val="nil"/>
              <w:left w:val="nil"/>
              <w:bottom w:val="nil"/>
              <w:right w:val="nil"/>
            </w:tcBorders>
            <w:noWrap/>
            <w:vAlign w:val="center"/>
            <w:hideMark/>
          </w:tcPr>
          <w:p w14:paraId="1A86207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15,903</w:t>
            </w:r>
          </w:p>
        </w:tc>
        <w:tc>
          <w:tcPr>
            <w:tcW w:w="414" w:type="pct"/>
            <w:tcBorders>
              <w:top w:val="nil"/>
              <w:left w:val="nil"/>
              <w:bottom w:val="nil"/>
              <w:right w:val="nil"/>
            </w:tcBorders>
            <w:noWrap/>
            <w:vAlign w:val="center"/>
            <w:hideMark/>
          </w:tcPr>
          <w:p w14:paraId="2697962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16,532</w:t>
            </w:r>
          </w:p>
        </w:tc>
      </w:tr>
      <w:tr w:rsidR="000F7A56" w:rsidRPr="000F7A56" w14:paraId="0929573B" w14:textId="77777777" w:rsidTr="003316E8">
        <w:trPr>
          <w:trHeight w:val="225"/>
        </w:trPr>
        <w:tc>
          <w:tcPr>
            <w:tcW w:w="770" w:type="pct"/>
            <w:tcBorders>
              <w:top w:val="nil"/>
              <w:left w:val="nil"/>
              <w:bottom w:val="nil"/>
              <w:right w:val="nil"/>
            </w:tcBorders>
            <w:noWrap/>
            <w:vAlign w:val="bottom"/>
            <w:hideMark/>
          </w:tcPr>
          <w:p w14:paraId="4F6411D9"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Persons of self-described gender</w:t>
            </w:r>
          </w:p>
        </w:tc>
        <w:tc>
          <w:tcPr>
            <w:tcW w:w="92" w:type="pct"/>
            <w:tcBorders>
              <w:top w:val="nil"/>
              <w:left w:val="nil"/>
              <w:bottom w:val="nil"/>
              <w:right w:val="nil"/>
            </w:tcBorders>
            <w:noWrap/>
            <w:vAlign w:val="bottom"/>
            <w:hideMark/>
          </w:tcPr>
          <w:p w14:paraId="4D0DA286"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1F20CFB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8CD5B9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93EE3C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CB621A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23649B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77B65B2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9D3BC1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3AE29AF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25EBCF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783DFB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r>
      <w:tr w:rsidR="000F7A56" w:rsidRPr="000F7A56" w14:paraId="4EB2AA94" w14:textId="77777777" w:rsidTr="003316E8">
        <w:trPr>
          <w:trHeight w:val="225"/>
        </w:trPr>
        <w:tc>
          <w:tcPr>
            <w:tcW w:w="770" w:type="pct"/>
            <w:tcBorders>
              <w:top w:val="nil"/>
              <w:left w:val="nil"/>
              <w:bottom w:val="nil"/>
              <w:right w:val="nil"/>
            </w:tcBorders>
            <w:noWrap/>
            <w:vAlign w:val="bottom"/>
            <w:hideMark/>
          </w:tcPr>
          <w:p w14:paraId="12042251"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Vacant positions</w:t>
            </w:r>
          </w:p>
        </w:tc>
        <w:tc>
          <w:tcPr>
            <w:tcW w:w="92" w:type="pct"/>
            <w:tcBorders>
              <w:top w:val="nil"/>
              <w:left w:val="nil"/>
              <w:bottom w:val="nil"/>
              <w:right w:val="nil"/>
            </w:tcBorders>
            <w:noWrap/>
            <w:vAlign w:val="bottom"/>
            <w:hideMark/>
          </w:tcPr>
          <w:p w14:paraId="43A53386"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33B67B1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1,267</w:t>
            </w:r>
          </w:p>
        </w:tc>
        <w:tc>
          <w:tcPr>
            <w:tcW w:w="414" w:type="pct"/>
            <w:tcBorders>
              <w:top w:val="nil"/>
              <w:left w:val="nil"/>
              <w:bottom w:val="nil"/>
              <w:right w:val="nil"/>
            </w:tcBorders>
            <w:noWrap/>
            <w:vAlign w:val="center"/>
            <w:hideMark/>
          </w:tcPr>
          <w:p w14:paraId="7A9BF76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1,360</w:t>
            </w:r>
          </w:p>
        </w:tc>
        <w:tc>
          <w:tcPr>
            <w:tcW w:w="414" w:type="pct"/>
            <w:tcBorders>
              <w:top w:val="nil"/>
              <w:left w:val="nil"/>
              <w:bottom w:val="nil"/>
              <w:right w:val="nil"/>
            </w:tcBorders>
            <w:noWrap/>
            <w:vAlign w:val="center"/>
            <w:hideMark/>
          </w:tcPr>
          <w:p w14:paraId="4C6F9F3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1,460</w:t>
            </w:r>
          </w:p>
        </w:tc>
        <w:tc>
          <w:tcPr>
            <w:tcW w:w="414" w:type="pct"/>
            <w:tcBorders>
              <w:top w:val="nil"/>
              <w:left w:val="nil"/>
              <w:bottom w:val="nil"/>
              <w:right w:val="nil"/>
            </w:tcBorders>
            <w:noWrap/>
            <w:vAlign w:val="center"/>
            <w:hideMark/>
          </w:tcPr>
          <w:p w14:paraId="713B9E4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1,518</w:t>
            </w:r>
          </w:p>
        </w:tc>
        <w:tc>
          <w:tcPr>
            <w:tcW w:w="414" w:type="pct"/>
            <w:tcBorders>
              <w:top w:val="nil"/>
              <w:left w:val="nil"/>
              <w:bottom w:val="nil"/>
              <w:right w:val="nil"/>
            </w:tcBorders>
            <w:noWrap/>
            <w:vAlign w:val="center"/>
            <w:hideMark/>
          </w:tcPr>
          <w:p w14:paraId="1733E47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1,577</w:t>
            </w:r>
          </w:p>
        </w:tc>
        <w:tc>
          <w:tcPr>
            <w:tcW w:w="414" w:type="pct"/>
            <w:tcBorders>
              <w:top w:val="nil"/>
              <w:left w:val="nil"/>
              <w:bottom w:val="nil"/>
              <w:right w:val="nil"/>
            </w:tcBorders>
            <w:noWrap/>
            <w:vAlign w:val="center"/>
            <w:hideMark/>
          </w:tcPr>
          <w:p w14:paraId="3CD02E4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1,639</w:t>
            </w:r>
          </w:p>
        </w:tc>
        <w:tc>
          <w:tcPr>
            <w:tcW w:w="414" w:type="pct"/>
            <w:tcBorders>
              <w:top w:val="nil"/>
              <w:left w:val="nil"/>
              <w:bottom w:val="nil"/>
              <w:right w:val="nil"/>
            </w:tcBorders>
            <w:noWrap/>
            <w:vAlign w:val="center"/>
            <w:hideMark/>
          </w:tcPr>
          <w:p w14:paraId="198B2D9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1,704</w:t>
            </w:r>
          </w:p>
        </w:tc>
        <w:tc>
          <w:tcPr>
            <w:tcW w:w="414" w:type="pct"/>
            <w:tcBorders>
              <w:top w:val="nil"/>
              <w:left w:val="nil"/>
              <w:bottom w:val="nil"/>
              <w:right w:val="nil"/>
            </w:tcBorders>
            <w:noWrap/>
            <w:vAlign w:val="center"/>
            <w:hideMark/>
          </w:tcPr>
          <w:p w14:paraId="0B6183C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1,771</w:t>
            </w:r>
          </w:p>
        </w:tc>
        <w:tc>
          <w:tcPr>
            <w:tcW w:w="414" w:type="pct"/>
            <w:tcBorders>
              <w:top w:val="nil"/>
              <w:left w:val="nil"/>
              <w:bottom w:val="nil"/>
              <w:right w:val="nil"/>
            </w:tcBorders>
            <w:noWrap/>
            <w:vAlign w:val="center"/>
            <w:hideMark/>
          </w:tcPr>
          <w:p w14:paraId="3709356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1,841</w:t>
            </w:r>
          </w:p>
        </w:tc>
        <w:tc>
          <w:tcPr>
            <w:tcW w:w="414" w:type="pct"/>
            <w:tcBorders>
              <w:top w:val="nil"/>
              <w:left w:val="nil"/>
              <w:bottom w:val="nil"/>
              <w:right w:val="nil"/>
            </w:tcBorders>
            <w:noWrap/>
            <w:vAlign w:val="center"/>
            <w:hideMark/>
          </w:tcPr>
          <w:p w14:paraId="775338B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1,914</w:t>
            </w:r>
          </w:p>
        </w:tc>
      </w:tr>
      <w:tr w:rsidR="000F7A56" w:rsidRPr="000F7A56" w14:paraId="1D2103E5" w14:textId="77777777" w:rsidTr="003316E8">
        <w:trPr>
          <w:trHeight w:val="225"/>
        </w:trPr>
        <w:tc>
          <w:tcPr>
            <w:tcW w:w="770" w:type="pct"/>
            <w:tcBorders>
              <w:top w:val="nil"/>
              <w:left w:val="nil"/>
              <w:bottom w:val="nil"/>
              <w:right w:val="nil"/>
            </w:tcBorders>
            <w:noWrap/>
            <w:vAlign w:val="bottom"/>
            <w:hideMark/>
          </w:tcPr>
          <w:p w14:paraId="3746C64F"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New positions</w:t>
            </w:r>
          </w:p>
        </w:tc>
        <w:tc>
          <w:tcPr>
            <w:tcW w:w="92" w:type="pct"/>
            <w:tcBorders>
              <w:top w:val="nil"/>
              <w:left w:val="nil"/>
              <w:bottom w:val="nil"/>
              <w:right w:val="nil"/>
            </w:tcBorders>
            <w:noWrap/>
            <w:vAlign w:val="bottom"/>
            <w:hideMark/>
          </w:tcPr>
          <w:p w14:paraId="313296AC"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7CCB136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1,261</w:t>
            </w:r>
          </w:p>
        </w:tc>
        <w:tc>
          <w:tcPr>
            <w:tcW w:w="414" w:type="pct"/>
            <w:tcBorders>
              <w:top w:val="nil"/>
              <w:left w:val="nil"/>
              <w:bottom w:val="nil"/>
              <w:right w:val="nil"/>
            </w:tcBorders>
            <w:noWrap/>
            <w:vAlign w:val="center"/>
            <w:hideMark/>
          </w:tcPr>
          <w:p w14:paraId="15B37AB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1,354</w:t>
            </w:r>
          </w:p>
        </w:tc>
        <w:tc>
          <w:tcPr>
            <w:tcW w:w="414" w:type="pct"/>
            <w:tcBorders>
              <w:top w:val="nil"/>
              <w:left w:val="nil"/>
              <w:bottom w:val="nil"/>
              <w:right w:val="nil"/>
            </w:tcBorders>
            <w:noWrap/>
            <w:vAlign w:val="center"/>
            <w:hideMark/>
          </w:tcPr>
          <w:p w14:paraId="21773F0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1,453</w:t>
            </w:r>
          </w:p>
        </w:tc>
        <w:tc>
          <w:tcPr>
            <w:tcW w:w="414" w:type="pct"/>
            <w:tcBorders>
              <w:top w:val="nil"/>
              <w:left w:val="nil"/>
              <w:bottom w:val="nil"/>
              <w:right w:val="nil"/>
            </w:tcBorders>
            <w:noWrap/>
            <w:vAlign w:val="center"/>
            <w:hideMark/>
          </w:tcPr>
          <w:p w14:paraId="76B8ED9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1,510</w:t>
            </w:r>
          </w:p>
        </w:tc>
        <w:tc>
          <w:tcPr>
            <w:tcW w:w="414" w:type="pct"/>
            <w:tcBorders>
              <w:top w:val="nil"/>
              <w:left w:val="nil"/>
              <w:bottom w:val="nil"/>
              <w:right w:val="nil"/>
            </w:tcBorders>
            <w:noWrap/>
            <w:vAlign w:val="center"/>
            <w:hideMark/>
          </w:tcPr>
          <w:p w14:paraId="2F80A19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1,570</w:t>
            </w:r>
          </w:p>
        </w:tc>
        <w:tc>
          <w:tcPr>
            <w:tcW w:w="414" w:type="pct"/>
            <w:tcBorders>
              <w:top w:val="nil"/>
              <w:left w:val="nil"/>
              <w:bottom w:val="nil"/>
              <w:right w:val="nil"/>
            </w:tcBorders>
            <w:noWrap/>
            <w:vAlign w:val="center"/>
            <w:hideMark/>
          </w:tcPr>
          <w:p w14:paraId="74C3D39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1,632</w:t>
            </w:r>
          </w:p>
        </w:tc>
        <w:tc>
          <w:tcPr>
            <w:tcW w:w="414" w:type="pct"/>
            <w:tcBorders>
              <w:top w:val="nil"/>
              <w:left w:val="nil"/>
              <w:bottom w:val="nil"/>
              <w:right w:val="nil"/>
            </w:tcBorders>
            <w:noWrap/>
            <w:vAlign w:val="center"/>
            <w:hideMark/>
          </w:tcPr>
          <w:p w14:paraId="1798B7A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1,696</w:t>
            </w:r>
          </w:p>
        </w:tc>
        <w:tc>
          <w:tcPr>
            <w:tcW w:w="414" w:type="pct"/>
            <w:tcBorders>
              <w:top w:val="nil"/>
              <w:left w:val="nil"/>
              <w:bottom w:val="nil"/>
              <w:right w:val="nil"/>
            </w:tcBorders>
            <w:noWrap/>
            <w:vAlign w:val="center"/>
            <w:hideMark/>
          </w:tcPr>
          <w:p w14:paraId="58CB125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1,763</w:t>
            </w:r>
          </w:p>
        </w:tc>
        <w:tc>
          <w:tcPr>
            <w:tcW w:w="414" w:type="pct"/>
            <w:tcBorders>
              <w:top w:val="nil"/>
              <w:left w:val="nil"/>
              <w:bottom w:val="nil"/>
              <w:right w:val="nil"/>
            </w:tcBorders>
            <w:noWrap/>
            <w:vAlign w:val="center"/>
            <w:hideMark/>
          </w:tcPr>
          <w:p w14:paraId="018B205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1,832</w:t>
            </w:r>
          </w:p>
        </w:tc>
        <w:tc>
          <w:tcPr>
            <w:tcW w:w="414" w:type="pct"/>
            <w:tcBorders>
              <w:top w:val="nil"/>
              <w:left w:val="nil"/>
              <w:bottom w:val="nil"/>
              <w:right w:val="nil"/>
            </w:tcBorders>
            <w:noWrap/>
            <w:vAlign w:val="center"/>
            <w:hideMark/>
          </w:tcPr>
          <w:p w14:paraId="5164A52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1,905</w:t>
            </w:r>
          </w:p>
        </w:tc>
      </w:tr>
      <w:tr w:rsidR="003316E8" w:rsidRPr="000F7A56" w14:paraId="660E4C18" w14:textId="77777777" w:rsidTr="003316E8">
        <w:trPr>
          <w:trHeight w:val="225"/>
        </w:trPr>
        <w:tc>
          <w:tcPr>
            <w:tcW w:w="861" w:type="pct"/>
            <w:gridSpan w:val="2"/>
            <w:tcBorders>
              <w:top w:val="nil"/>
              <w:left w:val="nil"/>
              <w:bottom w:val="nil"/>
              <w:right w:val="nil"/>
            </w:tcBorders>
            <w:shd w:val="clear" w:color="000000" w:fill="DAE9F8"/>
            <w:noWrap/>
            <w:vAlign w:val="bottom"/>
            <w:hideMark/>
          </w:tcPr>
          <w:p w14:paraId="169F19A6" w14:textId="77777777" w:rsidR="000F7A56" w:rsidRPr="000F7A56" w:rsidRDefault="000F7A56" w:rsidP="000F7A56">
            <w:pPr>
              <w:spacing w:before="0" w:after="0"/>
              <w:rPr>
                <w:rFonts w:ascii="Arial" w:hAnsi="Arial" w:cs="Arial"/>
                <w:sz w:val="16"/>
                <w:szCs w:val="16"/>
              </w:rPr>
            </w:pPr>
            <w:r w:rsidRPr="000F7A56">
              <w:rPr>
                <w:rFonts w:ascii="Arial" w:hAnsi="Arial" w:cs="Arial"/>
                <w:sz w:val="16"/>
                <w:szCs w:val="16"/>
              </w:rPr>
              <w:t>Permanent - Part time</w:t>
            </w:r>
          </w:p>
        </w:tc>
        <w:tc>
          <w:tcPr>
            <w:tcW w:w="414" w:type="pct"/>
            <w:tcBorders>
              <w:top w:val="nil"/>
              <w:left w:val="nil"/>
              <w:bottom w:val="nil"/>
              <w:right w:val="nil"/>
            </w:tcBorders>
            <w:shd w:val="clear" w:color="000000" w:fill="DAE9F8"/>
            <w:noWrap/>
            <w:vAlign w:val="center"/>
            <w:hideMark/>
          </w:tcPr>
          <w:p w14:paraId="70A7A44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636</w:t>
            </w:r>
          </w:p>
        </w:tc>
        <w:tc>
          <w:tcPr>
            <w:tcW w:w="414" w:type="pct"/>
            <w:tcBorders>
              <w:top w:val="nil"/>
              <w:left w:val="nil"/>
              <w:bottom w:val="nil"/>
              <w:right w:val="nil"/>
            </w:tcBorders>
            <w:shd w:val="clear" w:color="000000" w:fill="DAE9F8"/>
            <w:noWrap/>
            <w:vAlign w:val="center"/>
            <w:hideMark/>
          </w:tcPr>
          <w:p w14:paraId="6A565A1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683</w:t>
            </w:r>
          </w:p>
        </w:tc>
        <w:tc>
          <w:tcPr>
            <w:tcW w:w="414" w:type="pct"/>
            <w:tcBorders>
              <w:top w:val="nil"/>
              <w:left w:val="nil"/>
              <w:bottom w:val="nil"/>
              <w:right w:val="nil"/>
            </w:tcBorders>
            <w:shd w:val="clear" w:color="000000" w:fill="DAE9F8"/>
            <w:noWrap/>
            <w:vAlign w:val="center"/>
            <w:hideMark/>
          </w:tcPr>
          <w:p w14:paraId="0DCAE89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733</w:t>
            </w:r>
          </w:p>
        </w:tc>
        <w:tc>
          <w:tcPr>
            <w:tcW w:w="414" w:type="pct"/>
            <w:tcBorders>
              <w:top w:val="nil"/>
              <w:left w:val="nil"/>
              <w:bottom w:val="nil"/>
              <w:right w:val="nil"/>
            </w:tcBorders>
            <w:shd w:val="clear" w:color="000000" w:fill="DAE9F8"/>
            <w:noWrap/>
            <w:vAlign w:val="center"/>
            <w:hideMark/>
          </w:tcPr>
          <w:p w14:paraId="3C4ABB1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762</w:t>
            </w:r>
          </w:p>
        </w:tc>
        <w:tc>
          <w:tcPr>
            <w:tcW w:w="414" w:type="pct"/>
            <w:tcBorders>
              <w:top w:val="nil"/>
              <w:left w:val="nil"/>
              <w:bottom w:val="nil"/>
              <w:right w:val="nil"/>
            </w:tcBorders>
            <w:shd w:val="clear" w:color="000000" w:fill="DAE9F8"/>
            <w:noWrap/>
            <w:vAlign w:val="center"/>
            <w:hideMark/>
          </w:tcPr>
          <w:p w14:paraId="19F7EBA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792</w:t>
            </w:r>
          </w:p>
        </w:tc>
        <w:tc>
          <w:tcPr>
            <w:tcW w:w="414" w:type="pct"/>
            <w:tcBorders>
              <w:top w:val="nil"/>
              <w:left w:val="nil"/>
              <w:bottom w:val="nil"/>
              <w:right w:val="nil"/>
            </w:tcBorders>
            <w:shd w:val="clear" w:color="000000" w:fill="DAE9F8"/>
            <w:noWrap/>
            <w:vAlign w:val="center"/>
            <w:hideMark/>
          </w:tcPr>
          <w:p w14:paraId="5717082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823</w:t>
            </w:r>
          </w:p>
        </w:tc>
        <w:tc>
          <w:tcPr>
            <w:tcW w:w="414" w:type="pct"/>
            <w:tcBorders>
              <w:top w:val="nil"/>
              <w:left w:val="nil"/>
              <w:bottom w:val="nil"/>
              <w:right w:val="nil"/>
            </w:tcBorders>
            <w:shd w:val="clear" w:color="000000" w:fill="DAE9F8"/>
            <w:noWrap/>
            <w:vAlign w:val="center"/>
            <w:hideMark/>
          </w:tcPr>
          <w:p w14:paraId="29A1A94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855</w:t>
            </w:r>
          </w:p>
        </w:tc>
        <w:tc>
          <w:tcPr>
            <w:tcW w:w="414" w:type="pct"/>
            <w:tcBorders>
              <w:top w:val="nil"/>
              <w:left w:val="nil"/>
              <w:bottom w:val="nil"/>
              <w:right w:val="nil"/>
            </w:tcBorders>
            <w:shd w:val="clear" w:color="000000" w:fill="DAE9F8"/>
            <w:noWrap/>
            <w:vAlign w:val="center"/>
            <w:hideMark/>
          </w:tcPr>
          <w:p w14:paraId="39E6BC3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889</w:t>
            </w:r>
          </w:p>
        </w:tc>
        <w:tc>
          <w:tcPr>
            <w:tcW w:w="414" w:type="pct"/>
            <w:tcBorders>
              <w:top w:val="nil"/>
              <w:left w:val="nil"/>
              <w:bottom w:val="nil"/>
              <w:right w:val="nil"/>
            </w:tcBorders>
            <w:shd w:val="clear" w:color="000000" w:fill="DAE9F8"/>
            <w:noWrap/>
            <w:vAlign w:val="center"/>
            <w:hideMark/>
          </w:tcPr>
          <w:p w14:paraId="63D04EA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924</w:t>
            </w:r>
          </w:p>
        </w:tc>
        <w:tc>
          <w:tcPr>
            <w:tcW w:w="414" w:type="pct"/>
            <w:tcBorders>
              <w:top w:val="nil"/>
              <w:left w:val="nil"/>
              <w:bottom w:val="nil"/>
              <w:right w:val="nil"/>
            </w:tcBorders>
            <w:shd w:val="clear" w:color="000000" w:fill="DAE9F8"/>
            <w:noWrap/>
            <w:vAlign w:val="center"/>
            <w:hideMark/>
          </w:tcPr>
          <w:p w14:paraId="4965EBA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961</w:t>
            </w:r>
          </w:p>
        </w:tc>
      </w:tr>
      <w:tr w:rsidR="000F7A56" w:rsidRPr="000F7A56" w14:paraId="092942B1" w14:textId="77777777" w:rsidTr="003316E8">
        <w:trPr>
          <w:trHeight w:val="225"/>
        </w:trPr>
        <w:tc>
          <w:tcPr>
            <w:tcW w:w="770" w:type="pct"/>
            <w:tcBorders>
              <w:top w:val="nil"/>
              <w:left w:val="nil"/>
              <w:bottom w:val="nil"/>
              <w:right w:val="nil"/>
            </w:tcBorders>
            <w:noWrap/>
            <w:vAlign w:val="bottom"/>
            <w:hideMark/>
          </w:tcPr>
          <w:p w14:paraId="4D8A1A2C"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Women</w:t>
            </w:r>
          </w:p>
        </w:tc>
        <w:tc>
          <w:tcPr>
            <w:tcW w:w="92" w:type="pct"/>
            <w:tcBorders>
              <w:top w:val="nil"/>
              <w:left w:val="nil"/>
              <w:bottom w:val="nil"/>
              <w:right w:val="nil"/>
            </w:tcBorders>
            <w:noWrap/>
            <w:vAlign w:val="bottom"/>
            <w:hideMark/>
          </w:tcPr>
          <w:p w14:paraId="461AE193"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104CAB3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499</w:t>
            </w:r>
          </w:p>
        </w:tc>
        <w:tc>
          <w:tcPr>
            <w:tcW w:w="414" w:type="pct"/>
            <w:tcBorders>
              <w:top w:val="nil"/>
              <w:left w:val="nil"/>
              <w:bottom w:val="nil"/>
              <w:right w:val="nil"/>
            </w:tcBorders>
            <w:noWrap/>
            <w:vAlign w:val="center"/>
            <w:hideMark/>
          </w:tcPr>
          <w:p w14:paraId="6850CBD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536</w:t>
            </w:r>
          </w:p>
        </w:tc>
        <w:tc>
          <w:tcPr>
            <w:tcW w:w="414" w:type="pct"/>
            <w:tcBorders>
              <w:top w:val="nil"/>
              <w:left w:val="nil"/>
              <w:bottom w:val="nil"/>
              <w:right w:val="nil"/>
            </w:tcBorders>
            <w:noWrap/>
            <w:vAlign w:val="center"/>
            <w:hideMark/>
          </w:tcPr>
          <w:p w14:paraId="7EA820A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575</w:t>
            </w:r>
          </w:p>
        </w:tc>
        <w:tc>
          <w:tcPr>
            <w:tcW w:w="414" w:type="pct"/>
            <w:tcBorders>
              <w:top w:val="nil"/>
              <w:left w:val="nil"/>
              <w:bottom w:val="nil"/>
              <w:right w:val="nil"/>
            </w:tcBorders>
            <w:noWrap/>
            <w:vAlign w:val="center"/>
            <w:hideMark/>
          </w:tcPr>
          <w:p w14:paraId="12F8F5E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598</w:t>
            </w:r>
          </w:p>
        </w:tc>
        <w:tc>
          <w:tcPr>
            <w:tcW w:w="414" w:type="pct"/>
            <w:tcBorders>
              <w:top w:val="nil"/>
              <w:left w:val="nil"/>
              <w:bottom w:val="nil"/>
              <w:right w:val="nil"/>
            </w:tcBorders>
            <w:noWrap/>
            <w:vAlign w:val="center"/>
            <w:hideMark/>
          </w:tcPr>
          <w:p w14:paraId="73FDFC3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621</w:t>
            </w:r>
          </w:p>
        </w:tc>
        <w:tc>
          <w:tcPr>
            <w:tcW w:w="414" w:type="pct"/>
            <w:tcBorders>
              <w:top w:val="nil"/>
              <w:left w:val="nil"/>
              <w:bottom w:val="nil"/>
              <w:right w:val="nil"/>
            </w:tcBorders>
            <w:noWrap/>
            <w:vAlign w:val="center"/>
            <w:hideMark/>
          </w:tcPr>
          <w:p w14:paraId="71C2131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646</w:t>
            </w:r>
          </w:p>
        </w:tc>
        <w:tc>
          <w:tcPr>
            <w:tcW w:w="414" w:type="pct"/>
            <w:tcBorders>
              <w:top w:val="nil"/>
              <w:left w:val="nil"/>
              <w:bottom w:val="nil"/>
              <w:right w:val="nil"/>
            </w:tcBorders>
            <w:noWrap/>
            <w:vAlign w:val="center"/>
            <w:hideMark/>
          </w:tcPr>
          <w:p w14:paraId="3D6320E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671</w:t>
            </w:r>
          </w:p>
        </w:tc>
        <w:tc>
          <w:tcPr>
            <w:tcW w:w="414" w:type="pct"/>
            <w:tcBorders>
              <w:top w:val="nil"/>
              <w:left w:val="nil"/>
              <w:bottom w:val="nil"/>
              <w:right w:val="nil"/>
            </w:tcBorders>
            <w:noWrap/>
            <w:vAlign w:val="center"/>
            <w:hideMark/>
          </w:tcPr>
          <w:p w14:paraId="1EF2767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698</w:t>
            </w:r>
          </w:p>
        </w:tc>
        <w:tc>
          <w:tcPr>
            <w:tcW w:w="414" w:type="pct"/>
            <w:tcBorders>
              <w:top w:val="nil"/>
              <w:left w:val="nil"/>
              <w:bottom w:val="nil"/>
              <w:right w:val="nil"/>
            </w:tcBorders>
            <w:noWrap/>
            <w:vAlign w:val="center"/>
            <w:hideMark/>
          </w:tcPr>
          <w:p w14:paraId="56B79BA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725</w:t>
            </w:r>
          </w:p>
        </w:tc>
        <w:tc>
          <w:tcPr>
            <w:tcW w:w="414" w:type="pct"/>
            <w:tcBorders>
              <w:top w:val="nil"/>
              <w:left w:val="nil"/>
              <w:bottom w:val="nil"/>
              <w:right w:val="nil"/>
            </w:tcBorders>
            <w:noWrap/>
            <w:vAlign w:val="center"/>
            <w:hideMark/>
          </w:tcPr>
          <w:p w14:paraId="5CDC43F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754</w:t>
            </w:r>
          </w:p>
        </w:tc>
      </w:tr>
      <w:tr w:rsidR="000F7A56" w:rsidRPr="000F7A56" w14:paraId="6FA2E793" w14:textId="77777777" w:rsidTr="003316E8">
        <w:trPr>
          <w:trHeight w:val="225"/>
        </w:trPr>
        <w:tc>
          <w:tcPr>
            <w:tcW w:w="770" w:type="pct"/>
            <w:tcBorders>
              <w:top w:val="nil"/>
              <w:left w:val="nil"/>
              <w:bottom w:val="nil"/>
              <w:right w:val="nil"/>
            </w:tcBorders>
            <w:noWrap/>
            <w:vAlign w:val="bottom"/>
            <w:hideMark/>
          </w:tcPr>
          <w:p w14:paraId="0EF0247F"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 xml:space="preserve">Men </w:t>
            </w:r>
          </w:p>
        </w:tc>
        <w:tc>
          <w:tcPr>
            <w:tcW w:w="92" w:type="pct"/>
            <w:tcBorders>
              <w:top w:val="nil"/>
              <w:left w:val="nil"/>
              <w:bottom w:val="nil"/>
              <w:right w:val="nil"/>
            </w:tcBorders>
            <w:noWrap/>
            <w:vAlign w:val="bottom"/>
            <w:hideMark/>
          </w:tcPr>
          <w:p w14:paraId="2DB4C559"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0B03BD6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72</w:t>
            </w:r>
          </w:p>
        </w:tc>
        <w:tc>
          <w:tcPr>
            <w:tcW w:w="414" w:type="pct"/>
            <w:tcBorders>
              <w:top w:val="nil"/>
              <w:left w:val="nil"/>
              <w:bottom w:val="nil"/>
              <w:right w:val="nil"/>
            </w:tcBorders>
            <w:noWrap/>
            <w:vAlign w:val="center"/>
            <w:hideMark/>
          </w:tcPr>
          <w:p w14:paraId="2986CD2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77</w:t>
            </w:r>
          </w:p>
        </w:tc>
        <w:tc>
          <w:tcPr>
            <w:tcW w:w="414" w:type="pct"/>
            <w:tcBorders>
              <w:top w:val="nil"/>
              <w:left w:val="nil"/>
              <w:bottom w:val="nil"/>
              <w:right w:val="nil"/>
            </w:tcBorders>
            <w:noWrap/>
            <w:vAlign w:val="center"/>
            <w:hideMark/>
          </w:tcPr>
          <w:p w14:paraId="337805E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83</w:t>
            </w:r>
          </w:p>
        </w:tc>
        <w:tc>
          <w:tcPr>
            <w:tcW w:w="414" w:type="pct"/>
            <w:tcBorders>
              <w:top w:val="nil"/>
              <w:left w:val="nil"/>
              <w:bottom w:val="nil"/>
              <w:right w:val="nil"/>
            </w:tcBorders>
            <w:noWrap/>
            <w:vAlign w:val="center"/>
            <w:hideMark/>
          </w:tcPr>
          <w:p w14:paraId="1E86B75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86</w:t>
            </w:r>
          </w:p>
        </w:tc>
        <w:tc>
          <w:tcPr>
            <w:tcW w:w="414" w:type="pct"/>
            <w:tcBorders>
              <w:top w:val="nil"/>
              <w:left w:val="nil"/>
              <w:bottom w:val="nil"/>
              <w:right w:val="nil"/>
            </w:tcBorders>
            <w:noWrap/>
            <w:vAlign w:val="center"/>
            <w:hideMark/>
          </w:tcPr>
          <w:p w14:paraId="3133A72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90</w:t>
            </w:r>
          </w:p>
        </w:tc>
        <w:tc>
          <w:tcPr>
            <w:tcW w:w="414" w:type="pct"/>
            <w:tcBorders>
              <w:top w:val="nil"/>
              <w:left w:val="nil"/>
              <w:bottom w:val="nil"/>
              <w:right w:val="nil"/>
            </w:tcBorders>
            <w:noWrap/>
            <w:vAlign w:val="center"/>
            <w:hideMark/>
          </w:tcPr>
          <w:p w14:paraId="25A1096B"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93</w:t>
            </w:r>
          </w:p>
        </w:tc>
        <w:tc>
          <w:tcPr>
            <w:tcW w:w="414" w:type="pct"/>
            <w:tcBorders>
              <w:top w:val="nil"/>
              <w:left w:val="nil"/>
              <w:bottom w:val="nil"/>
              <w:right w:val="nil"/>
            </w:tcBorders>
            <w:noWrap/>
            <w:vAlign w:val="center"/>
            <w:hideMark/>
          </w:tcPr>
          <w:p w14:paraId="2DF31DD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97</w:t>
            </w:r>
          </w:p>
        </w:tc>
        <w:tc>
          <w:tcPr>
            <w:tcW w:w="414" w:type="pct"/>
            <w:tcBorders>
              <w:top w:val="nil"/>
              <w:left w:val="nil"/>
              <w:bottom w:val="nil"/>
              <w:right w:val="nil"/>
            </w:tcBorders>
            <w:noWrap/>
            <w:vAlign w:val="center"/>
            <w:hideMark/>
          </w:tcPr>
          <w:p w14:paraId="62CBD3D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101</w:t>
            </w:r>
          </w:p>
        </w:tc>
        <w:tc>
          <w:tcPr>
            <w:tcW w:w="414" w:type="pct"/>
            <w:tcBorders>
              <w:top w:val="nil"/>
              <w:left w:val="nil"/>
              <w:bottom w:val="nil"/>
              <w:right w:val="nil"/>
            </w:tcBorders>
            <w:noWrap/>
            <w:vAlign w:val="center"/>
            <w:hideMark/>
          </w:tcPr>
          <w:p w14:paraId="408B7F3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105</w:t>
            </w:r>
          </w:p>
        </w:tc>
        <w:tc>
          <w:tcPr>
            <w:tcW w:w="414" w:type="pct"/>
            <w:tcBorders>
              <w:top w:val="nil"/>
              <w:left w:val="nil"/>
              <w:bottom w:val="nil"/>
              <w:right w:val="nil"/>
            </w:tcBorders>
            <w:noWrap/>
            <w:vAlign w:val="center"/>
            <w:hideMark/>
          </w:tcPr>
          <w:p w14:paraId="429BD76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109</w:t>
            </w:r>
          </w:p>
        </w:tc>
      </w:tr>
      <w:tr w:rsidR="000F7A56" w:rsidRPr="000F7A56" w14:paraId="183CCADD" w14:textId="77777777" w:rsidTr="003316E8">
        <w:trPr>
          <w:trHeight w:val="225"/>
        </w:trPr>
        <w:tc>
          <w:tcPr>
            <w:tcW w:w="770" w:type="pct"/>
            <w:tcBorders>
              <w:top w:val="nil"/>
              <w:left w:val="nil"/>
              <w:bottom w:val="nil"/>
              <w:right w:val="nil"/>
            </w:tcBorders>
            <w:noWrap/>
            <w:vAlign w:val="bottom"/>
            <w:hideMark/>
          </w:tcPr>
          <w:p w14:paraId="579AE0D8"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Persons of self-described gender</w:t>
            </w:r>
          </w:p>
        </w:tc>
        <w:tc>
          <w:tcPr>
            <w:tcW w:w="92" w:type="pct"/>
            <w:tcBorders>
              <w:top w:val="nil"/>
              <w:left w:val="nil"/>
              <w:bottom w:val="nil"/>
              <w:right w:val="nil"/>
            </w:tcBorders>
            <w:noWrap/>
            <w:vAlign w:val="bottom"/>
            <w:hideMark/>
          </w:tcPr>
          <w:p w14:paraId="6BB0B4C7"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75142F3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264A48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A07BA0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6577D41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10F54E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438519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7F9F18D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15891480"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46E43A0E"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3C9416D5"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r>
      <w:tr w:rsidR="000F7A56" w:rsidRPr="000F7A56" w14:paraId="54A53AED" w14:textId="77777777" w:rsidTr="003316E8">
        <w:trPr>
          <w:trHeight w:val="225"/>
        </w:trPr>
        <w:tc>
          <w:tcPr>
            <w:tcW w:w="770" w:type="pct"/>
            <w:tcBorders>
              <w:top w:val="nil"/>
              <w:left w:val="nil"/>
              <w:bottom w:val="nil"/>
              <w:right w:val="nil"/>
            </w:tcBorders>
            <w:noWrap/>
            <w:vAlign w:val="bottom"/>
            <w:hideMark/>
          </w:tcPr>
          <w:p w14:paraId="6F3F3FD2"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Vacant positions</w:t>
            </w:r>
          </w:p>
        </w:tc>
        <w:tc>
          <w:tcPr>
            <w:tcW w:w="92" w:type="pct"/>
            <w:tcBorders>
              <w:top w:val="nil"/>
              <w:left w:val="nil"/>
              <w:bottom w:val="nil"/>
              <w:right w:val="nil"/>
            </w:tcBorders>
            <w:noWrap/>
            <w:vAlign w:val="bottom"/>
            <w:hideMark/>
          </w:tcPr>
          <w:p w14:paraId="68805CB0"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1F70C07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65</w:t>
            </w:r>
          </w:p>
        </w:tc>
        <w:tc>
          <w:tcPr>
            <w:tcW w:w="414" w:type="pct"/>
            <w:tcBorders>
              <w:top w:val="nil"/>
              <w:left w:val="nil"/>
              <w:bottom w:val="nil"/>
              <w:right w:val="nil"/>
            </w:tcBorders>
            <w:noWrap/>
            <w:vAlign w:val="center"/>
            <w:hideMark/>
          </w:tcPr>
          <w:p w14:paraId="4393E6E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70</w:t>
            </w:r>
          </w:p>
        </w:tc>
        <w:tc>
          <w:tcPr>
            <w:tcW w:w="414" w:type="pct"/>
            <w:tcBorders>
              <w:top w:val="nil"/>
              <w:left w:val="nil"/>
              <w:bottom w:val="nil"/>
              <w:right w:val="nil"/>
            </w:tcBorders>
            <w:noWrap/>
            <w:vAlign w:val="center"/>
            <w:hideMark/>
          </w:tcPr>
          <w:p w14:paraId="1C0EE23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75</w:t>
            </w:r>
          </w:p>
        </w:tc>
        <w:tc>
          <w:tcPr>
            <w:tcW w:w="414" w:type="pct"/>
            <w:tcBorders>
              <w:top w:val="nil"/>
              <w:left w:val="nil"/>
              <w:bottom w:val="nil"/>
              <w:right w:val="nil"/>
            </w:tcBorders>
            <w:noWrap/>
            <w:vAlign w:val="center"/>
            <w:hideMark/>
          </w:tcPr>
          <w:p w14:paraId="020878A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78</w:t>
            </w:r>
          </w:p>
        </w:tc>
        <w:tc>
          <w:tcPr>
            <w:tcW w:w="414" w:type="pct"/>
            <w:tcBorders>
              <w:top w:val="nil"/>
              <w:left w:val="nil"/>
              <w:bottom w:val="nil"/>
              <w:right w:val="nil"/>
            </w:tcBorders>
            <w:noWrap/>
            <w:vAlign w:val="center"/>
            <w:hideMark/>
          </w:tcPr>
          <w:p w14:paraId="1A0A368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81</w:t>
            </w:r>
          </w:p>
        </w:tc>
        <w:tc>
          <w:tcPr>
            <w:tcW w:w="414" w:type="pct"/>
            <w:tcBorders>
              <w:top w:val="nil"/>
              <w:left w:val="nil"/>
              <w:bottom w:val="nil"/>
              <w:right w:val="nil"/>
            </w:tcBorders>
            <w:noWrap/>
            <w:vAlign w:val="center"/>
            <w:hideMark/>
          </w:tcPr>
          <w:p w14:paraId="14DA9CE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84</w:t>
            </w:r>
          </w:p>
        </w:tc>
        <w:tc>
          <w:tcPr>
            <w:tcW w:w="414" w:type="pct"/>
            <w:tcBorders>
              <w:top w:val="nil"/>
              <w:left w:val="nil"/>
              <w:bottom w:val="nil"/>
              <w:right w:val="nil"/>
            </w:tcBorders>
            <w:noWrap/>
            <w:vAlign w:val="center"/>
            <w:hideMark/>
          </w:tcPr>
          <w:p w14:paraId="21C336A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87</w:t>
            </w:r>
          </w:p>
        </w:tc>
        <w:tc>
          <w:tcPr>
            <w:tcW w:w="414" w:type="pct"/>
            <w:tcBorders>
              <w:top w:val="nil"/>
              <w:left w:val="nil"/>
              <w:bottom w:val="nil"/>
              <w:right w:val="nil"/>
            </w:tcBorders>
            <w:noWrap/>
            <w:vAlign w:val="center"/>
            <w:hideMark/>
          </w:tcPr>
          <w:p w14:paraId="591520A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91</w:t>
            </w:r>
          </w:p>
        </w:tc>
        <w:tc>
          <w:tcPr>
            <w:tcW w:w="414" w:type="pct"/>
            <w:tcBorders>
              <w:top w:val="nil"/>
              <w:left w:val="nil"/>
              <w:bottom w:val="nil"/>
              <w:right w:val="nil"/>
            </w:tcBorders>
            <w:noWrap/>
            <w:vAlign w:val="center"/>
            <w:hideMark/>
          </w:tcPr>
          <w:p w14:paraId="1A927B0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94</w:t>
            </w:r>
          </w:p>
        </w:tc>
        <w:tc>
          <w:tcPr>
            <w:tcW w:w="414" w:type="pct"/>
            <w:tcBorders>
              <w:top w:val="nil"/>
              <w:left w:val="nil"/>
              <w:bottom w:val="nil"/>
              <w:right w:val="nil"/>
            </w:tcBorders>
            <w:noWrap/>
            <w:vAlign w:val="center"/>
            <w:hideMark/>
          </w:tcPr>
          <w:p w14:paraId="0086F65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98</w:t>
            </w:r>
          </w:p>
        </w:tc>
      </w:tr>
      <w:tr w:rsidR="000F7A56" w:rsidRPr="000F7A56" w14:paraId="2C915042" w14:textId="77777777" w:rsidTr="003316E8">
        <w:trPr>
          <w:trHeight w:val="225"/>
        </w:trPr>
        <w:tc>
          <w:tcPr>
            <w:tcW w:w="770" w:type="pct"/>
            <w:tcBorders>
              <w:top w:val="nil"/>
              <w:left w:val="nil"/>
              <w:bottom w:val="nil"/>
              <w:right w:val="nil"/>
            </w:tcBorders>
            <w:noWrap/>
            <w:vAlign w:val="bottom"/>
            <w:hideMark/>
          </w:tcPr>
          <w:p w14:paraId="61D26F56" w14:textId="77777777" w:rsidR="000F7A56" w:rsidRPr="000F7A56" w:rsidRDefault="000F7A56" w:rsidP="000F7A56">
            <w:pPr>
              <w:spacing w:before="0" w:after="0"/>
              <w:ind w:firstLineChars="100" w:firstLine="160"/>
              <w:rPr>
                <w:rFonts w:ascii="Arial" w:hAnsi="Arial" w:cs="Arial"/>
                <w:sz w:val="16"/>
                <w:szCs w:val="16"/>
              </w:rPr>
            </w:pPr>
            <w:r w:rsidRPr="000F7A56">
              <w:rPr>
                <w:rFonts w:ascii="Arial" w:hAnsi="Arial" w:cs="Arial"/>
                <w:sz w:val="16"/>
                <w:szCs w:val="16"/>
              </w:rPr>
              <w:t>New positions</w:t>
            </w:r>
          </w:p>
        </w:tc>
        <w:tc>
          <w:tcPr>
            <w:tcW w:w="92" w:type="pct"/>
            <w:tcBorders>
              <w:top w:val="nil"/>
              <w:left w:val="nil"/>
              <w:bottom w:val="nil"/>
              <w:right w:val="nil"/>
            </w:tcBorders>
            <w:noWrap/>
            <w:vAlign w:val="bottom"/>
            <w:hideMark/>
          </w:tcPr>
          <w:p w14:paraId="6106285B" w14:textId="77777777" w:rsidR="000F7A56" w:rsidRPr="000F7A56" w:rsidRDefault="000F7A56" w:rsidP="000F7A56">
            <w:pPr>
              <w:spacing w:before="0" w:after="0"/>
              <w:ind w:firstLineChars="100" w:firstLine="160"/>
              <w:rPr>
                <w:rFonts w:ascii="Arial" w:hAnsi="Arial" w:cs="Arial"/>
                <w:sz w:val="16"/>
                <w:szCs w:val="16"/>
              </w:rPr>
            </w:pPr>
          </w:p>
        </w:tc>
        <w:tc>
          <w:tcPr>
            <w:tcW w:w="414" w:type="pct"/>
            <w:tcBorders>
              <w:top w:val="nil"/>
              <w:left w:val="nil"/>
              <w:bottom w:val="nil"/>
              <w:right w:val="nil"/>
            </w:tcBorders>
            <w:noWrap/>
            <w:vAlign w:val="center"/>
            <w:hideMark/>
          </w:tcPr>
          <w:p w14:paraId="44471D6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773FB2E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61C075B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2F70766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87AF22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6FA7DC5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15BCD53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084C702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777670F6"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c>
          <w:tcPr>
            <w:tcW w:w="414" w:type="pct"/>
            <w:tcBorders>
              <w:top w:val="nil"/>
              <w:left w:val="nil"/>
              <w:bottom w:val="nil"/>
              <w:right w:val="nil"/>
            </w:tcBorders>
            <w:noWrap/>
            <w:vAlign w:val="center"/>
            <w:hideMark/>
          </w:tcPr>
          <w:p w14:paraId="15D8787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0</w:t>
            </w:r>
          </w:p>
        </w:tc>
      </w:tr>
      <w:tr w:rsidR="000F7A56" w:rsidRPr="000F7A56" w14:paraId="3FC16F9A" w14:textId="77777777" w:rsidTr="003316E8">
        <w:trPr>
          <w:trHeight w:val="225"/>
        </w:trPr>
        <w:tc>
          <w:tcPr>
            <w:tcW w:w="861" w:type="pct"/>
            <w:gridSpan w:val="2"/>
            <w:tcBorders>
              <w:top w:val="nil"/>
              <w:left w:val="nil"/>
              <w:bottom w:val="nil"/>
              <w:right w:val="nil"/>
            </w:tcBorders>
            <w:noWrap/>
            <w:vAlign w:val="bottom"/>
            <w:hideMark/>
          </w:tcPr>
          <w:p w14:paraId="5DC0B935"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Total Infrastructure &amp; Environment</w:t>
            </w:r>
          </w:p>
        </w:tc>
        <w:tc>
          <w:tcPr>
            <w:tcW w:w="414" w:type="pct"/>
            <w:tcBorders>
              <w:top w:val="single" w:sz="4" w:space="0" w:color="auto"/>
              <w:left w:val="nil"/>
              <w:bottom w:val="single" w:sz="4" w:space="0" w:color="auto"/>
              <w:right w:val="nil"/>
            </w:tcBorders>
            <w:noWrap/>
            <w:vAlign w:val="center"/>
            <w:hideMark/>
          </w:tcPr>
          <w:p w14:paraId="458E202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19,304</w:t>
            </w:r>
          </w:p>
        </w:tc>
        <w:tc>
          <w:tcPr>
            <w:tcW w:w="414" w:type="pct"/>
            <w:tcBorders>
              <w:top w:val="single" w:sz="4" w:space="0" w:color="auto"/>
              <w:left w:val="nil"/>
              <w:bottom w:val="single" w:sz="4" w:space="0" w:color="auto"/>
              <w:right w:val="nil"/>
            </w:tcBorders>
            <w:noWrap/>
            <w:vAlign w:val="center"/>
            <w:hideMark/>
          </w:tcPr>
          <w:p w14:paraId="7874B30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20,723</w:t>
            </w:r>
          </w:p>
        </w:tc>
        <w:tc>
          <w:tcPr>
            <w:tcW w:w="414" w:type="pct"/>
            <w:tcBorders>
              <w:top w:val="single" w:sz="4" w:space="0" w:color="auto"/>
              <w:left w:val="nil"/>
              <w:bottom w:val="single" w:sz="4" w:space="0" w:color="auto"/>
              <w:right w:val="nil"/>
            </w:tcBorders>
            <w:noWrap/>
            <w:vAlign w:val="center"/>
            <w:hideMark/>
          </w:tcPr>
          <w:p w14:paraId="300560E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22,248</w:t>
            </w:r>
          </w:p>
        </w:tc>
        <w:tc>
          <w:tcPr>
            <w:tcW w:w="414" w:type="pct"/>
            <w:tcBorders>
              <w:top w:val="single" w:sz="4" w:space="0" w:color="auto"/>
              <w:left w:val="nil"/>
              <w:bottom w:val="single" w:sz="4" w:space="0" w:color="auto"/>
              <w:right w:val="nil"/>
            </w:tcBorders>
            <w:noWrap/>
            <w:vAlign w:val="center"/>
            <w:hideMark/>
          </w:tcPr>
          <w:p w14:paraId="596412E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23,123</w:t>
            </w:r>
          </w:p>
        </w:tc>
        <w:tc>
          <w:tcPr>
            <w:tcW w:w="414" w:type="pct"/>
            <w:tcBorders>
              <w:top w:val="single" w:sz="4" w:space="0" w:color="auto"/>
              <w:left w:val="nil"/>
              <w:bottom w:val="single" w:sz="4" w:space="0" w:color="auto"/>
              <w:right w:val="nil"/>
            </w:tcBorders>
            <w:noWrap/>
            <w:vAlign w:val="center"/>
            <w:hideMark/>
          </w:tcPr>
          <w:p w14:paraId="6F36FC17"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24,022</w:t>
            </w:r>
          </w:p>
        </w:tc>
        <w:tc>
          <w:tcPr>
            <w:tcW w:w="414" w:type="pct"/>
            <w:tcBorders>
              <w:top w:val="single" w:sz="4" w:space="0" w:color="auto"/>
              <w:left w:val="nil"/>
              <w:bottom w:val="single" w:sz="4" w:space="0" w:color="auto"/>
              <w:right w:val="nil"/>
            </w:tcBorders>
            <w:noWrap/>
            <w:vAlign w:val="center"/>
            <w:hideMark/>
          </w:tcPr>
          <w:p w14:paraId="2B71F113"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24,958</w:t>
            </w:r>
          </w:p>
        </w:tc>
        <w:tc>
          <w:tcPr>
            <w:tcW w:w="414" w:type="pct"/>
            <w:tcBorders>
              <w:top w:val="single" w:sz="4" w:space="0" w:color="auto"/>
              <w:left w:val="nil"/>
              <w:bottom w:val="single" w:sz="4" w:space="0" w:color="auto"/>
              <w:right w:val="nil"/>
            </w:tcBorders>
            <w:noWrap/>
            <w:vAlign w:val="center"/>
            <w:hideMark/>
          </w:tcPr>
          <w:p w14:paraId="4D3A1CF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25,932</w:t>
            </w:r>
          </w:p>
        </w:tc>
        <w:tc>
          <w:tcPr>
            <w:tcW w:w="414" w:type="pct"/>
            <w:tcBorders>
              <w:top w:val="single" w:sz="4" w:space="0" w:color="auto"/>
              <w:left w:val="nil"/>
              <w:bottom w:val="single" w:sz="4" w:space="0" w:color="auto"/>
              <w:right w:val="nil"/>
            </w:tcBorders>
            <w:noWrap/>
            <w:vAlign w:val="center"/>
            <w:hideMark/>
          </w:tcPr>
          <w:p w14:paraId="497669B4"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26,945</w:t>
            </w:r>
          </w:p>
        </w:tc>
        <w:tc>
          <w:tcPr>
            <w:tcW w:w="414" w:type="pct"/>
            <w:tcBorders>
              <w:top w:val="single" w:sz="4" w:space="0" w:color="auto"/>
              <w:left w:val="nil"/>
              <w:bottom w:val="single" w:sz="4" w:space="0" w:color="auto"/>
              <w:right w:val="nil"/>
            </w:tcBorders>
            <w:noWrap/>
            <w:vAlign w:val="center"/>
            <w:hideMark/>
          </w:tcPr>
          <w:p w14:paraId="5EC1F1C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27,999</w:t>
            </w:r>
          </w:p>
        </w:tc>
        <w:tc>
          <w:tcPr>
            <w:tcW w:w="414" w:type="pct"/>
            <w:tcBorders>
              <w:top w:val="single" w:sz="4" w:space="0" w:color="auto"/>
              <w:left w:val="nil"/>
              <w:bottom w:val="single" w:sz="4" w:space="0" w:color="auto"/>
              <w:right w:val="nil"/>
            </w:tcBorders>
            <w:noWrap/>
            <w:vAlign w:val="center"/>
            <w:hideMark/>
          </w:tcPr>
          <w:p w14:paraId="51658C3A"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29,106</w:t>
            </w:r>
          </w:p>
        </w:tc>
      </w:tr>
      <w:tr w:rsidR="000F7A56" w:rsidRPr="000F7A56" w14:paraId="4EE1CD83" w14:textId="77777777" w:rsidTr="003316E8">
        <w:trPr>
          <w:trHeight w:val="225"/>
        </w:trPr>
        <w:tc>
          <w:tcPr>
            <w:tcW w:w="861" w:type="pct"/>
            <w:gridSpan w:val="2"/>
            <w:tcBorders>
              <w:top w:val="nil"/>
              <w:left w:val="nil"/>
              <w:bottom w:val="nil"/>
              <w:right w:val="nil"/>
            </w:tcBorders>
            <w:noWrap/>
            <w:vAlign w:val="bottom"/>
            <w:hideMark/>
          </w:tcPr>
          <w:p w14:paraId="7AE33B50"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Casuals, temporary and other expenditure</w:t>
            </w:r>
          </w:p>
        </w:tc>
        <w:tc>
          <w:tcPr>
            <w:tcW w:w="414" w:type="pct"/>
            <w:tcBorders>
              <w:top w:val="nil"/>
              <w:left w:val="nil"/>
              <w:bottom w:val="nil"/>
              <w:right w:val="nil"/>
            </w:tcBorders>
            <w:noWrap/>
            <w:vAlign w:val="center"/>
            <w:hideMark/>
          </w:tcPr>
          <w:p w14:paraId="7A675A2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1,679</w:t>
            </w:r>
          </w:p>
        </w:tc>
        <w:tc>
          <w:tcPr>
            <w:tcW w:w="414" w:type="pct"/>
            <w:tcBorders>
              <w:top w:val="nil"/>
              <w:left w:val="nil"/>
              <w:bottom w:val="nil"/>
              <w:right w:val="nil"/>
            </w:tcBorders>
            <w:noWrap/>
            <w:vAlign w:val="center"/>
            <w:hideMark/>
          </w:tcPr>
          <w:p w14:paraId="69F99DB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1,802</w:t>
            </w:r>
          </w:p>
        </w:tc>
        <w:tc>
          <w:tcPr>
            <w:tcW w:w="414" w:type="pct"/>
            <w:tcBorders>
              <w:top w:val="nil"/>
              <w:left w:val="nil"/>
              <w:bottom w:val="nil"/>
              <w:right w:val="nil"/>
            </w:tcBorders>
            <w:noWrap/>
            <w:vAlign w:val="center"/>
            <w:hideMark/>
          </w:tcPr>
          <w:p w14:paraId="282588A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1,935</w:t>
            </w:r>
          </w:p>
        </w:tc>
        <w:tc>
          <w:tcPr>
            <w:tcW w:w="414" w:type="pct"/>
            <w:tcBorders>
              <w:top w:val="nil"/>
              <w:left w:val="nil"/>
              <w:bottom w:val="nil"/>
              <w:right w:val="nil"/>
            </w:tcBorders>
            <w:noWrap/>
            <w:vAlign w:val="center"/>
            <w:hideMark/>
          </w:tcPr>
          <w:p w14:paraId="42F8F19F"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2,011</w:t>
            </w:r>
          </w:p>
        </w:tc>
        <w:tc>
          <w:tcPr>
            <w:tcW w:w="414" w:type="pct"/>
            <w:tcBorders>
              <w:top w:val="nil"/>
              <w:left w:val="nil"/>
              <w:bottom w:val="nil"/>
              <w:right w:val="nil"/>
            </w:tcBorders>
            <w:noWrap/>
            <w:vAlign w:val="center"/>
            <w:hideMark/>
          </w:tcPr>
          <w:p w14:paraId="635A3102"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2,090</w:t>
            </w:r>
          </w:p>
        </w:tc>
        <w:tc>
          <w:tcPr>
            <w:tcW w:w="414" w:type="pct"/>
            <w:tcBorders>
              <w:top w:val="nil"/>
              <w:left w:val="nil"/>
              <w:bottom w:val="nil"/>
              <w:right w:val="nil"/>
            </w:tcBorders>
            <w:noWrap/>
            <w:vAlign w:val="center"/>
            <w:hideMark/>
          </w:tcPr>
          <w:p w14:paraId="1617082C"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2,173</w:t>
            </w:r>
          </w:p>
        </w:tc>
        <w:tc>
          <w:tcPr>
            <w:tcW w:w="414" w:type="pct"/>
            <w:tcBorders>
              <w:top w:val="nil"/>
              <w:left w:val="nil"/>
              <w:bottom w:val="nil"/>
              <w:right w:val="nil"/>
            </w:tcBorders>
            <w:noWrap/>
            <w:vAlign w:val="center"/>
            <w:hideMark/>
          </w:tcPr>
          <w:p w14:paraId="0CA14FC9"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2,258</w:t>
            </w:r>
          </w:p>
        </w:tc>
        <w:tc>
          <w:tcPr>
            <w:tcW w:w="414" w:type="pct"/>
            <w:tcBorders>
              <w:top w:val="nil"/>
              <w:left w:val="nil"/>
              <w:bottom w:val="nil"/>
              <w:right w:val="nil"/>
            </w:tcBorders>
            <w:noWrap/>
            <w:vAlign w:val="center"/>
            <w:hideMark/>
          </w:tcPr>
          <w:p w14:paraId="237E96A8"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2,347</w:t>
            </w:r>
          </w:p>
        </w:tc>
        <w:tc>
          <w:tcPr>
            <w:tcW w:w="414" w:type="pct"/>
            <w:tcBorders>
              <w:top w:val="nil"/>
              <w:left w:val="nil"/>
              <w:bottom w:val="nil"/>
              <w:right w:val="nil"/>
            </w:tcBorders>
            <w:noWrap/>
            <w:vAlign w:val="center"/>
            <w:hideMark/>
          </w:tcPr>
          <w:p w14:paraId="4A666D31"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2,440</w:t>
            </w:r>
          </w:p>
        </w:tc>
        <w:tc>
          <w:tcPr>
            <w:tcW w:w="414" w:type="pct"/>
            <w:tcBorders>
              <w:top w:val="nil"/>
              <w:left w:val="nil"/>
              <w:bottom w:val="nil"/>
              <w:right w:val="nil"/>
            </w:tcBorders>
            <w:noWrap/>
            <w:vAlign w:val="center"/>
            <w:hideMark/>
          </w:tcPr>
          <w:p w14:paraId="5677D98D" w14:textId="7777777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2,536</w:t>
            </w:r>
          </w:p>
        </w:tc>
      </w:tr>
      <w:tr w:rsidR="000F7A56" w:rsidRPr="000F7A56" w14:paraId="27E5A4CF" w14:textId="77777777" w:rsidTr="003316E8">
        <w:trPr>
          <w:trHeight w:val="225"/>
        </w:trPr>
        <w:tc>
          <w:tcPr>
            <w:tcW w:w="770" w:type="pct"/>
            <w:tcBorders>
              <w:top w:val="nil"/>
              <w:left w:val="nil"/>
              <w:bottom w:val="nil"/>
              <w:right w:val="nil"/>
            </w:tcBorders>
            <w:noWrap/>
            <w:vAlign w:val="bottom"/>
            <w:hideMark/>
          </w:tcPr>
          <w:p w14:paraId="47960BE2"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Capitalised labour costs</w:t>
            </w:r>
          </w:p>
        </w:tc>
        <w:tc>
          <w:tcPr>
            <w:tcW w:w="92" w:type="pct"/>
            <w:tcBorders>
              <w:top w:val="nil"/>
              <w:left w:val="nil"/>
              <w:bottom w:val="nil"/>
              <w:right w:val="nil"/>
            </w:tcBorders>
            <w:noWrap/>
            <w:vAlign w:val="bottom"/>
            <w:hideMark/>
          </w:tcPr>
          <w:p w14:paraId="6252A927" w14:textId="77777777" w:rsidR="000F7A56" w:rsidRPr="000F7A56" w:rsidRDefault="000F7A56" w:rsidP="000F7A56">
            <w:pPr>
              <w:spacing w:before="0" w:after="0"/>
              <w:rPr>
                <w:rFonts w:ascii="Arial" w:hAnsi="Arial" w:cs="Arial"/>
                <w:b/>
                <w:bCs/>
                <w:sz w:val="16"/>
                <w:szCs w:val="16"/>
              </w:rPr>
            </w:pPr>
          </w:p>
        </w:tc>
        <w:tc>
          <w:tcPr>
            <w:tcW w:w="414" w:type="pct"/>
            <w:tcBorders>
              <w:top w:val="single" w:sz="4" w:space="0" w:color="auto"/>
              <w:left w:val="nil"/>
              <w:bottom w:val="single" w:sz="4" w:space="0" w:color="auto"/>
              <w:right w:val="nil"/>
            </w:tcBorders>
            <w:noWrap/>
            <w:vAlign w:val="center"/>
            <w:hideMark/>
          </w:tcPr>
          <w:p w14:paraId="18302505" w14:textId="211846BE"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1,399</w:t>
            </w:r>
          </w:p>
        </w:tc>
        <w:tc>
          <w:tcPr>
            <w:tcW w:w="414" w:type="pct"/>
            <w:tcBorders>
              <w:top w:val="single" w:sz="4" w:space="0" w:color="auto"/>
              <w:left w:val="nil"/>
              <w:bottom w:val="single" w:sz="4" w:space="0" w:color="auto"/>
              <w:right w:val="nil"/>
            </w:tcBorders>
            <w:noWrap/>
            <w:vAlign w:val="center"/>
            <w:hideMark/>
          </w:tcPr>
          <w:p w14:paraId="0A090138" w14:textId="37BBADC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1,084</w:t>
            </w:r>
          </w:p>
        </w:tc>
        <w:tc>
          <w:tcPr>
            <w:tcW w:w="414" w:type="pct"/>
            <w:tcBorders>
              <w:top w:val="single" w:sz="4" w:space="0" w:color="auto"/>
              <w:left w:val="nil"/>
              <w:bottom w:val="single" w:sz="4" w:space="0" w:color="auto"/>
              <w:right w:val="nil"/>
            </w:tcBorders>
            <w:noWrap/>
            <w:vAlign w:val="center"/>
            <w:hideMark/>
          </w:tcPr>
          <w:p w14:paraId="16807100" w14:textId="2F5CE6FF"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1,146</w:t>
            </w:r>
          </w:p>
        </w:tc>
        <w:tc>
          <w:tcPr>
            <w:tcW w:w="414" w:type="pct"/>
            <w:tcBorders>
              <w:top w:val="single" w:sz="4" w:space="0" w:color="auto"/>
              <w:left w:val="nil"/>
              <w:bottom w:val="single" w:sz="4" w:space="0" w:color="auto"/>
              <w:right w:val="nil"/>
            </w:tcBorders>
            <w:noWrap/>
            <w:vAlign w:val="center"/>
            <w:hideMark/>
          </w:tcPr>
          <w:p w14:paraId="587BD48E" w14:textId="6DFBE052"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1,162</w:t>
            </w:r>
          </w:p>
        </w:tc>
        <w:tc>
          <w:tcPr>
            <w:tcW w:w="414" w:type="pct"/>
            <w:tcBorders>
              <w:top w:val="single" w:sz="4" w:space="0" w:color="auto"/>
              <w:left w:val="nil"/>
              <w:bottom w:val="single" w:sz="4" w:space="0" w:color="auto"/>
              <w:right w:val="nil"/>
            </w:tcBorders>
            <w:noWrap/>
            <w:vAlign w:val="center"/>
            <w:hideMark/>
          </w:tcPr>
          <w:p w14:paraId="21963756" w14:textId="2275515E"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1,057</w:t>
            </w:r>
          </w:p>
        </w:tc>
        <w:tc>
          <w:tcPr>
            <w:tcW w:w="414" w:type="pct"/>
            <w:tcBorders>
              <w:top w:val="single" w:sz="4" w:space="0" w:color="auto"/>
              <w:left w:val="nil"/>
              <w:bottom w:val="single" w:sz="4" w:space="0" w:color="auto"/>
              <w:right w:val="nil"/>
            </w:tcBorders>
            <w:noWrap/>
            <w:vAlign w:val="center"/>
            <w:hideMark/>
          </w:tcPr>
          <w:p w14:paraId="1AD5995D" w14:textId="0C06371B"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1,040</w:t>
            </w:r>
          </w:p>
        </w:tc>
        <w:tc>
          <w:tcPr>
            <w:tcW w:w="414" w:type="pct"/>
            <w:tcBorders>
              <w:top w:val="single" w:sz="4" w:space="0" w:color="auto"/>
              <w:left w:val="nil"/>
              <w:bottom w:val="single" w:sz="4" w:space="0" w:color="auto"/>
              <w:right w:val="nil"/>
            </w:tcBorders>
            <w:noWrap/>
            <w:vAlign w:val="center"/>
            <w:hideMark/>
          </w:tcPr>
          <w:p w14:paraId="0F694454" w14:textId="7C511C35"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1,055</w:t>
            </w:r>
          </w:p>
        </w:tc>
        <w:tc>
          <w:tcPr>
            <w:tcW w:w="414" w:type="pct"/>
            <w:tcBorders>
              <w:top w:val="single" w:sz="4" w:space="0" w:color="auto"/>
              <w:left w:val="nil"/>
              <w:bottom w:val="single" w:sz="4" w:space="0" w:color="auto"/>
              <w:right w:val="nil"/>
            </w:tcBorders>
            <w:noWrap/>
            <w:vAlign w:val="center"/>
            <w:hideMark/>
          </w:tcPr>
          <w:p w14:paraId="546EFF30" w14:textId="6CD57A87"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1,124</w:t>
            </w:r>
          </w:p>
        </w:tc>
        <w:tc>
          <w:tcPr>
            <w:tcW w:w="414" w:type="pct"/>
            <w:tcBorders>
              <w:top w:val="single" w:sz="4" w:space="0" w:color="auto"/>
              <w:left w:val="nil"/>
              <w:bottom w:val="single" w:sz="4" w:space="0" w:color="auto"/>
              <w:right w:val="nil"/>
            </w:tcBorders>
            <w:noWrap/>
            <w:vAlign w:val="center"/>
            <w:hideMark/>
          </w:tcPr>
          <w:p w14:paraId="4140C8E0" w14:textId="76C23C6D"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1,102</w:t>
            </w:r>
          </w:p>
        </w:tc>
        <w:tc>
          <w:tcPr>
            <w:tcW w:w="414" w:type="pct"/>
            <w:tcBorders>
              <w:top w:val="single" w:sz="4" w:space="0" w:color="auto"/>
              <w:left w:val="nil"/>
              <w:bottom w:val="single" w:sz="4" w:space="0" w:color="auto"/>
              <w:right w:val="nil"/>
            </w:tcBorders>
            <w:noWrap/>
            <w:vAlign w:val="center"/>
            <w:hideMark/>
          </w:tcPr>
          <w:p w14:paraId="6D671D8D" w14:textId="3589C676" w:rsidR="000F7A56" w:rsidRPr="000F7A56" w:rsidRDefault="000F7A56" w:rsidP="003316E8">
            <w:pPr>
              <w:spacing w:before="0" w:after="0"/>
              <w:jc w:val="right"/>
              <w:rPr>
                <w:rFonts w:ascii="Arial" w:hAnsi="Arial" w:cs="Arial"/>
                <w:sz w:val="16"/>
                <w:szCs w:val="16"/>
              </w:rPr>
            </w:pPr>
            <w:r w:rsidRPr="000F7A56">
              <w:rPr>
                <w:rFonts w:ascii="Arial" w:hAnsi="Arial" w:cs="Arial"/>
                <w:sz w:val="16"/>
                <w:szCs w:val="16"/>
              </w:rPr>
              <w:t>1,124</w:t>
            </w:r>
          </w:p>
        </w:tc>
      </w:tr>
      <w:tr w:rsidR="000F7A56" w:rsidRPr="000F7A56" w14:paraId="69A0AC1F" w14:textId="77777777" w:rsidTr="003316E8">
        <w:trPr>
          <w:trHeight w:val="225"/>
        </w:trPr>
        <w:tc>
          <w:tcPr>
            <w:tcW w:w="861" w:type="pct"/>
            <w:gridSpan w:val="2"/>
            <w:tcBorders>
              <w:top w:val="nil"/>
              <w:left w:val="nil"/>
              <w:bottom w:val="nil"/>
              <w:right w:val="nil"/>
            </w:tcBorders>
            <w:noWrap/>
            <w:vAlign w:val="bottom"/>
            <w:hideMark/>
          </w:tcPr>
          <w:p w14:paraId="2FF052F8" w14:textId="77777777" w:rsidR="000F7A56" w:rsidRPr="000F7A56" w:rsidRDefault="000F7A56" w:rsidP="000F7A56">
            <w:pPr>
              <w:spacing w:before="0" w:after="0"/>
              <w:rPr>
                <w:rFonts w:ascii="Arial" w:hAnsi="Arial" w:cs="Arial"/>
                <w:b/>
                <w:bCs/>
                <w:sz w:val="16"/>
                <w:szCs w:val="16"/>
              </w:rPr>
            </w:pPr>
            <w:r w:rsidRPr="000F7A56">
              <w:rPr>
                <w:rFonts w:ascii="Arial" w:hAnsi="Arial" w:cs="Arial"/>
                <w:b/>
                <w:bCs/>
                <w:sz w:val="16"/>
                <w:szCs w:val="16"/>
              </w:rPr>
              <w:t>Total staff expenditure</w:t>
            </w:r>
          </w:p>
        </w:tc>
        <w:tc>
          <w:tcPr>
            <w:tcW w:w="414" w:type="pct"/>
            <w:tcBorders>
              <w:top w:val="nil"/>
              <w:left w:val="nil"/>
              <w:bottom w:val="single" w:sz="4" w:space="0" w:color="auto"/>
              <w:right w:val="nil"/>
            </w:tcBorders>
            <w:noWrap/>
            <w:vAlign w:val="center"/>
            <w:hideMark/>
          </w:tcPr>
          <w:p w14:paraId="31ABCFA8"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62,695</w:t>
            </w:r>
          </w:p>
        </w:tc>
        <w:tc>
          <w:tcPr>
            <w:tcW w:w="414" w:type="pct"/>
            <w:tcBorders>
              <w:top w:val="nil"/>
              <w:left w:val="nil"/>
              <w:bottom w:val="single" w:sz="4" w:space="0" w:color="auto"/>
              <w:right w:val="nil"/>
            </w:tcBorders>
            <w:noWrap/>
            <w:vAlign w:val="center"/>
            <w:hideMark/>
          </w:tcPr>
          <w:p w14:paraId="274A3886"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66,886</w:t>
            </w:r>
          </w:p>
        </w:tc>
        <w:tc>
          <w:tcPr>
            <w:tcW w:w="414" w:type="pct"/>
            <w:tcBorders>
              <w:top w:val="nil"/>
              <w:left w:val="nil"/>
              <w:bottom w:val="single" w:sz="4" w:space="0" w:color="auto"/>
              <w:right w:val="nil"/>
            </w:tcBorders>
            <w:noWrap/>
            <w:vAlign w:val="center"/>
            <w:hideMark/>
          </w:tcPr>
          <w:p w14:paraId="65673402"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71,791</w:t>
            </w:r>
          </w:p>
        </w:tc>
        <w:tc>
          <w:tcPr>
            <w:tcW w:w="414" w:type="pct"/>
            <w:tcBorders>
              <w:top w:val="nil"/>
              <w:left w:val="nil"/>
              <w:bottom w:val="single" w:sz="4" w:space="0" w:color="auto"/>
              <w:right w:val="nil"/>
            </w:tcBorders>
            <w:noWrap/>
            <w:vAlign w:val="center"/>
            <w:hideMark/>
          </w:tcPr>
          <w:p w14:paraId="43432DEF"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74,584</w:t>
            </w:r>
          </w:p>
        </w:tc>
        <w:tc>
          <w:tcPr>
            <w:tcW w:w="414" w:type="pct"/>
            <w:tcBorders>
              <w:top w:val="nil"/>
              <w:left w:val="nil"/>
              <w:bottom w:val="single" w:sz="4" w:space="0" w:color="auto"/>
              <w:right w:val="nil"/>
            </w:tcBorders>
            <w:noWrap/>
            <w:vAlign w:val="center"/>
            <w:hideMark/>
          </w:tcPr>
          <w:p w14:paraId="0345F14F"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77,367</w:t>
            </w:r>
          </w:p>
        </w:tc>
        <w:tc>
          <w:tcPr>
            <w:tcW w:w="414" w:type="pct"/>
            <w:tcBorders>
              <w:top w:val="nil"/>
              <w:left w:val="nil"/>
              <w:bottom w:val="single" w:sz="4" w:space="0" w:color="auto"/>
              <w:right w:val="nil"/>
            </w:tcBorders>
            <w:noWrap/>
            <w:vAlign w:val="center"/>
            <w:hideMark/>
          </w:tcPr>
          <w:p w14:paraId="2D47221E"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80,354</w:t>
            </w:r>
          </w:p>
        </w:tc>
        <w:tc>
          <w:tcPr>
            <w:tcW w:w="414" w:type="pct"/>
            <w:tcBorders>
              <w:top w:val="nil"/>
              <w:left w:val="nil"/>
              <w:bottom w:val="single" w:sz="4" w:space="0" w:color="auto"/>
              <w:right w:val="nil"/>
            </w:tcBorders>
            <w:noWrap/>
            <w:vAlign w:val="center"/>
            <w:hideMark/>
          </w:tcPr>
          <w:p w14:paraId="1CF49825"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83,492</w:t>
            </w:r>
          </w:p>
        </w:tc>
        <w:tc>
          <w:tcPr>
            <w:tcW w:w="414" w:type="pct"/>
            <w:tcBorders>
              <w:top w:val="nil"/>
              <w:left w:val="nil"/>
              <w:bottom w:val="single" w:sz="4" w:space="0" w:color="auto"/>
              <w:right w:val="nil"/>
            </w:tcBorders>
            <w:noWrap/>
            <w:vAlign w:val="center"/>
            <w:hideMark/>
          </w:tcPr>
          <w:p w14:paraId="6E7D733E"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86,809</w:t>
            </w:r>
          </w:p>
        </w:tc>
        <w:tc>
          <w:tcPr>
            <w:tcW w:w="414" w:type="pct"/>
            <w:tcBorders>
              <w:top w:val="nil"/>
              <w:left w:val="nil"/>
              <w:bottom w:val="single" w:sz="4" w:space="0" w:color="auto"/>
              <w:right w:val="nil"/>
            </w:tcBorders>
            <w:noWrap/>
            <w:vAlign w:val="center"/>
            <w:hideMark/>
          </w:tcPr>
          <w:p w14:paraId="5DBB0D61"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90,166</w:t>
            </w:r>
          </w:p>
        </w:tc>
        <w:tc>
          <w:tcPr>
            <w:tcW w:w="414" w:type="pct"/>
            <w:tcBorders>
              <w:top w:val="nil"/>
              <w:left w:val="nil"/>
              <w:bottom w:val="single" w:sz="4" w:space="0" w:color="auto"/>
              <w:right w:val="nil"/>
            </w:tcBorders>
            <w:noWrap/>
            <w:vAlign w:val="center"/>
            <w:hideMark/>
          </w:tcPr>
          <w:p w14:paraId="6BFD25D1" w14:textId="77777777" w:rsidR="000F7A56" w:rsidRPr="000F7A56" w:rsidRDefault="000F7A56" w:rsidP="003316E8">
            <w:pPr>
              <w:spacing w:before="0" w:after="0"/>
              <w:jc w:val="right"/>
              <w:rPr>
                <w:rFonts w:ascii="Arial" w:hAnsi="Arial" w:cs="Arial"/>
                <w:b/>
                <w:bCs/>
                <w:sz w:val="16"/>
                <w:szCs w:val="16"/>
              </w:rPr>
            </w:pPr>
            <w:r w:rsidRPr="000F7A56">
              <w:rPr>
                <w:rFonts w:ascii="Arial" w:hAnsi="Arial" w:cs="Arial"/>
                <w:b/>
                <w:bCs/>
                <w:sz w:val="16"/>
                <w:szCs w:val="16"/>
              </w:rPr>
              <w:t>93,702</w:t>
            </w:r>
          </w:p>
        </w:tc>
      </w:tr>
    </w:tbl>
    <w:p w14:paraId="400CC8F6" w14:textId="77777777" w:rsidR="00C20A34" w:rsidRDefault="00C20A34" w:rsidP="00F90FEE">
      <w:pPr>
        <w:pStyle w:val="Heading3"/>
      </w:pPr>
    </w:p>
    <w:p w14:paraId="4E782C01" w14:textId="77777777" w:rsidR="00C20A34" w:rsidRDefault="00C20A34">
      <w:pPr>
        <w:rPr>
          <w:rFonts w:ascii="Franklin Gothic Demi" w:eastAsiaTheme="majorEastAsia" w:hAnsi="Franklin Gothic Demi" w:cstheme="majorBidi"/>
          <w:i/>
          <w:sz w:val="28"/>
          <w:lang w:eastAsia="en-US"/>
        </w:rPr>
      </w:pPr>
      <w:r>
        <w:br w:type="page"/>
      </w:r>
    </w:p>
    <w:p w14:paraId="013E0C68" w14:textId="77777777" w:rsidR="00EA5506" w:rsidRDefault="00EA5506" w:rsidP="00F90FEE">
      <w:pPr>
        <w:pStyle w:val="Heading3"/>
      </w:pPr>
    </w:p>
    <w:tbl>
      <w:tblPr>
        <w:tblW w:w="5000" w:type="pct"/>
        <w:tblLook w:val="04A0" w:firstRow="1" w:lastRow="0" w:firstColumn="1" w:lastColumn="0" w:noHBand="0" w:noVBand="1"/>
      </w:tblPr>
      <w:tblGrid>
        <w:gridCol w:w="3355"/>
        <w:gridCol w:w="272"/>
        <w:gridCol w:w="929"/>
        <w:gridCol w:w="930"/>
        <w:gridCol w:w="930"/>
        <w:gridCol w:w="930"/>
        <w:gridCol w:w="930"/>
        <w:gridCol w:w="930"/>
        <w:gridCol w:w="930"/>
        <w:gridCol w:w="930"/>
        <w:gridCol w:w="930"/>
        <w:gridCol w:w="1134"/>
      </w:tblGrid>
      <w:tr w:rsidR="00EA5506" w:rsidRPr="00EA5506" w14:paraId="0CE4D2FE" w14:textId="77777777" w:rsidTr="00AD5406">
        <w:trPr>
          <w:trHeight w:val="225"/>
          <w:tblHeader/>
        </w:trPr>
        <w:tc>
          <w:tcPr>
            <w:tcW w:w="1381" w:type="pct"/>
            <w:gridSpan w:val="2"/>
            <w:tcBorders>
              <w:top w:val="nil"/>
              <w:left w:val="nil"/>
              <w:bottom w:val="nil"/>
              <w:right w:val="nil"/>
            </w:tcBorders>
            <w:shd w:val="clear" w:color="auto" w:fill="031F73" w:themeFill="text2"/>
            <w:noWrap/>
            <w:vAlign w:val="bottom"/>
            <w:hideMark/>
          </w:tcPr>
          <w:p w14:paraId="5AD62091" w14:textId="77777777" w:rsidR="00EA5506" w:rsidRPr="00EA5506" w:rsidRDefault="00EA5506" w:rsidP="00EA5506">
            <w:pPr>
              <w:spacing w:before="0" w:after="0"/>
              <w:rPr>
                <w:rFonts w:ascii="Arial" w:hAnsi="Arial" w:cs="Arial"/>
                <w:color w:val="FFFFFF"/>
                <w:sz w:val="16"/>
                <w:szCs w:val="16"/>
              </w:rPr>
            </w:pPr>
            <w:r w:rsidRPr="00EA5506">
              <w:rPr>
                <w:rFonts w:ascii="Arial" w:hAnsi="Arial" w:cs="Arial"/>
                <w:color w:val="FFFFFF"/>
                <w:sz w:val="16"/>
                <w:szCs w:val="16"/>
              </w:rPr>
              <w:t> </w:t>
            </w:r>
          </w:p>
        </w:tc>
        <w:tc>
          <w:tcPr>
            <w:tcW w:w="354" w:type="pct"/>
            <w:tcBorders>
              <w:top w:val="nil"/>
              <w:left w:val="nil"/>
              <w:bottom w:val="nil"/>
              <w:right w:val="nil"/>
            </w:tcBorders>
            <w:shd w:val="clear" w:color="auto" w:fill="031F73" w:themeFill="text2"/>
            <w:noWrap/>
            <w:vAlign w:val="center"/>
            <w:hideMark/>
          </w:tcPr>
          <w:p w14:paraId="63AC34AA"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2025/26</w:t>
            </w:r>
          </w:p>
        </w:tc>
        <w:tc>
          <w:tcPr>
            <w:tcW w:w="354" w:type="pct"/>
            <w:tcBorders>
              <w:top w:val="nil"/>
              <w:left w:val="nil"/>
              <w:bottom w:val="nil"/>
              <w:right w:val="nil"/>
            </w:tcBorders>
            <w:shd w:val="clear" w:color="auto" w:fill="031F73" w:themeFill="text2"/>
            <w:noWrap/>
            <w:vAlign w:val="center"/>
            <w:hideMark/>
          </w:tcPr>
          <w:p w14:paraId="606D3D5D"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2026/27</w:t>
            </w:r>
          </w:p>
        </w:tc>
        <w:tc>
          <w:tcPr>
            <w:tcW w:w="354" w:type="pct"/>
            <w:tcBorders>
              <w:top w:val="nil"/>
              <w:left w:val="nil"/>
              <w:bottom w:val="nil"/>
              <w:right w:val="nil"/>
            </w:tcBorders>
            <w:shd w:val="clear" w:color="auto" w:fill="031F73" w:themeFill="text2"/>
            <w:noWrap/>
            <w:vAlign w:val="center"/>
            <w:hideMark/>
          </w:tcPr>
          <w:p w14:paraId="59D8104B"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2027/28</w:t>
            </w:r>
          </w:p>
        </w:tc>
        <w:tc>
          <w:tcPr>
            <w:tcW w:w="354" w:type="pct"/>
            <w:tcBorders>
              <w:top w:val="nil"/>
              <w:left w:val="nil"/>
              <w:bottom w:val="nil"/>
              <w:right w:val="nil"/>
            </w:tcBorders>
            <w:shd w:val="clear" w:color="auto" w:fill="031F73" w:themeFill="text2"/>
            <w:noWrap/>
            <w:vAlign w:val="center"/>
            <w:hideMark/>
          </w:tcPr>
          <w:p w14:paraId="50F60295"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2028/29</w:t>
            </w:r>
          </w:p>
        </w:tc>
        <w:tc>
          <w:tcPr>
            <w:tcW w:w="354" w:type="pct"/>
            <w:tcBorders>
              <w:top w:val="nil"/>
              <w:left w:val="nil"/>
              <w:bottom w:val="nil"/>
              <w:right w:val="nil"/>
            </w:tcBorders>
            <w:shd w:val="clear" w:color="auto" w:fill="031F73" w:themeFill="text2"/>
            <w:noWrap/>
            <w:vAlign w:val="center"/>
            <w:hideMark/>
          </w:tcPr>
          <w:p w14:paraId="08CDF935"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2029/30</w:t>
            </w:r>
          </w:p>
        </w:tc>
        <w:tc>
          <w:tcPr>
            <w:tcW w:w="354" w:type="pct"/>
            <w:tcBorders>
              <w:top w:val="nil"/>
              <w:left w:val="nil"/>
              <w:bottom w:val="nil"/>
              <w:right w:val="nil"/>
            </w:tcBorders>
            <w:shd w:val="clear" w:color="auto" w:fill="031F73" w:themeFill="text2"/>
            <w:noWrap/>
            <w:vAlign w:val="center"/>
            <w:hideMark/>
          </w:tcPr>
          <w:p w14:paraId="60DE0905"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2030/31</w:t>
            </w:r>
          </w:p>
        </w:tc>
        <w:tc>
          <w:tcPr>
            <w:tcW w:w="354" w:type="pct"/>
            <w:tcBorders>
              <w:top w:val="nil"/>
              <w:left w:val="nil"/>
              <w:bottom w:val="nil"/>
              <w:right w:val="nil"/>
            </w:tcBorders>
            <w:shd w:val="clear" w:color="auto" w:fill="031F73" w:themeFill="text2"/>
            <w:noWrap/>
            <w:vAlign w:val="center"/>
            <w:hideMark/>
          </w:tcPr>
          <w:p w14:paraId="410CE972"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2031/32</w:t>
            </w:r>
          </w:p>
        </w:tc>
        <w:tc>
          <w:tcPr>
            <w:tcW w:w="354" w:type="pct"/>
            <w:tcBorders>
              <w:top w:val="nil"/>
              <w:left w:val="nil"/>
              <w:bottom w:val="nil"/>
              <w:right w:val="nil"/>
            </w:tcBorders>
            <w:shd w:val="clear" w:color="auto" w:fill="031F73" w:themeFill="text2"/>
            <w:noWrap/>
            <w:vAlign w:val="center"/>
            <w:hideMark/>
          </w:tcPr>
          <w:p w14:paraId="27649215"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2032/33</w:t>
            </w:r>
          </w:p>
        </w:tc>
        <w:tc>
          <w:tcPr>
            <w:tcW w:w="354" w:type="pct"/>
            <w:tcBorders>
              <w:top w:val="nil"/>
              <w:left w:val="nil"/>
              <w:bottom w:val="nil"/>
              <w:right w:val="nil"/>
            </w:tcBorders>
            <w:shd w:val="clear" w:color="auto" w:fill="031F73" w:themeFill="text2"/>
            <w:noWrap/>
            <w:vAlign w:val="center"/>
            <w:hideMark/>
          </w:tcPr>
          <w:p w14:paraId="5844F709"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2033/34</w:t>
            </w:r>
          </w:p>
        </w:tc>
        <w:tc>
          <w:tcPr>
            <w:tcW w:w="432" w:type="pct"/>
            <w:tcBorders>
              <w:top w:val="nil"/>
              <w:left w:val="nil"/>
              <w:bottom w:val="nil"/>
              <w:right w:val="nil"/>
            </w:tcBorders>
            <w:shd w:val="clear" w:color="auto" w:fill="031F73" w:themeFill="text2"/>
            <w:noWrap/>
            <w:vAlign w:val="center"/>
            <w:hideMark/>
          </w:tcPr>
          <w:p w14:paraId="68C5F214"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202834/35</w:t>
            </w:r>
          </w:p>
        </w:tc>
      </w:tr>
      <w:tr w:rsidR="00EA5506" w:rsidRPr="00EA5506" w14:paraId="4A31C702" w14:textId="77777777" w:rsidTr="00AD5406">
        <w:trPr>
          <w:trHeight w:val="225"/>
          <w:tblHeader/>
        </w:trPr>
        <w:tc>
          <w:tcPr>
            <w:tcW w:w="1381" w:type="pct"/>
            <w:gridSpan w:val="2"/>
            <w:tcBorders>
              <w:top w:val="nil"/>
              <w:left w:val="nil"/>
              <w:bottom w:val="nil"/>
              <w:right w:val="nil"/>
            </w:tcBorders>
            <w:shd w:val="clear" w:color="auto" w:fill="031F73" w:themeFill="text2"/>
            <w:noWrap/>
            <w:vAlign w:val="bottom"/>
            <w:hideMark/>
          </w:tcPr>
          <w:p w14:paraId="417F1910" w14:textId="77777777" w:rsidR="00EA5506" w:rsidRPr="00EA5506" w:rsidRDefault="00EA5506" w:rsidP="00EA5506">
            <w:pPr>
              <w:spacing w:before="0" w:after="0"/>
              <w:rPr>
                <w:rFonts w:ascii="Arial" w:hAnsi="Arial" w:cs="Arial"/>
                <w:b/>
                <w:bCs/>
                <w:color w:val="FFFFFF"/>
                <w:sz w:val="16"/>
                <w:szCs w:val="16"/>
              </w:rPr>
            </w:pPr>
            <w:r w:rsidRPr="00EA5506">
              <w:rPr>
                <w:rFonts w:ascii="Arial" w:hAnsi="Arial" w:cs="Arial"/>
                <w:b/>
                <w:bCs/>
                <w:color w:val="FFFFFF"/>
                <w:sz w:val="16"/>
                <w:szCs w:val="16"/>
              </w:rPr>
              <w:t> </w:t>
            </w:r>
          </w:p>
        </w:tc>
        <w:tc>
          <w:tcPr>
            <w:tcW w:w="354" w:type="pct"/>
            <w:tcBorders>
              <w:top w:val="nil"/>
              <w:left w:val="nil"/>
              <w:bottom w:val="nil"/>
              <w:right w:val="nil"/>
            </w:tcBorders>
            <w:shd w:val="clear" w:color="auto" w:fill="031F73" w:themeFill="text2"/>
            <w:noWrap/>
            <w:vAlign w:val="center"/>
            <w:hideMark/>
          </w:tcPr>
          <w:p w14:paraId="43F15CE5"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c>
          <w:tcPr>
            <w:tcW w:w="354" w:type="pct"/>
            <w:tcBorders>
              <w:top w:val="nil"/>
              <w:left w:val="nil"/>
              <w:bottom w:val="nil"/>
              <w:right w:val="nil"/>
            </w:tcBorders>
            <w:shd w:val="clear" w:color="auto" w:fill="031F73" w:themeFill="text2"/>
            <w:noWrap/>
            <w:vAlign w:val="center"/>
            <w:hideMark/>
          </w:tcPr>
          <w:p w14:paraId="1D858E1E"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c>
          <w:tcPr>
            <w:tcW w:w="354" w:type="pct"/>
            <w:tcBorders>
              <w:top w:val="nil"/>
              <w:left w:val="nil"/>
              <w:bottom w:val="nil"/>
              <w:right w:val="nil"/>
            </w:tcBorders>
            <w:shd w:val="clear" w:color="auto" w:fill="031F73" w:themeFill="text2"/>
            <w:noWrap/>
            <w:vAlign w:val="center"/>
            <w:hideMark/>
          </w:tcPr>
          <w:p w14:paraId="27A9CEF8"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c>
          <w:tcPr>
            <w:tcW w:w="354" w:type="pct"/>
            <w:tcBorders>
              <w:top w:val="nil"/>
              <w:left w:val="nil"/>
              <w:bottom w:val="nil"/>
              <w:right w:val="nil"/>
            </w:tcBorders>
            <w:shd w:val="clear" w:color="auto" w:fill="031F73" w:themeFill="text2"/>
            <w:noWrap/>
            <w:vAlign w:val="center"/>
            <w:hideMark/>
          </w:tcPr>
          <w:p w14:paraId="3875D12B"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c>
          <w:tcPr>
            <w:tcW w:w="354" w:type="pct"/>
            <w:tcBorders>
              <w:top w:val="nil"/>
              <w:left w:val="nil"/>
              <w:bottom w:val="nil"/>
              <w:right w:val="nil"/>
            </w:tcBorders>
            <w:shd w:val="clear" w:color="auto" w:fill="031F73" w:themeFill="text2"/>
            <w:noWrap/>
            <w:vAlign w:val="center"/>
            <w:hideMark/>
          </w:tcPr>
          <w:p w14:paraId="1AE626A1"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c>
          <w:tcPr>
            <w:tcW w:w="354" w:type="pct"/>
            <w:tcBorders>
              <w:top w:val="nil"/>
              <w:left w:val="nil"/>
              <w:bottom w:val="nil"/>
              <w:right w:val="nil"/>
            </w:tcBorders>
            <w:shd w:val="clear" w:color="auto" w:fill="031F73" w:themeFill="text2"/>
            <w:noWrap/>
            <w:vAlign w:val="center"/>
            <w:hideMark/>
          </w:tcPr>
          <w:p w14:paraId="0A64B752"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c>
          <w:tcPr>
            <w:tcW w:w="354" w:type="pct"/>
            <w:tcBorders>
              <w:top w:val="nil"/>
              <w:left w:val="nil"/>
              <w:bottom w:val="nil"/>
              <w:right w:val="nil"/>
            </w:tcBorders>
            <w:shd w:val="clear" w:color="auto" w:fill="031F73" w:themeFill="text2"/>
            <w:noWrap/>
            <w:vAlign w:val="center"/>
            <w:hideMark/>
          </w:tcPr>
          <w:p w14:paraId="54D98D8B"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c>
          <w:tcPr>
            <w:tcW w:w="354" w:type="pct"/>
            <w:tcBorders>
              <w:top w:val="nil"/>
              <w:left w:val="nil"/>
              <w:bottom w:val="nil"/>
              <w:right w:val="nil"/>
            </w:tcBorders>
            <w:shd w:val="clear" w:color="auto" w:fill="031F73" w:themeFill="text2"/>
            <w:noWrap/>
            <w:vAlign w:val="center"/>
            <w:hideMark/>
          </w:tcPr>
          <w:p w14:paraId="3917F5A6"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c>
          <w:tcPr>
            <w:tcW w:w="354" w:type="pct"/>
            <w:tcBorders>
              <w:top w:val="nil"/>
              <w:left w:val="nil"/>
              <w:bottom w:val="nil"/>
              <w:right w:val="nil"/>
            </w:tcBorders>
            <w:shd w:val="clear" w:color="auto" w:fill="031F73" w:themeFill="text2"/>
            <w:noWrap/>
            <w:vAlign w:val="center"/>
            <w:hideMark/>
          </w:tcPr>
          <w:p w14:paraId="6737A736"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c>
          <w:tcPr>
            <w:tcW w:w="432" w:type="pct"/>
            <w:tcBorders>
              <w:top w:val="nil"/>
              <w:left w:val="nil"/>
              <w:bottom w:val="nil"/>
              <w:right w:val="nil"/>
            </w:tcBorders>
            <w:shd w:val="clear" w:color="auto" w:fill="031F73" w:themeFill="text2"/>
            <w:noWrap/>
            <w:vAlign w:val="center"/>
            <w:hideMark/>
          </w:tcPr>
          <w:p w14:paraId="5D16AE83" w14:textId="77777777" w:rsidR="00EA5506" w:rsidRPr="00EA5506" w:rsidRDefault="00EA5506" w:rsidP="00EA5506">
            <w:pPr>
              <w:spacing w:before="0" w:after="0"/>
              <w:jc w:val="center"/>
              <w:rPr>
                <w:rFonts w:ascii="Arial" w:hAnsi="Arial" w:cs="Arial"/>
                <w:b/>
                <w:bCs/>
                <w:color w:val="FFFFFF"/>
                <w:sz w:val="16"/>
                <w:szCs w:val="16"/>
              </w:rPr>
            </w:pPr>
            <w:r w:rsidRPr="00EA5506">
              <w:rPr>
                <w:rFonts w:ascii="Arial" w:hAnsi="Arial" w:cs="Arial"/>
                <w:b/>
                <w:bCs/>
                <w:color w:val="FFFFFF"/>
                <w:sz w:val="16"/>
                <w:szCs w:val="16"/>
              </w:rPr>
              <w:t>FTE</w:t>
            </w:r>
          </w:p>
        </w:tc>
      </w:tr>
      <w:tr w:rsidR="00EA5506" w:rsidRPr="00EA5506" w14:paraId="372CB307" w14:textId="77777777" w:rsidTr="00AD5406">
        <w:trPr>
          <w:trHeight w:val="225"/>
        </w:trPr>
        <w:tc>
          <w:tcPr>
            <w:tcW w:w="2797" w:type="pct"/>
            <w:gridSpan w:val="6"/>
            <w:tcBorders>
              <w:top w:val="nil"/>
              <w:left w:val="nil"/>
              <w:bottom w:val="nil"/>
              <w:right w:val="nil"/>
            </w:tcBorders>
            <w:noWrap/>
            <w:vAlign w:val="bottom"/>
            <w:hideMark/>
          </w:tcPr>
          <w:p w14:paraId="72AC7562"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Chief Executive Officer</w:t>
            </w:r>
          </w:p>
        </w:tc>
        <w:tc>
          <w:tcPr>
            <w:tcW w:w="354" w:type="pct"/>
            <w:tcBorders>
              <w:top w:val="nil"/>
              <w:left w:val="nil"/>
              <w:bottom w:val="nil"/>
              <w:right w:val="nil"/>
            </w:tcBorders>
            <w:noWrap/>
            <w:vAlign w:val="bottom"/>
            <w:hideMark/>
          </w:tcPr>
          <w:p w14:paraId="5D2032C0" w14:textId="77777777" w:rsidR="00EA5506" w:rsidRPr="00EA5506" w:rsidRDefault="00EA5506" w:rsidP="00EA5506">
            <w:pPr>
              <w:spacing w:before="0" w:after="0"/>
              <w:rPr>
                <w:rFonts w:ascii="Arial" w:hAnsi="Arial" w:cs="Arial"/>
                <w:b/>
                <w:bCs/>
                <w:sz w:val="16"/>
                <w:szCs w:val="16"/>
              </w:rPr>
            </w:pPr>
          </w:p>
        </w:tc>
        <w:tc>
          <w:tcPr>
            <w:tcW w:w="354" w:type="pct"/>
            <w:tcBorders>
              <w:top w:val="nil"/>
              <w:left w:val="nil"/>
              <w:bottom w:val="nil"/>
              <w:right w:val="nil"/>
            </w:tcBorders>
            <w:noWrap/>
            <w:vAlign w:val="bottom"/>
            <w:hideMark/>
          </w:tcPr>
          <w:p w14:paraId="3747DD39"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AFE95A5"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73BFAEC9"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BA138AD"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13080ECE" w14:textId="77777777" w:rsidR="00EA5506" w:rsidRPr="00EA5506" w:rsidRDefault="00EA5506" w:rsidP="00EA5506">
            <w:pPr>
              <w:spacing w:before="0" w:after="0"/>
              <w:rPr>
                <w:rFonts w:ascii="Times New Roman" w:hAnsi="Times New Roman"/>
                <w:sz w:val="20"/>
                <w:szCs w:val="20"/>
              </w:rPr>
            </w:pPr>
          </w:p>
        </w:tc>
      </w:tr>
      <w:tr w:rsidR="00EA5506" w:rsidRPr="00EA5506" w14:paraId="76BE07CE" w14:textId="77777777" w:rsidTr="00AD5406">
        <w:trPr>
          <w:trHeight w:val="225"/>
        </w:trPr>
        <w:tc>
          <w:tcPr>
            <w:tcW w:w="1381" w:type="pct"/>
            <w:gridSpan w:val="2"/>
            <w:tcBorders>
              <w:top w:val="nil"/>
              <w:left w:val="nil"/>
              <w:bottom w:val="nil"/>
              <w:right w:val="nil"/>
            </w:tcBorders>
            <w:shd w:val="clear" w:color="000000" w:fill="DAE9F8"/>
            <w:noWrap/>
            <w:vAlign w:val="bottom"/>
            <w:hideMark/>
          </w:tcPr>
          <w:p w14:paraId="48DCE43E" w14:textId="77777777" w:rsidR="00EA5506" w:rsidRPr="00EA5506" w:rsidRDefault="00EA5506" w:rsidP="00EA5506">
            <w:pPr>
              <w:spacing w:before="0" w:after="0"/>
              <w:rPr>
                <w:rFonts w:ascii="Arial" w:hAnsi="Arial" w:cs="Arial"/>
                <w:sz w:val="16"/>
                <w:szCs w:val="16"/>
              </w:rPr>
            </w:pPr>
            <w:r w:rsidRPr="00EA5506">
              <w:rPr>
                <w:rFonts w:ascii="Arial" w:hAnsi="Arial" w:cs="Arial"/>
                <w:sz w:val="16"/>
                <w:szCs w:val="16"/>
              </w:rPr>
              <w:t>Permanent - Full time</w:t>
            </w:r>
          </w:p>
        </w:tc>
        <w:tc>
          <w:tcPr>
            <w:tcW w:w="354" w:type="pct"/>
            <w:tcBorders>
              <w:top w:val="nil"/>
              <w:left w:val="nil"/>
              <w:bottom w:val="nil"/>
              <w:right w:val="nil"/>
            </w:tcBorders>
            <w:shd w:val="clear" w:color="000000" w:fill="DAE9F8"/>
            <w:noWrap/>
            <w:vAlign w:val="bottom"/>
            <w:hideMark/>
          </w:tcPr>
          <w:p w14:paraId="5D2CEA0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shd w:val="clear" w:color="000000" w:fill="DAE9F8"/>
            <w:noWrap/>
            <w:vAlign w:val="bottom"/>
            <w:hideMark/>
          </w:tcPr>
          <w:p w14:paraId="1F1BD22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shd w:val="clear" w:color="000000" w:fill="DAE9F8"/>
            <w:noWrap/>
            <w:vAlign w:val="bottom"/>
            <w:hideMark/>
          </w:tcPr>
          <w:p w14:paraId="095A35C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shd w:val="clear" w:color="000000" w:fill="DAE9F8"/>
            <w:noWrap/>
            <w:vAlign w:val="bottom"/>
            <w:hideMark/>
          </w:tcPr>
          <w:p w14:paraId="64CDE6B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shd w:val="clear" w:color="000000" w:fill="DAE9F8"/>
            <w:noWrap/>
            <w:vAlign w:val="bottom"/>
            <w:hideMark/>
          </w:tcPr>
          <w:p w14:paraId="4A17CE2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shd w:val="clear" w:color="000000" w:fill="DAE9F8"/>
            <w:noWrap/>
            <w:vAlign w:val="bottom"/>
            <w:hideMark/>
          </w:tcPr>
          <w:p w14:paraId="0E4C43F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shd w:val="clear" w:color="000000" w:fill="DAE9F8"/>
            <w:noWrap/>
            <w:vAlign w:val="bottom"/>
            <w:hideMark/>
          </w:tcPr>
          <w:p w14:paraId="1ED87BD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shd w:val="clear" w:color="000000" w:fill="DAE9F8"/>
            <w:noWrap/>
            <w:vAlign w:val="bottom"/>
            <w:hideMark/>
          </w:tcPr>
          <w:p w14:paraId="72133BB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shd w:val="clear" w:color="000000" w:fill="DAE9F8"/>
            <w:noWrap/>
            <w:vAlign w:val="bottom"/>
            <w:hideMark/>
          </w:tcPr>
          <w:p w14:paraId="66E6FB8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432" w:type="pct"/>
            <w:tcBorders>
              <w:top w:val="nil"/>
              <w:left w:val="nil"/>
              <w:bottom w:val="nil"/>
              <w:right w:val="nil"/>
            </w:tcBorders>
            <w:shd w:val="clear" w:color="000000" w:fill="DAE9F8"/>
            <w:noWrap/>
            <w:vAlign w:val="bottom"/>
            <w:hideMark/>
          </w:tcPr>
          <w:p w14:paraId="464C434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r>
      <w:tr w:rsidR="00EA5506" w:rsidRPr="00EA5506" w14:paraId="5637FB3C" w14:textId="77777777" w:rsidTr="00AD5406">
        <w:trPr>
          <w:trHeight w:val="225"/>
        </w:trPr>
        <w:tc>
          <w:tcPr>
            <w:tcW w:w="1278" w:type="pct"/>
            <w:tcBorders>
              <w:top w:val="nil"/>
              <w:left w:val="nil"/>
              <w:bottom w:val="nil"/>
              <w:right w:val="nil"/>
            </w:tcBorders>
            <w:noWrap/>
            <w:vAlign w:val="bottom"/>
            <w:hideMark/>
          </w:tcPr>
          <w:p w14:paraId="733E6431"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Women</w:t>
            </w:r>
          </w:p>
        </w:tc>
        <w:tc>
          <w:tcPr>
            <w:tcW w:w="104" w:type="pct"/>
            <w:tcBorders>
              <w:top w:val="nil"/>
              <w:left w:val="nil"/>
              <w:bottom w:val="nil"/>
              <w:right w:val="nil"/>
            </w:tcBorders>
            <w:noWrap/>
            <w:vAlign w:val="bottom"/>
            <w:hideMark/>
          </w:tcPr>
          <w:p w14:paraId="3B969D78"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1C23CD3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2483F7B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75C4022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7B943D2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00FA119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1482091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5BA4013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3DCF66F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58AF15D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432" w:type="pct"/>
            <w:tcBorders>
              <w:top w:val="nil"/>
              <w:left w:val="nil"/>
              <w:bottom w:val="nil"/>
              <w:right w:val="nil"/>
            </w:tcBorders>
            <w:noWrap/>
            <w:vAlign w:val="bottom"/>
            <w:hideMark/>
          </w:tcPr>
          <w:p w14:paraId="4FE66ED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r>
      <w:tr w:rsidR="00EA5506" w:rsidRPr="00EA5506" w14:paraId="77C3EBB6" w14:textId="77777777" w:rsidTr="00AD5406">
        <w:trPr>
          <w:trHeight w:val="225"/>
        </w:trPr>
        <w:tc>
          <w:tcPr>
            <w:tcW w:w="1278" w:type="pct"/>
            <w:tcBorders>
              <w:top w:val="nil"/>
              <w:left w:val="nil"/>
              <w:bottom w:val="nil"/>
              <w:right w:val="nil"/>
            </w:tcBorders>
            <w:noWrap/>
            <w:vAlign w:val="bottom"/>
            <w:hideMark/>
          </w:tcPr>
          <w:p w14:paraId="3CAE1CAA"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 xml:space="preserve">Men </w:t>
            </w:r>
          </w:p>
        </w:tc>
        <w:tc>
          <w:tcPr>
            <w:tcW w:w="104" w:type="pct"/>
            <w:tcBorders>
              <w:top w:val="nil"/>
              <w:left w:val="nil"/>
              <w:bottom w:val="nil"/>
              <w:right w:val="nil"/>
            </w:tcBorders>
            <w:noWrap/>
            <w:vAlign w:val="bottom"/>
            <w:hideMark/>
          </w:tcPr>
          <w:p w14:paraId="7E8E86DD"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3CD8B5B6"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0BFD078"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9AD8521"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0D90E4A"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2061BC7"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2F64748A"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BD7A468"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ACAEE31"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620A16C"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1CDD7AFD" w14:textId="77777777" w:rsidR="00EA5506" w:rsidRPr="00EA5506" w:rsidRDefault="00EA5506" w:rsidP="00EA5506">
            <w:pPr>
              <w:spacing w:before="0" w:after="0"/>
              <w:rPr>
                <w:rFonts w:ascii="Times New Roman" w:hAnsi="Times New Roman"/>
                <w:sz w:val="20"/>
                <w:szCs w:val="20"/>
              </w:rPr>
            </w:pPr>
          </w:p>
        </w:tc>
      </w:tr>
      <w:tr w:rsidR="00EA5506" w:rsidRPr="00EA5506" w14:paraId="58F23F94" w14:textId="77777777" w:rsidTr="00AD5406">
        <w:trPr>
          <w:trHeight w:val="225"/>
        </w:trPr>
        <w:tc>
          <w:tcPr>
            <w:tcW w:w="1278" w:type="pct"/>
            <w:tcBorders>
              <w:top w:val="nil"/>
              <w:left w:val="nil"/>
              <w:bottom w:val="nil"/>
              <w:right w:val="nil"/>
            </w:tcBorders>
            <w:noWrap/>
            <w:vAlign w:val="bottom"/>
            <w:hideMark/>
          </w:tcPr>
          <w:p w14:paraId="3236A0FA"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Persons of self-described gender</w:t>
            </w:r>
          </w:p>
        </w:tc>
        <w:tc>
          <w:tcPr>
            <w:tcW w:w="104" w:type="pct"/>
            <w:tcBorders>
              <w:top w:val="nil"/>
              <w:left w:val="nil"/>
              <w:bottom w:val="nil"/>
              <w:right w:val="nil"/>
            </w:tcBorders>
            <w:noWrap/>
            <w:vAlign w:val="bottom"/>
            <w:hideMark/>
          </w:tcPr>
          <w:p w14:paraId="74CA5409"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1106C679"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BF8C455"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2190C972"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A8CE8B7"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AC88734"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9F79DC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B6B89A5"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778C4FF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CE39196"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21551ACF" w14:textId="77777777" w:rsidR="00EA5506" w:rsidRPr="00EA5506" w:rsidRDefault="00EA5506" w:rsidP="00EA5506">
            <w:pPr>
              <w:spacing w:before="0" w:after="0"/>
              <w:rPr>
                <w:rFonts w:ascii="Times New Roman" w:hAnsi="Times New Roman"/>
                <w:sz w:val="20"/>
                <w:szCs w:val="20"/>
              </w:rPr>
            </w:pPr>
          </w:p>
        </w:tc>
      </w:tr>
      <w:tr w:rsidR="00EA5506" w:rsidRPr="00EA5506" w14:paraId="1C6A1D98" w14:textId="77777777" w:rsidTr="00AD5406">
        <w:trPr>
          <w:trHeight w:val="225"/>
        </w:trPr>
        <w:tc>
          <w:tcPr>
            <w:tcW w:w="1278" w:type="pct"/>
            <w:tcBorders>
              <w:top w:val="nil"/>
              <w:left w:val="nil"/>
              <w:bottom w:val="nil"/>
              <w:right w:val="nil"/>
            </w:tcBorders>
            <w:noWrap/>
            <w:vAlign w:val="bottom"/>
            <w:hideMark/>
          </w:tcPr>
          <w:p w14:paraId="607DFC70"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Vacant positions</w:t>
            </w:r>
          </w:p>
        </w:tc>
        <w:tc>
          <w:tcPr>
            <w:tcW w:w="104" w:type="pct"/>
            <w:tcBorders>
              <w:top w:val="nil"/>
              <w:left w:val="nil"/>
              <w:bottom w:val="nil"/>
              <w:right w:val="nil"/>
            </w:tcBorders>
            <w:noWrap/>
            <w:vAlign w:val="bottom"/>
            <w:hideMark/>
          </w:tcPr>
          <w:p w14:paraId="5C4A2F33"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2501A18E"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A9F78E3"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2ED6E0F"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9A42E3C"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A8E8625"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8BD04D3"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66EBBC9"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71270381"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0BE64E0"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2330A657" w14:textId="77777777" w:rsidR="00EA5506" w:rsidRPr="00EA5506" w:rsidRDefault="00EA5506" w:rsidP="00EA5506">
            <w:pPr>
              <w:spacing w:before="0" w:after="0"/>
              <w:rPr>
                <w:rFonts w:ascii="Times New Roman" w:hAnsi="Times New Roman"/>
                <w:sz w:val="20"/>
                <w:szCs w:val="20"/>
              </w:rPr>
            </w:pPr>
          </w:p>
        </w:tc>
      </w:tr>
      <w:tr w:rsidR="00EA5506" w:rsidRPr="00EA5506" w14:paraId="0345582A" w14:textId="77777777" w:rsidTr="00AD5406">
        <w:trPr>
          <w:trHeight w:val="225"/>
        </w:trPr>
        <w:tc>
          <w:tcPr>
            <w:tcW w:w="1278" w:type="pct"/>
            <w:tcBorders>
              <w:top w:val="nil"/>
              <w:left w:val="nil"/>
              <w:bottom w:val="nil"/>
              <w:right w:val="nil"/>
            </w:tcBorders>
            <w:noWrap/>
            <w:vAlign w:val="bottom"/>
            <w:hideMark/>
          </w:tcPr>
          <w:p w14:paraId="2DFE01DC"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New positions</w:t>
            </w:r>
          </w:p>
        </w:tc>
        <w:tc>
          <w:tcPr>
            <w:tcW w:w="104" w:type="pct"/>
            <w:tcBorders>
              <w:top w:val="nil"/>
              <w:left w:val="nil"/>
              <w:bottom w:val="nil"/>
              <w:right w:val="nil"/>
            </w:tcBorders>
            <w:noWrap/>
            <w:vAlign w:val="bottom"/>
            <w:hideMark/>
          </w:tcPr>
          <w:p w14:paraId="049A2882"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2910BB5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1EEB11D"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D0D547A"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36EB197"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89FB7D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725B64C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73510D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9D2C72B"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762F7AA9"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16818E86" w14:textId="77777777" w:rsidR="00EA5506" w:rsidRPr="00EA5506" w:rsidRDefault="00EA5506" w:rsidP="00EA5506">
            <w:pPr>
              <w:spacing w:before="0" w:after="0"/>
              <w:rPr>
                <w:rFonts w:ascii="Times New Roman" w:hAnsi="Times New Roman"/>
                <w:sz w:val="20"/>
                <w:szCs w:val="20"/>
              </w:rPr>
            </w:pPr>
          </w:p>
        </w:tc>
      </w:tr>
      <w:tr w:rsidR="00EA5506" w:rsidRPr="00EA5506" w14:paraId="1A496C2E" w14:textId="77777777" w:rsidTr="00AD5406">
        <w:trPr>
          <w:trHeight w:val="225"/>
        </w:trPr>
        <w:tc>
          <w:tcPr>
            <w:tcW w:w="1381" w:type="pct"/>
            <w:gridSpan w:val="2"/>
            <w:tcBorders>
              <w:top w:val="nil"/>
              <w:left w:val="nil"/>
              <w:bottom w:val="nil"/>
              <w:right w:val="nil"/>
            </w:tcBorders>
            <w:shd w:val="clear" w:color="000000" w:fill="DAE9F8"/>
            <w:noWrap/>
            <w:vAlign w:val="bottom"/>
            <w:hideMark/>
          </w:tcPr>
          <w:p w14:paraId="1654008D" w14:textId="77777777" w:rsidR="00EA5506" w:rsidRPr="00EA5506" w:rsidRDefault="00EA5506" w:rsidP="00EA5506">
            <w:pPr>
              <w:spacing w:before="0" w:after="0"/>
              <w:rPr>
                <w:rFonts w:ascii="Arial" w:hAnsi="Arial" w:cs="Arial"/>
                <w:sz w:val="16"/>
                <w:szCs w:val="16"/>
              </w:rPr>
            </w:pPr>
            <w:r w:rsidRPr="00EA5506">
              <w:rPr>
                <w:rFonts w:ascii="Arial" w:hAnsi="Arial" w:cs="Arial"/>
                <w:sz w:val="16"/>
                <w:szCs w:val="16"/>
              </w:rPr>
              <w:t>Permanent - Part time</w:t>
            </w:r>
          </w:p>
        </w:tc>
        <w:tc>
          <w:tcPr>
            <w:tcW w:w="354" w:type="pct"/>
            <w:tcBorders>
              <w:top w:val="nil"/>
              <w:left w:val="nil"/>
              <w:bottom w:val="nil"/>
              <w:right w:val="nil"/>
            </w:tcBorders>
            <w:shd w:val="clear" w:color="000000" w:fill="DAE9F8"/>
            <w:noWrap/>
            <w:vAlign w:val="bottom"/>
            <w:hideMark/>
          </w:tcPr>
          <w:p w14:paraId="2FA5EB0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shd w:val="clear" w:color="000000" w:fill="DAE9F8"/>
            <w:noWrap/>
            <w:vAlign w:val="bottom"/>
            <w:hideMark/>
          </w:tcPr>
          <w:p w14:paraId="0B36592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shd w:val="clear" w:color="000000" w:fill="DAE9F8"/>
            <w:noWrap/>
            <w:vAlign w:val="bottom"/>
            <w:hideMark/>
          </w:tcPr>
          <w:p w14:paraId="3F07702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shd w:val="clear" w:color="000000" w:fill="DAE9F8"/>
            <w:noWrap/>
            <w:vAlign w:val="bottom"/>
            <w:hideMark/>
          </w:tcPr>
          <w:p w14:paraId="1B6593F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shd w:val="clear" w:color="000000" w:fill="DAE9F8"/>
            <w:noWrap/>
            <w:vAlign w:val="bottom"/>
            <w:hideMark/>
          </w:tcPr>
          <w:p w14:paraId="22E9DC0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shd w:val="clear" w:color="000000" w:fill="DAE9F8"/>
            <w:noWrap/>
            <w:vAlign w:val="bottom"/>
            <w:hideMark/>
          </w:tcPr>
          <w:p w14:paraId="00AB7B2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shd w:val="clear" w:color="000000" w:fill="DAE9F8"/>
            <w:noWrap/>
            <w:vAlign w:val="bottom"/>
            <w:hideMark/>
          </w:tcPr>
          <w:p w14:paraId="4D9F280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shd w:val="clear" w:color="000000" w:fill="DAE9F8"/>
            <w:noWrap/>
            <w:vAlign w:val="bottom"/>
            <w:hideMark/>
          </w:tcPr>
          <w:p w14:paraId="6DCF979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shd w:val="clear" w:color="000000" w:fill="DAE9F8"/>
            <w:noWrap/>
            <w:vAlign w:val="bottom"/>
            <w:hideMark/>
          </w:tcPr>
          <w:p w14:paraId="4FF77B9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432" w:type="pct"/>
            <w:tcBorders>
              <w:top w:val="nil"/>
              <w:left w:val="nil"/>
              <w:bottom w:val="nil"/>
              <w:right w:val="nil"/>
            </w:tcBorders>
            <w:shd w:val="clear" w:color="000000" w:fill="DAE9F8"/>
            <w:noWrap/>
            <w:vAlign w:val="bottom"/>
            <w:hideMark/>
          </w:tcPr>
          <w:p w14:paraId="644DDDF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r>
      <w:tr w:rsidR="00EA5506" w:rsidRPr="00EA5506" w14:paraId="74E5F125" w14:textId="77777777" w:rsidTr="00AD5406">
        <w:trPr>
          <w:trHeight w:val="225"/>
        </w:trPr>
        <w:tc>
          <w:tcPr>
            <w:tcW w:w="1278" w:type="pct"/>
            <w:tcBorders>
              <w:top w:val="nil"/>
              <w:left w:val="nil"/>
              <w:bottom w:val="nil"/>
              <w:right w:val="nil"/>
            </w:tcBorders>
            <w:noWrap/>
            <w:vAlign w:val="bottom"/>
            <w:hideMark/>
          </w:tcPr>
          <w:p w14:paraId="0DC7E892"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Women</w:t>
            </w:r>
          </w:p>
        </w:tc>
        <w:tc>
          <w:tcPr>
            <w:tcW w:w="104" w:type="pct"/>
            <w:tcBorders>
              <w:top w:val="nil"/>
              <w:left w:val="nil"/>
              <w:bottom w:val="nil"/>
              <w:right w:val="nil"/>
            </w:tcBorders>
            <w:noWrap/>
            <w:vAlign w:val="bottom"/>
            <w:hideMark/>
          </w:tcPr>
          <w:p w14:paraId="4931E3EF"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1A0218D3"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D7F17B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FBCAE4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475BBFF"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23B9EB19"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2E7CE02C"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7B0B368"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20DF51D5"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25322EF"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3A6FFA66" w14:textId="77777777" w:rsidR="00EA5506" w:rsidRPr="00EA5506" w:rsidRDefault="00EA5506" w:rsidP="00EA5506">
            <w:pPr>
              <w:spacing w:before="0" w:after="0"/>
              <w:rPr>
                <w:rFonts w:ascii="Times New Roman" w:hAnsi="Times New Roman"/>
                <w:sz w:val="20"/>
                <w:szCs w:val="20"/>
              </w:rPr>
            </w:pPr>
          </w:p>
        </w:tc>
      </w:tr>
      <w:tr w:rsidR="00EA5506" w:rsidRPr="00EA5506" w14:paraId="15251130" w14:textId="77777777" w:rsidTr="00AD5406">
        <w:trPr>
          <w:trHeight w:val="225"/>
        </w:trPr>
        <w:tc>
          <w:tcPr>
            <w:tcW w:w="1278" w:type="pct"/>
            <w:tcBorders>
              <w:top w:val="nil"/>
              <w:left w:val="nil"/>
              <w:bottom w:val="nil"/>
              <w:right w:val="nil"/>
            </w:tcBorders>
            <w:noWrap/>
            <w:vAlign w:val="bottom"/>
            <w:hideMark/>
          </w:tcPr>
          <w:p w14:paraId="34610D55"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 xml:space="preserve">Men </w:t>
            </w:r>
          </w:p>
        </w:tc>
        <w:tc>
          <w:tcPr>
            <w:tcW w:w="104" w:type="pct"/>
            <w:tcBorders>
              <w:top w:val="nil"/>
              <w:left w:val="nil"/>
              <w:bottom w:val="nil"/>
              <w:right w:val="nil"/>
            </w:tcBorders>
            <w:noWrap/>
            <w:vAlign w:val="bottom"/>
            <w:hideMark/>
          </w:tcPr>
          <w:p w14:paraId="0A493725"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35D541EF"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14F5034"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AC4C7AF"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A2D7AE3"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DD0291C"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5C5FE6D"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7BE5A9C"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CA709A9"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7F2A5CF3"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173CDE33" w14:textId="77777777" w:rsidR="00EA5506" w:rsidRPr="00EA5506" w:rsidRDefault="00EA5506" w:rsidP="00EA5506">
            <w:pPr>
              <w:spacing w:before="0" w:after="0"/>
              <w:rPr>
                <w:rFonts w:ascii="Times New Roman" w:hAnsi="Times New Roman"/>
                <w:sz w:val="20"/>
                <w:szCs w:val="20"/>
              </w:rPr>
            </w:pPr>
          </w:p>
        </w:tc>
      </w:tr>
      <w:tr w:rsidR="00EA5506" w:rsidRPr="00EA5506" w14:paraId="4B5DE63F" w14:textId="77777777" w:rsidTr="00AD5406">
        <w:trPr>
          <w:trHeight w:val="225"/>
        </w:trPr>
        <w:tc>
          <w:tcPr>
            <w:tcW w:w="1278" w:type="pct"/>
            <w:tcBorders>
              <w:top w:val="nil"/>
              <w:left w:val="nil"/>
              <w:bottom w:val="nil"/>
              <w:right w:val="nil"/>
            </w:tcBorders>
            <w:noWrap/>
            <w:vAlign w:val="bottom"/>
            <w:hideMark/>
          </w:tcPr>
          <w:p w14:paraId="4A111CED"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Persons of self-described gender</w:t>
            </w:r>
          </w:p>
        </w:tc>
        <w:tc>
          <w:tcPr>
            <w:tcW w:w="104" w:type="pct"/>
            <w:tcBorders>
              <w:top w:val="nil"/>
              <w:left w:val="nil"/>
              <w:bottom w:val="nil"/>
              <w:right w:val="nil"/>
            </w:tcBorders>
            <w:noWrap/>
            <w:vAlign w:val="bottom"/>
            <w:hideMark/>
          </w:tcPr>
          <w:p w14:paraId="0D8F9CAC"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597A2D87"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F3172FA"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714BFFA"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2215CDE3"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9883ECE"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ADE274C"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77966CDE"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0DB6DD1"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D10DDCA"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6B1979AE" w14:textId="77777777" w:rsidR="00EA5506" w:rsidRPr="00EA5506" w:rsidRDefault="00EA5506" w:rsidP="00EA5506">
            <w:pPr>
              <w:spacing w:before="0" w:after="0"/>
              <w:rPr>
                <w:rFonts w:ascii="Times New Roman" w:hAnsi="Times New Roman"/>
                <w:sz w:val="20"/>
                <w:szCs w:val="20"/>
              </w:rPr>
            </w:pPr>
          </w:p>
        </w:tc>
      </w:tr>
      <w:tr w:rsidR="00EA5506" w:rsidRPr="00EA5506" w14:paraId="6164131A" w14:textId="77777777" w:rsidTr="00AD5406">
        <w:trPr>
          <w:trHeight w:val="225"/>
        </w:trPr>
        <w:tc>
          <w:tcPr>
            <w:tcW w:w="1278" w:type="pct"/>
            <w:tcBorders>
              <w:top w:val="nil"/>
              <w:left w:val="nil"/>
              <w:bottom w:val="nil"/>
              <w:right w:val="nil"/>
            </w:tcBorders>
            <w:noWrap/>
            <w:vAlign w:val="bottom"/>
            <w:hideMark/>
          </w:tcPr>
          <w:p w14:paraId="6C56D73A"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Vacant positions</w:t>
            </w:r>
          </w:p>
        </w:tc>
        <w:tc>
          <w:tcPr>
            <w:tcW w:w="104" w:type="pct"/>
            <w:tcBorders>
              <w:top w:val="nil"/>
              <w:left w:val="nil"/>
              <w:bottom w:val="nil"/>
              <w:right w:val="nil"/>
            </w:tcBorders>
            <w:noWrap/>
            <w:vAlign w:val="bottom"/>
            <w:hideMark/>
          </w:tcPr>
          <w:p w14:paraId="5A8BABD4"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3B4BC34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48E42EB"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0AA14F3"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7F2977A"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0A9FE1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4845E03"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5178DC1"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3A5F7D6"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121949A"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004E92D8" w14:textId="77777777" w:rsidR="00EA5506" w:rsidRPr="00EA5506" w:rsidRDefault="00EA5506" w:rsidP="00EA5506">
            <w:pPr>
              <w:spacing w:before="0" w:after="0"/>
              <w:rPr>
                <w:rFonts w:ascii="Times New Roman" w:hAnsi="Times New Roman"/>
                <w:sz w:val="20"/>
                <w:szCs w:val="20"/>
              </w:rPr>
            </w:pPr>
          </w:p>
        </w:tc>
      </w:tr>
      <w:tr w:rsidR="00EA5506" w:rsidRPr="00EA5506" w14:paraId="765B5674" w14:textId="77777777" w:rsidTr="00AD5406">
        <w:trPr>
          <w:trHeight w:val="225"/>
        </w:trPr>
        <w:tc>
          <w:tcPr>
            <w:tcW w:w="1278" w:type="pct"/>
            <w:tcBorders>
              <w:top w:val="nil"/>
              <w:left w:val="nil"/>
              <w:bottom w:val="nil"/>
              <w:right w:val="nil"/>
            </w:tcBorders>
            <w:noWrap/>
            <w:vAlign w:val="bottom"/>
            <w:hideMark/>
          </w:tcPr>
          <w:p w14:paraId="573DBF58"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New positions</w:t>
            </w:r>
          </w:p>
        </w:tc>
        <w:tc>
          <w:tcPr>
            <w:tcW w:w="104" w:type="pct"/>
            <w:tcBorders>
              <w:top w:val="nil"/>
              <w:left w:val="nil"/>
              <w:bottom w:val="nil"/>
              <w:right w:val="nil"/>
            </w:tcBorders>
            <w:noWrap/>
            <w:vAlign w:val="bottom"/>
            <w:hideMark/>
          </w:tcPr>
          <w:p w14:paraId="76E280D0"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6A749057"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4D23F49"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0D299A7"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A5D761C"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E88CCDD"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21281912"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A5698C4"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72F46C9"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BBB4D9C"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1B9D232E" w14:textId="77777777" w:rsidR="00EA5506" w:rsidRPr="00EA5506" w:rsidRDefault="00EA5506" w:rsidP="00EA5506">
            <w:pPr>
              <w:spacing w:before="0" w:after="0"/>
              <w:rPr>
                <w:rFonts w:ascii="Times New Roman" w:hAnsi="Times New Roman"/>
                <w:sz w:val="20"/>
                <w:szCs w:val="20"/>
              </w:rPr>
            </w:pPr>
          </w:p>
        </w:tc>
      </w:tr>
      <w:tr w:rsidR="00EA5506" w:rsidRPr="00EA5506" w14:paraId="7D535F6F" w14:textId="77777777" w:rsidTr="00AD5406">
        <w:trPr>
          <w:trHeight w:val="225"/>
        </w:trPr>
        <w:tc>
          <w:tcPr>
            <w:tcW w:w="1381" w:type="pct"/>
            <w:gridSpan w:val="2"/>
            <w:tcBorders>
              <w:top w:val="nil"/>
              <w:left w:val="nil"/>
              <w:bottom w:val="nil"/>
              <w:right w:val="nil"/>
            </w:tcBorders>
            <w:noWrap/>
            <w:vAlign w:val="bottom"/>
            <w:hideMark/>
          </w:tcPr>
          <w:p w14:paraId="29108991"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Total Chief Executive Officer</w:t>
            </w:r>
          </w:p>
        </w:tc>
        <w:tc>
          <w:tcPr>
            <w:tcW w:w="354" w:type="pct"/>
            <w:tcBorders>
              <w:top w:val="single" w:sz="4" w:space="0" w:color="auto"/>
              <w:left w:val="nil"/>
              <w:bottom w:val="single" w:sz="4" w:space="0" w:color="auto"/>
              <w:right w:val="nil"/>
            </w:tcBorders>
            <w:noWrap/>
            <w:vAlign w:val="bottom"/>
            <w:hideMark/>
          </w:tcPr>
          <w:p w14:paraId="7A7A490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single" w:sz="4" w:space="0" w:color="auto"/>
              <w:left w:val="nil"/>
              <w:bottom w:val="single" w:sz="4" w:space="0" w:color="auto"/>
              <w:right w:val="nil"/>
            </w:tcBorders>
            <w:noWrap/>
            <w:vAlign w:val="bottom"/>
            <w:hideMark/>
          </w:tcPr>
          <w:p w14:paraId="40508B1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single" w:sz="4" w:space="0" w:color="auto"/>
              <w:left w:val="nil"/>
              <w:bottom w:val="single" w:sz="4" w:space="0" w:color="auto"/>
              <w:right w:val="nil"/>
            </w:tcBorders>
            <w:noWrap/>
            <w:vAlign w:val="bottom"/>
            <w:hideMark/>
          </w:tcPr>
          <w:p w14:paraId="6CF449B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single" w:sz="4" w:space="0" w:color="auto"/>
              <w:left w:val="nil"/>
              <w:bottom w:val="single" w:sz="4" w:space="0" w:color="auto"/>
              <w:right w:val="nil"/>
            </w:tcBorders>
            <w:noWrap/>
            <w:vAlign w:val="bottom"/>
            <w:hideMark/>
          </w:tcPr>
          <w:p w14:paraId="72BCEE4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single" w:sz="4" w:space="0" w:color="auto"/>
              <w:left w:val="nil"/>
              <w:bottom w:val="single" w:sz="4" w:space="0" w:color="auto"/>
              <w:right w:val="nil"/>
            </w:tcBorders>
            <w:noWrap/>
            <w:vAlign w:val="bottom"/>
            <w:hideMark/>
          </w:tcPr>
          <w:p w14:paraId="550F3E3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single" w:sz="4" w:space="0" w:color="auto"/>
              <w:left w:val="nil"/>
              <w:bottom w:val="single" w:sz="4" w:space="0" w:color="auto"/>
              <w:right w:val="nil"/>
            </w:tcBorders>
            <w:noWrap/>
            <w:vAlign w:val="bottom"/>
            <w:hideMark/>
          </w:tcPr>
          <w:p w14:paraId="44D2A50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single" w:sz="4" w:space="0" w:color="auto"/>
              <w:left w:val="nil"/>
              <w:bottom w:val="single" w:sz="4" w:space="0" w:color="auto"/>
              <w:right w:val="nil"/>
            </w:tcBorders>
            <w:noWrap/>
            <w:vAlign w:val="bottom"/>
            <w:hideMark/>
          </w:tcPr>
          <w:p w14:paraId="6011468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single" w:sz="4" w:space="0" w:color="auto"/>
              <w:left w:val="nil"/>
              <w:bottom w:val="single" w:sz="4" w:space="0" w:color="auto"/>
              <w:right w:val="nil"/>
            </w:tcBorders>
            <w:noWrap/>
            <w:vAlign w:val="bottom"/>
            <w:hideMark/>
          </w:tcPr>
          <w:p w14:paraId="11CC364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single" w:sz="4" w:space="0" w:color="auto"/>
              <w:left w:val="nil"/>
              <w:bottom w:val="single" w:sz="4" w:space="0" w:color="auto"/>
              <w:right w:val="nil"/>
            </w:tcBorders>
            <w:noWrap/>
            <w:vAlign w:val="bottom"/>
            <w:hideMark/>
          </w:tcPr>
          <w:p w14:paraId="624A742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432" w:type="pct"/>
            <w:tcBorders>
              <w:top w:val="single" w:sz="4" w:space="0" w:color="auto"/>
              <w:left w:val="nil"/>
              <w:bottom w:val="single" w:sz="4" w:space="0" w:color="auto"/>
              <w:right w:val="nil"/>
            </w:tcBorders>
            <w:noWrap/>
            <w:vAlign w:val="bottom"/>
            <w:hideMark/>
          </w:tcPr>
          <w:p w14:paraId="5D57689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r>
      <w:tr w:rsidR="00EA5506" w:rsidRPr="00EA5506" w14:paraId="5F895BFD" w14:textId="77777777" w:rsidTr="00AD5406">
        <w:trPr>
          <w:trHeight w:val="225"/>
        </w:trPr>
        <w:tc>
          <w:tcPr>
            <w:tcW w:w="2797" w:type="pct"/>
            <w:gridSpan w:val="6"/>
            <w:tcBorders>
              <w:top w:val="nil"/>
              <w:left w:val="nil"/>
              <w:bottom w:val="nil"/>
              <w:right w:val="nil"/>
            </w:tcBorders>
            <w:noWrap/>
            <w:vAlign w:val="bottom"/>
            <w:hideMark/>
          </w:tcPr>
          <w:p w14:paraId="02812096" w14:textId="77777777" w:rsidR="00EA5506" w:rsidRPr="00EA5506" w:rsidRDefault="00EA5506" w:rsidP="00EA5506">
            <w:pPr>
              <w:spacing w:before="0" w:after="0"/>
              <w:jc w:val="right"/>
              <w:rPr>
                <w:rFonts w:ascii="Arial" w:hAnsi="Arial" w:cs="Arial"/>
                <w:sz w:val="16"/>
                <w:szCs w:val="16"/>
              </w:rPr>
            </w:pPr>
          </w:p>
        </w:tc>
        <w:tc>
          <w:tcPr>
            <w:tcW w:w="354" w:type="pct"/>
            <w:tcBorders>
              <w:top w:val="nil"/>
              <w:left w:val="nil"/>
              <w:bottom w:val="nil"/>
              <w:right w:val="nil"/>
            </w:tcBorders>
            <w:noWrap/>
            <w:vAlign w:val="bottom"/>
            <w:hideMark/>
          </w:tcPr>
          <w:p w14:paraId="2ECBC654" w14:textId="77777777" w:rsidR="00EA5506" w:rsidRPr="00EA5506" w:rsidRDefault="00EA5506" w:rsidP="00EA5506">
            <w:pPr>
              <w:spacing w:before="0" w:after="0"/>
              <w:jc w:val="center"/>
              <w:rPr>
                <w:rFonts w:ascii="Times New Roman" w:hAnsi="Times New Roman"/>
                <w:sz w:val="20"/>
                <w:szCs w:val="20"/>
              </w:rPr>
            </w:pPr>
          </w:p>
        </w:tc>
        <w:tc>
          <w:tcPr>
            <w:tcW w:w="354" w:type="pct"/>
            <w:tcBorders>
              <w:top w:val="nil"/>
              <w:left w:val="nil"/>
              <w:bottom w:val="nil"/>
              <w:right w:val="nil"/>
            </w:tcBorders>
            <w:noWrap/>
            <w:vAlign w:val="bottom"/>
            <w:hideMark/>
          </w:tcPr>
          <w:p w14:paraId="5A8441F5"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EE342C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F84851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69F16AF6"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6DA14963" w14:textId="77777777" w:rsidR="00EA5506" w:rsidRPr="00EA5506" w:rsidRDefault="00EA5506" w:rsidP="00EA5506">
            <w:pPr>
              <w:spacing w:before="0" w:after="0"/>
              <w:rPr>
                <w:rFonts w:ascii="Times New Roman" w:hAnsi="Times New Roman"/>
                <w:sz w:val="20"/>
                <w:szCs w:val="20"/>
              </w:rPr>
            </w:pPr>
          </w:p>
        </w:tc>
      </w:tr>
      <w:tr w:rsidR="00EA5506" w:rsidRPr="00EA5506" w14:paraId="71699C16" w14:textId="77777777" w:rsidTr="00AD5406">
        <w:trPr>
          <w:trHeight w:val="225"/>
        </w:trPr>
        <w:tc>
          <w:tcPr>
            <w:tcW w:w="2797" w:type="pct"/>
            <w:gridSpan w:val="6"/>
            <w:tcBorders>
              <w:top w:val="nil"/>
              <w:left w:val="nil"/>
              <w:bottom w:val="nil"/>
              <w:right w:val="nil"/>
            </w:tcBorders>
            <w:noWrap/>
            <w:vAlign w:val="bottom"/>
            <w:hideMark/>
          </w:tcPr>
          <w:p w14:paraId="339AF105"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Community &amp; Planning Services</w:t>
            </w:r>
          </w:p>
        </w:tc>
        <w:tc>
          <w:tcPr>
            <w:tcW w:w="354" w:type="pct"/>
            <w:tcBorders>
              <w:top w:val="nil"/>
              <w:left w:val="nil"/>
              <w:bottom w:val="nil"/>
              <w:right w:val="nil"/>
            </w:tcBorders>
            <w:noWrap/>
            <w:vAlign w:val="bottom"/>
            <w:hideMark/>
          </w:tcPr>
          <w:p w14:paraId="5A1D2D2C" w14:textId="77777777" w:rsidR="00EA5506" w:rsidRPr="00EA5506" w:rsidRDefault="00EA5506" w:rsidP="00EA5506">
            <w:pPr>
              <w:spacing w:before="0" w:after="0"/>
              <w:rPr>
                <w:rFonts w:ascii="Arial" w:hAnsi="Arial" w:cs="Arial"/>
                <w:b/>
                <w:bCs/>
                <w:sz w:val="16"/>
                <w:szCs w:val="16"/>
              </w:rPr>
            </w:pPr>
          </w:p>
        </w:tc>
        <w:tc>
          <w:tcPr>
            <w:tcW w:w="354" w:type="pct"/>
            <w:tcBorders>
              <w:top w:val="nil"/>
              <w:left w:val="nil"/>
              <w:bottom w:val="nil"/>
              <w:right w:val="nil"/>
            </w:tcBorders>
            <w:noWrap/>
            <w:vAlign w:val="bottom"/>
            <w:hideMark/>
          </w:tcPr>
          <w:p w14:paraId="2C5AE174"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587EB45"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A597E86"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657A6F6"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3BACDB66" w14:textId="77777777" w:rsidR="00EA5506" w:rsidRPr="00EA5506" w:rsidRDefault="00EA5506" w:rsidP="00EA5506">
            <w:pPr>
              <w:spacing w:before="0" w:after="0"/>
              <w:rPr>
                <w:rFonts w:ascii="Times New Roman" w:hAnsi="Times New Roman"/>
                <w:sz w:val="20"/>
                <w:szCs w:val="20"/>
              </w:rPr>
            </w:pPr>
          </w:p>
        </w:tc>
      </w:tr>
      <w:tr w:rsidR="00EA5506" w:rsidRPr="00EA5506" w14:paraId="58BAFEA3" w14:textId="77777777" w:rsidTr="00AD5406">
        <w:trPr>
          <w:trHeight w:val="225"/>
        </w:trPr>
        <w:tc>
          <w:tcPr>
            <w:tcW w:w="1381" w:type="pct"/>
            <w:gridSpan w:val="2"/>
            <w:tcBorders>
              <w:top w:val="nil"/>
              <w:left w:val="nil"/>
              <w:bottom w:val="nil"/>
              <w:right w:val="nil"/>
            </w:tcBorders>
            <w:shd w:val="clear" w:color="000000" w:fill="DAE9F8"/>
            <w:noWrap/>
            <w:vAlign w:val="bottom"/>
            <w:hideMark/>
          </w:tcPr>
          <w:p w14:paraId="7B95F57E" w14:textId="77777777" w:rsidR="00EA5506" w:rsidRPr="00EA5506" w:rsidRDefault="00EA5506" w:rsidP="00EA5506">
            <w:pPr>
              <w:spacing w:before="0" w:after="0"/>
              <w:rPr>
                <w:rFonts w:ascii="Arial" w:hAnsi="Arial" w:cs="Arial"/>
                <w:sz w:val="16"/>
                <w:szCs w:val="16"/>
              </w:rPr>
            </w:pPr>
            <w:r w:rsidRPr="00EA5506">
              <w:rPr>
                <w:rFonts w:ascii="Arial" w:hAnsi="Arial" w:cs="Arial"/>
                <w:sz w:val="16"/>
                <w:szCs w:val="16"/>
              </w:rPr>
              <w:t>Permanent - Full time</w:t>
            </w:r>
          </w:p>
        </w:tc>
        <w:tc>
          <w:tcPr>
            <w:tcW w:w="354" w:type="pct"/>
            <w:tcBorders>
              <w:top w:val="nil"/>
              <w:left w:val="nil"/>
              <w:bottom w:val="nil"/>
              <w:right w:val="nil"/>
            </w:tcBorders>
            <w:shd w:val="clear" w:color="000000" w:fill="DAE9F8"/>
            <w:noWrap/>
            <w:vAlign w:val="bottom"/>
            <w:hideMark/>
          </w:tcPr>
          <w:p w14:paraId="42F7EC9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c>
          <w:tcPr>
            <w:tcW w:w="354" w:type="pct"/>
            <w:tcBorders>
              <w:top w:val="nil"/>
              <w:left w:val="nil"/>
              <w:bottom w:val="nil"/>
              <w:right w:val="nil"/>
            </w:tcBorders>
            <w:shd w:val="clear" w:color="000000" w:fill="DAE9F8"/>
            <w:noWrap/>
            <w:vAlign w:val="bottom"/>
            <w:hideMark/>
          </w:tcPr>
          <w:p w14:paraId="3C3B520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c>
          <w:tcPr>
            <w:tcW w:w="354" w:type="pct"/>
            <w:tcBorders>
              <w:top w:val="nil"/>
              <w:left w:val="nil"/>
              <w:bottom w:val="nil"/>
              <w:right w:val="nil"/>
            </w:tcBorders>
            <w:shd w:val="clear" w:color="000000" w:fill="DAE9F8"/>
            <w:noWrap/>
            <w:vAlign w:val="bottom"/>
            <w:hideMark/>
          </w:tcPr>
          <w:p w14:paraId="4AC6270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c>
          <w:tcPr>
            <w:tcW w:w="354" w:type="pct"/>
            <w:tcBorders>
              <w:top w:val="nil"/>
              <w:left w:val="nil"/>
              <w:bottom w:val="nil"/>
              <w:right w:val="nil"/>
            </w:tcBorders>
            <w:shd w:val="clear" w:color="000000" w:fill="DAE9F8"/>
            <w:noWrap/>
            <w:vAlign w:val="bottom"/>
            <w:hideMark/>
          </w:tcPr>
          <w:p w14:paraId="2ED47E5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c>
          <w:tcPr>
            <w:tcW w:w="354" w:type="pct"/>
            <w:tcBorders>
              <w:top w:val="nil"/>
              <w:left w:val="nil"/>
              <w:bottom w:val="nil"/>
              <w:right w:val="nil"/>
            </w:tcBorders>
            <w:shd w:val="clear" w:color="000000" w:fill="DAE9F8"/>
            <w:noWrap/>
            <w:vAlign w:val="bottom"/>
            <w:hideMark/>
          </w:tcPr>
          <w:p w14:paraId="28FF323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c>
          <w:tcPr>
            <w:tcW w:w="354" w:type="pct"/>
            <w:tcBorders>
              <w:top w:val="nil"/>
              <w:left w:val="nil"/>
              <w:bottom w:val="nil"/>
              <w:right w:val="nil"/>
            </w:tcBorders>
            <w:shd w:val="clear" w:color="000000" w:fill="DAE9F8"/>
            <w:noWrap/>
            <w:vAlign w:val="bottom"/>
            <w:hideMark/>
          </w:tcPr>
          <w:p w14:paraId="6136F9D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c>
          <w:tcPr>
            <w:tcW w:w="354" w:type="pct"/>
            <w:tcBorders>
              <w:top w:val="nil"/>
              <w:left w:val="nil"/>
              <w:bottom w:val="nil"/>
              <w:right w:val="nil"/>
            </w:tcBorders>
            <w:shd w:val="clear" w:color="000000" w:fill="DAE9F8"/>
            <w:noWrap/>
            <w:vAlign w:val="bottom"/>
            <w:hideMark/>
          </w:tcPr>
          <w:p w14:paraId="151BA95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c>
          <w:tcPr>
            <w:tcW w:w="354" w:type="pct"/>
            <w:tcBorders>
              <w:top w:val="nil"/>
              <w:left w:val="nil"/>
              <w:bottom w:val="nil"/>
              <w:right w:val="nil"/>
            </w:tcBorders>
            <w:shd w:val="clear" w:color="000000" w:fill="DAE9F8"/>
            <w:noWrap/>
            <w:vAlign w:val="bottom"/>
            <w:hideMark/>
          </w:tcPr>
          <w:p w14:paraId="613C283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c>
          <w:tcPr>
            <w:tcW w:w="354" w:type="pct"/>
            <w:tcBorders>
              <w:top w:val="nil"/>
              <w:left w:val="nil"/>
              <w:bottom w:val="nil"/>
              <w:right w:val="nil"/>
            </w:tcBorders>
            <w:shd w:val="clear" w:color="000000" w:fill="DAE9F8"/>
            <w:noWrap/>
            <w:vAlign w:val="bottom"/>
            <w:hideMark/>
          </w:tcPr>
          <w:p w14:paraId="5BE006B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c>
          <w:tcPr>
            <w:tcW w:w="432" w:type="pct"/>
            <w:tcBorders>
              <w:top w:val="nil"/>
              <w:left w:val="nil"/>
              <w:bottom w:val="nil"/>
              <w:right w:val="nil"/>
            </w:tcBorders>
            <w:shd w:val="clear" w:color="000000" w:fill="DAE9F8"/>
            <w:noWrap/>
            <w:vAlign w:val="bottom"/>
            <w:hideMark/>
          </w:tcPr>
          <w:p w14:paraId="3C6DBB6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148.7</w:t>
            </w:r>
          </w:p>
        </w:tc>
      </w:tr>
      <w:tr w:rsidR="00EA5506" w:rsidRPr="00EA5506" w14:paraId="1696D461" w14:textId="77777777" w:rsidTr="00AD5406">
        <w:trPr>
          <w:trHeight w:val="225"/>
        </w:trPr>
        <w:tc>
          <w:tcPr>
            <w:tcW w:w="1278" w:type="pct"/>
            <w:tcBorders>
              <w:top w:val="nil"/>
              <w:left w:val="nil"/>
              <w:bottom w:val="nil"/>
              <w:right w:val="nil"/>
            </w:tcBorders>
            <w:noWrap/>
            <w:vAlign w:val="bottom"/>
            <w:hideMark/>
          </w:tcPr>
          <w:p w14:paraId="18C7911A"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Women</w:t>
            </w:r>
          </w:p>
        </w:tc>
        <w:tc>
          <w:tcPr>
            <w:tcW w:w="104" w:type="pct"/>
            <w:tcBorders>
              <w:top w:val="nil"/>
              <w:left w:val="nil"/>
              <w:bottom w:val="nil"/>
              <w:right w:val="nil"/>
            </w:tcBorders>
            <w:noWrap/>
            <w:vAlign w:val="bottom"/>
            <w:hideMark/>
          </w:tcPr>
          <w:p w14:paraId="3B165CC6"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63F1F8F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c>
          <w:tcPr>
            <w:tcW w:w="354" w:type="pct"/>
            <w:tcBorders>
              <w:top w:val="nil"/>
              <w:left w:val="nil"/>
              <w:bottom w:val="nil"/>
              <w:right w:val="nil"/>
            </w:tcBorders>
            <w:noWrap/>
            <w:vAlign w:val="bottom"/>
            <w:hideMark/>
          </w:tcPr>
          <w:p w14:paraId="54E8D7D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c>
          <w:tcPr>
            <w:tcW w:w="354" w:type="pct"/>
            <w:tcBorders>
              <w:top w:val="nil"/>
              <w:left w:val="nil"/>
              <w:bottom w:val="nil"/>
              <w:right w:val="nil"/>
            </w:tcBorders>
            <w:noWrap/>
            <w:vAlign w:val="bottom"/>
            <w:hideMark/>
          </w:tcPr>
          <w:p w14:paraId="03AC870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c>
          <w:tcPr>
            <w:tcW w:w="354" w:type="pct"/>
            <w:tcBorders>
              <w:top w:val="nil"/>
              <w:left w:val="nil"/>
              <w:bottom w:val="nil"/>
              <w:right w:val="nil"/>
            </w:tcBorders>
            <w:noWrap/>
            <w:vAlign w:val="bottom"/>
            <w:hideMark/>
          </w:tcPr>
          <w:p w14:paraId="0CC5EFE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c>
          <w:tcPr>
            <w:tcW w:w="354" w:type="pct"/>
            <w:tcBorders>
              <w:top w:val="nil"/>
              <w:left w:val="nil"/>
              <w:bottom w:val="nil"/>
              <w:right w:val="nil"/>
            </w:tcBorders>
            <w:noWrap/>
            <w:vAlign w:val="bottom"/>
            <w:hideMark/>
          </w:tcPr>
          <w:p w14:paraId="2091B6F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c>
          <w:tcPr>
            <w:tcW w:w="354" w:type="pct"/>
            <w:tcBorders>
              <w:top w:val="nil"/>
              <w:left w:val="nil"/>
              <w:bottom w:val="nil"/>
              <w:right w:val="nil"/>
            </w:tcBorders>
            <w:noWrap/>
            <w:vAlign w:val="bottom"/>
            <w:hideMark/>
          </w:tcPr>
          <w:p w14:paraId="11248B6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c>
          <w:tcPr>
            <w:tcW w:w="354" w:type="pct"/>
            <w:tcBorders>
              <w:top w:val="nil"/>
              <w:left w:val="nil"/>
              <w:bottom w:val="nil"/>
              <w:right w:val="nil"/>
            </w:tcBorders>
            <w:noWrap/>
            <w:vAlign w:val="bottom"/>
            <w:hideMark/>
          </w:tcPr>
          <w:p w14:paraId="4204C35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c>
          <w:tcPr>
            <w:tcW w:w="354" w:type="pct"/>
            <w:tcBorders>
              <w:top w:val="nil"/>
              <w:left w:val="nil"/>
              <w:bottom w:val="nil"/>
              <w:right w:val="nil"/>
            </w:tcBorders>
            <w:noWrap/>
            <w:vAlign w:val="bottom"/>
            <w:hideMark/>
          </w:tcPr>
          <w:p w14:paraId="4BC5A62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c>
          <w:tcPr>
            <w:tcW w:w="354" w:type="pct"/>
            <w:tcBorders>
              <w:top w:val="nil"/>
              <w:left w:val="nil"/>
              <w:bottom w:val="nil"/>
              <w:right w:val="nil"/>
            </w:tcBorders>
            <w:noWrap/>
            <w:vAlign w:val="bottom"/>
            <w:hideMark/>
          </w:tcPr>
          <w:p w14:paraId="788535E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c>
          <w:tcPr>
            <w:tcW w:w="432" w:type="pct"/>
            <w:tcBorders>
              <w:top w:val="nil"/>
              <w:left w:val="nil"/>
              <w:bottom w:val="nil"/>
              <w:right w:val="nil"/>
            </w:tcBorders>
            <w:noWrap/>
            <w:vAlign w:val="bottom"/>
            <w:hideMark/>
          </w:tcPr>
          <w:p w14:paraId="2972078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96.4</w:t>
            </w:r>
          </w:p>
        </w:tc>
      </w:tr>
      <w:tr w:rsidR="00EA5506" w:rsidRPr="00EA5506" w14:paraId="2B3409D5" w14:textId="77777777" w:rsidTr="00AD5406">
        <w:trPr>
          <w:trHeight w:val="225"/>
        </w:trPr>
        <w:tc>
          <w:tcPr>
            <w:tcW w:w="1278" w:type="pct"/>
            <w:tcBorders>
              <w:top w:val="nil"/>
              <w:left w:val="nil"/>
              <w:bottom w:val="nil"/>
              <w:right w:val="nil"/>
            </w:tcBorders>
            <w:noWrap/>
            <w:vAlign w:val="bottom"/>
            <w:hideMark/>
          </w:tcPr>
          <w:p w14:paraId="335E5206"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 xml:space="preserve">Men </w:t>
            </w:r>
          </w:p>
        </w:tc>
        <w:tc>
          <w:tcPr>
            <w:tcW w:w="104" w:type="pct"/>
            <w:tcBorders>
              <w:top w:val="nil"/>
              <w:left w:val="nil"/>
              <w:bottom w:val="nil"/>
              <w:right w:val="nil"/>
            </w:tcBorders>
            <w:noWrap/>
            <w:vAlign w:val="bottom"/>
            <w:hideMark/>
          </w:tcPr>
          <w:p w14:paraId="447D8047"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1DAF044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c>
          <w:tcPr>
            <w:tcW w:w="354" w:type="pct"/>
            <w:tcBorders>
              <w:top w:val="nil"/>
              <w:left w:val="nil"/>
              <w:bottom w:val="nil"/>
              <w:right w:val="nil"/>
            </w:tcBorders>
            <w:noWrap/>
            <w:vAlign w:val="bottom"/>
            <w:hideMark/>
          </w:tcPr>
          <w:p w14:paraId="5E44D60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c>
          <w:tcPr>
            <w:tcW w:w="354" w:type="pct"/>
            <w:tcBorders>
              <w:top w:val="nil"/>
              <w:left w:val="nil"/>
              <w:bottom w:val="nil"/>
              <w:right w:val="nil"/>
            </w:tcBorders>
            <w:noWrap/>
            <w:vAlign w:val="bottom"/>
            <w:hideMark/>
          </w:tcPr>
          <w:p w14:paraId="11D31B5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c>
          <w:tcPr>
            <w:tcW w:w="354" w:type="pct"/>
            <w:tcBorders>
              <w:top w:val="nil"/>
              <w:left w:val="nil"/>
              <w:bottom w:val="nil"/>
              <w:right w:val="nil"/>
            </w:tcBorders>
            <w:noWrap/>
            <w:vAlign w:val="bottom"/>
            <w:hideMark/>
          </w:tcPr>
          <w:p w14:paraId="6ACCA1C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c>
          <w:tcPr>
            <w:tcW w:w="354" w:type="pct"/>
            <w:tcBorders>
              <w:top w:val="nil"/>
              <w:left w:val="nil"/>
              <w:bottom w:val="nil"/>
              <w:right w:val="nil"/>
            </w:tcBorders>
            <w:noWrap/>
            <w:vAlign w:val="bottom"/>
            <w:hideMark/>
          </w:tcPr>
          <w:p w14:paraId="47686DC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c>
          <w:tcPr>
            <w:tcW w:w="354" w:type="pct"/>
            <w:tcBorders>
              <w:top w:val="nil"/>
              <w:left w:val="nil"/>
              <w:bottom w:val="nil"/>
              <w:right w:val="nil"/>
            </w:tcBorders>
            <w:noWrap/>
            <w:vAlign w:val="bottom"/>
            <w:hideMark/>
          </w:tcPr>
          <w:p w14:paraId="0C48FEA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c>
          <w:tcPr>
            <w:tcW w:w="354" w:type="pct"/>
            <w:tcBorders>
              <w:top w:val="nil"/>
              <w:left w:val="nil"/>
              <w:bottom w:val="nil"/>
              <w:right w:val="nil"/>
            </w:tcBorders>
            <w:noWrap/>
            <w:vAlign w:val="bottom"/>
            <w:hideMark/>
          </w:tcPr>
          <w:p w14:paraId="675E3AC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c>
          <w:tcPr>
            <w:tcW w:w="354" w:type="pct"/>
            <w:tcBorders>
              <w:top w:val="nil"/>
              <w:left w:val="nil"/>
              <w:bottom w:val="nil"/>
              <w:right w:val="nil"/>
            </w:tcBorders>
            <w:noWrap/>
            <w:vAlign w:val="bottom"/>
            <w:hideMark/>
          </w:tcPr>
          <w:p w14:paraId="250317D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c>
          <w:tcPr>
            <w:tcW w:w="354" w:type="pct"/>
            <w:tcBorders>
              <w:top w:val="nil"/>
              <w:left w:val="nil"/>
              <w:bottom w:val="nil"/>
              <w:right w:val="nil"/>
            </w:tcBorders>
            <w:noWrap/>
            <w:vAlign w:val="bottom"/>
            <w:hideMark/>
          </w:tcPr>
          <w:p w14:paraId="02B6DB5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c>
          <w:tcPr>
            <w:tcW w:w="432" w:type="pct"/>
            <w:tcBorders>
              <w:top w:val="nil"/>
              <w:left w:val="nil"/>
              <w:bottom w:val="nil"/>
              <w:right w:val="nil"/>
            </w:tcBorders>
            <w:noWrap/>
            <w:vAlign w:val="bottom"/>
            <w:hideMark/>
          </w:tcPr>
          <w:p w14:paraId="3C08731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35.8</w:t>
            </w:r>
          </w:p>
        </w:tc>
      </w:tr>
      <w:tr w:rsidR="00EA5506" w:rsidRPr="00EA5506" w14:paraId="69BE8E35" w14:textId="77777777" w:rsidTr="00AD5406">
        <w:trPr>
          <w:trHeight w:val="225"/>
        </w:trPr>
        <w:tc>
          <w:tcPr>
            <w:tcW w:w="1278" w:type="pct"/>
            <w:tcBorders>
              <w:top w:val="nil"/>
              <w:left w:val="nil"/>
              <w:bottom w:val="nil"/>
              <w:right w:val="nil"/>
            </w:tcBorders>
            <w:noWrap/>
            <w:vAlign w:val="bottom"/>
            <w:hideMark/>
          </w:tcPr>
          <w:p w14:paraId="0669FE02"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Persons of self-described gender</w:t>
            </w:r>
          </w:p>
        </w:tc>
        <w:tc>
          <w:tcPr>
            <w:tcW w:w="104" w:type="pct"/>
            <w:tcBorders>
              <w:top w:val="nil"/>
              <w:left w:val="nil"/>
              <w:bottom w:val="nil"/>
              <w:right w:val="nil"/>
            </w:tcBorders>
            <w:noWrap/>
            <w:vAlign w:val="bottom"/>
            <w:hideMark/>
          </w:tcPr>
          <w:p w14:paraId="2B424D19"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29947EA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40CC1DA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19A0D4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DFBF11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55D2E9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62D2116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2FF28A7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6B7B0B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5003CF2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432" w:type="pct"/>
            <w:tcBorders>
              <w:top w:val="nil"/>
              <w:left w:val="nil"/>
              <w:bottom w:val="nil"/>
              <w:right w:val="nil"/>
            </w:tcBorders>
            <w:noWrap/>
            <w:vAlign w:val="bottom"/>
            <w:hideMark/>
          </w:tcPr>
          <w:p w14:paraId="3D2FB1A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r>
      <w:tr w:rsidR="00EA5506" w:rsidRPr="00EA5506" w14:paraId="0BBDC68C" w14:textId="77777777" w:rsidTr="00AD5406">
        <w:trPr>
          <w:trHeight w:val="225"/>
        </w:trPr>
        <w:tc>
          <w:tcPr>
            <w:tcW w:w="1278" w:type="pct"/>
            <w:tcBorders>
              <w:top w:val="nil"/>
              <w:left w:val="nil"/>
              <w:bottom w:val="nil"/>
              <w:right w:val="nil"/>
            </w:tcBorders>
            <w:noWrap/>
            <w:vAlign w:val="bottom"/>
            <w:hideMark/>
          </w:tcPr>
          <w:p w14:paraId="4E6278D8"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Vacant positions</w:t>
            </w:r>
          </w:p>
        </w:tc>
        <w:tc>
          <w:tcPr>
            <w:tcW w:w="104" w:type="pct"/>
            <w:tcBorders>
              <w:top w:val="nil"/>
              <w:left w:val="nil"/>
              <w:bottom w:val="nil"/>
              <w:right w:val="nil"/>
            </w:tcBorders>
            <w:noWrap/>
            <w:vAlign w:val="bottom"/>
            <w:hideMark/>
          </w:tcPr>
          <w:p w14:paraId="32C2DE65"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78DAA00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c>
          <w:tcPr>
            <w:tcW w:w="354" w:type="pct"/>
            <w:tcBorders>
              <w:top w:val="nil"/>
              <w:left w:val="nil"/>
              <w:bottom w:val="nil"/>
              <w:right w:val="nil"/>
            </w:tcBorders>
            <w:noWrap/>
            <w:vAlign w:val="bottom"/>
            <w:hideMark/>
          </w:tcPr>
          <w:p w14:paraId="763B315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c>
          <w:tcPr>
            <w:tcW w:w="354" w:type="pct"/>
            <w:tcBorders>
              <w:top w:val="nil"/>
              <w:left w:val="nil"/>
              <w:bottom w:val="nil"/>
              <w:right w:val="nil"/>
            </w:tcBorders>
            <w:noWrap/>
            <w:vAlign w:val="bottom"/>
            <w:hideMark/>
          </w:tcPr>
          <w:p w14:paraId="57E0EB5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c>
          <w:tcPr>
            <w:tcW w:w="354" w:type="pct"/>
            <w:tcBorders>
              <w:top w:val="nil"/>
              <w:left w:val="nil"/>
              <w:bottom w:val="nil"/>
              <w:right w:val="nil"/>
            </w:tcBorders>
            <w:noWrap/>
            <w:vAlign w:val="bottom"/>
            <w:hideMark/>
          </w:tcPr>
          <w:p w14:paraId="6AB1318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c>
          <w:tcPr>
            <w:tcW w:w="354" w:type="pct"/>
            <w:tcBorders>
              <w:top w:val="nil"/>
              <w:left w:val="nil"/>
              <w:bottom w:val="nil"/>
              <w:right w:val="nil"/>
            </w:tcBorders>
            <w:noWrap/>
            <w:vAlign w:val="bottom"/>
            <w:hideMark/>
          </w:tcPr>
          <w:p w14:paraId="2AC53E5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c>
          <w:tcPr>
            <w:tcW w:w="354" w:type="pct"/>
            <w:tcBorders>
              <w:top w:val="nil"/>
              <w:left w:val="nil"/>
              <w:bottom w:val="nil"/>
              <w:right w:val="nil"/>
            </w:tcBorders>
            <w:noWrap/>
            <w:vAlign w:val="bottom"/>
            <w:hideMark/>
          </w:tcPr>
          <w:p w14:paraId="6BF4671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c>
          <w:tcPr>
            <w:tcW w:w="354" w:type="pct"/>
            <w:tcBorders>
              <w:top w:val="nil"/>
              <w:left w:val="nil"/>
              <w:bottom w:val="nil"/>
              <w:right w:val="nil"/>
            </w:tcBorders>
            <w:noWrap/>
            <w:vAlign w:val="bottom"/>
            <w:hideMark/>
          </w:tcPr>
          <w:p w14:paraId="1A23CA0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c>
          <w:tcPr>
            <w:tcW w:w="354" w:type="pct"/>
            <w:tcBorders>
              <w:top w:val="nil"/>
              <w:left w:val="nil"/>
              <w:bottom w:val="nil"/>
              <w:right w:val="nil"/>
            </w:tcBorders>
            <w:noWrap/>
            <w:vAlign w:val="bottom"/>
            <w:hideMark/>
          </w:tcPr>
          <w:p w14:paraId="6A094A8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c>
          <w:tcPr>
            <w:tcW w:w="354" w:type="pct"/>
            <w:tcBorders>
              <w:top w:val="nil"/>
              <w:left w:val="nil"/>
              <w:bottom w:val="nil"/>
              <w:right w:val="nil"/>
            </w:tcBorders>
            <w:noWrap/>
            <w:vAlign w:val="bottom"/>
            <w:hideMark/>
          </w:tcPr>
          <w:p w14:paraId="017CDF6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c>
          <w:tcPr>
            <w:tcW w:w="432" w:type="pct"/>
            <w:tcBorders>
              <w:top w:val="nil"/>
              <w:left w:val="nil"/>
              <w:bottom w:val="nil"/>
              <w:right w:val="nil"/>
            </w:tcBorders>
            <w:noWrap/>
            <w:vAlign w:val="bottom"/>
            <w:hideMark/>
          </w:tcPr>
          <w:p w14:paraId="2E94564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w:t>
            </w:r>
          </w:p>
        </w:tc>
      </w:tr>
      <w:tr w:rsidR="00EA5506" w:rsidRPr="00EA5506" w14:paraId="0D25D98A" w14:textId="77777777" w:rsidTr="00AD5406">
        <w:trPr>
          <w:trHeight w:val="225"/>
        </w:trPr>
        <w:tc>
          <w:tcPr>
            <w:tcW w:w="1278" w:type="pct"/>
            <w:tcBorders>
              <w:top w:val="nil"/>
              <w:left w:val="nil"/>
              <w:bottom w:val="nil"/>
              <w:right w:val="nil"/>
            </w:tcBorders>
            <w:noWrap/>
            <w:vAlign w:val="bottom"/>
            <w:hideMark/>
          </w:tcPr>
          <w:p w14:paraId="0A769A0E"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New positions</w:t>
            </w:r>
          </w:p>
        </w:tc>
        <w:tc>
          <w:tcPr>
            <w:tcW w:w="104" w:type="pct"/>
            <w:tcBorders>
              <w:top w:val="nil"/>
              <w:left w:val="nil"/>
              <w:bottom w:val="nil"/>
              <w:right w:val="nil"/>
            </w:tcBorders>
            <w:noWrap/>
            <w:vAlign w:val="bottom"/>
            <w:hideMark/>
          </w:tcPr>
          <w:p w14:paraId="0300B4DD"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4D272CB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c>
          <w:tcPr>
            <w:tcW w:w="354" w:type="pct"/>
            <w:tcBorders>
              <w:top w:val="nil"/>
              <w:left w:val="nil"/>
              <w:bottom w:val="nil"/>
              <w:right w:val="nil"/>
            </w:tcBorders>
            <w:noWrap/>
            <w:vAlign w:val="bottom"/>
            <w:hideMark/>
          </w:tcPr>
          <w:p w14:paraId="72EBEB1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c>
          <w:tcPr>
            <w:tcW w:w="354" w:type="pct"/>
            <w:tcBorders>
              <w:top w:val="nil"/>
              <w:left w:val="nil"/>
              <w:bottom w:val="nil"/>
              <w:right w:val="nil"/>
            </w:tcBorders>
            <w:noWrap/>
            <w:vAlign w:val="bottom"/>
            <w:hideMark/>
          </w:tcPr>
          <w:p w14:paraId="5FA6F91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c>
          <w:tcPr>
            <w:tcW w:w="354" w:type="pct"/>
            <w:tcBorders>
              <w:top w:val="nil"/>
              <w:left w:val="nil"/>
              <w:bottom w:val="nil"/>
              <w:right w:val="nil"/>
            </w:tcBorders>
            <w:noWrap/>
            <w:vAlign w:val="bottom"/>
            <w:hideMark/>
          </w:tcPr>
          <w:p w14:paraId="23AFE86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c>
          <w:tcPr>
            <w:tcW w:w="354" w:type="pct"/>
            <w:tcBorders>
              <w:top w:val="nil"/>
              <w:left w:val="nil"/>
              <w:bottom w:val="nil"/>
              <w:right w:val="nil"/>
            </w:tcBorders>
            <w:noWrap/>
            <w:vAlign w:val="bottom"/>
            <w:hideMark/>
          </w:tcPr>
          <w:p w14:paraId="2E73EF4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c>
          <w:tcPr>
            <w:tcW w:w="354" w:type="pct"/>
            <w:tcBorders>
              <w:top w:val="nil"/>
              <w:left w:val="nil"/>
              <w:bottom w:val="nil"/>
              <w:right w:val="nil"/>
            </w:tcBorders>
            <w:noWrap/>
            <w:vAlign w:val="bottom"/>
            <w:hideMark/>
          </w:tcPr>
          <w:p w14:paraId="30AFE05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c>
          <w:tcPr>
            <w:tcW w:w="354" w:type="pct"/>
            <w:tcBorders>
              <w:top w:val="nil"/>
              <w:left w:val="nil"/>
              <w:bottom w:val="nil"/>
              <w:right w:val="nil"/>
            </w:tcBorders>
            <w:noWrap/>
            <w:vAlign w:val="bottom"/>
            <w:hideMark/>
          </w:tcPr>
          <w:p w14:paraId="663E707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c>
          <w:tcPr>
            <w:tcW w:w="354" w:type="pct"/>
            <w:tcBorders>
              <w:top w:val="nil"/>
              <w:left w:val="nil"/>
              <w:bottom w:val="nil"/>
              <w:right w:val="nil"/>
            </w:tcBorders>
            <w:noWrap/>
            <w:vAlign w:val="bottom"/>
            <w:hideMark/>
          </w:tcPr>
          <w:p w14:paraId="046DD05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c>
          <w:tcPr>
            <w:tcW w:w="354" w:type="pct"/>
            <w:tcBorders>
              <w:top w:val="nil"/>
              <w:left w:val="nil"/>
              <w:bottom w:val="nil"/>
              <w:right w:val="nil"/>
            </w:tcBorders>
            <w:noWrap/>
            <w:vAlign w:val="bottom"/>
            <w:hideMark/>
          </w:tcPr>
          <w:p w14:paraId="03DF43A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c>
          <w:tcPr>
            <w:tcW w:w="432" w:type="pct"/>
            <w:tcBorders>
              <w:top w:val="nil"/>
              <w:left w:val="nil"/>
              <w:bottom w:val="nil"/>
              <w:right w:val="nil"/>
            </w:tcBorders>
            <w:noWrap/>
            <w:vAlign w:val="bottom"/>
            <w:hideMark/>
          </w:tcPr>
          <w:p w14:paraId="2733E6B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10.5</w:t>
            </w:r>
          </w:p>
        </w:tc>
      </w:tr>
      <w:tr w:rsidR="00EA5506" w:rsidRPr="00EA5506" w14:paraId="22E1195B" w14:textId="77777777" w:rsidTr="00AD5406">
        <w:trPr>
          <w:trHeight w:val="225"/>
        </w:trPr>
        <w:tc>
          <w:tcPr>
            <w:tcW w:w="1381" w:type="pct"/>
            <w:gridSpan w:val="2"/>
            <w:tcBorders>
              <w:top w:val="nil"/>
              <w:left w:val="nil"/>
              <w:bottom w:val="nil"/>
              <w:right w:val="nil"/>
            </w:tcBorders>
            <w:shd w:val="clear" w:color="000000" w:fill="DAE9F8"/>
            <w:noWrap/>
            <w:vAlign w:val="bottom"/>
            <w:hideMark/>
          </w:tcPr>
          <w:p w14:paraId="00173052" w14:textId="77777777" w:rsidR="00EA5506" w:rsidRPr="00EA5506" w:rsidRDefault="00EA5506" w:rsidP="00EA5506">
            <w:pPr>
              <w:spacing w:before="0" w:after="0"/>
              <w:rPr>
                <w:rFonts w:ascii="Arial" w:hAnsi="Arial" w:cs="Arial"/>
                <w:sz w:val="16"/>
                <w:szCs w:val="16"/>
              </w:rPr>
            </w:pPr>
            <w:r w:rsidRPr="00EA5506">
              <w:rPr>
                <w:rFonts w:ascii="Arial" w:hAnsi="Arial" w:cs="Arial"/>
                <w:sz w:val="16"/>
                <w:szCs w:val="16"/>
              </w:rPr>
              <w:t>Permanent - Part time</w:t>
            </w:r>
          </w:p>
        </w:tc>
        <w:tc>
          <w:tcPr>
            <w:tcW w:w="354" w:type="pct"/>
            <w:tcBorders>
              <w:top w:val="nil"/>
              <w:left w:val="nil"/>
              <w:bottom w:val="nil"/>
              <w:right w:val="nil"/>
            </w:tcBorders>
            <w:shd w:val="clear" w:color="000000" w:fill="DAE9F8"/>
            <w:noWrap/>
            <w:vAlign w:val="bottom"/>
            <w:hideMark/>
          </w:tcPr>
          <w:p w14:paraId="14A55B3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c>
          <w:tcPr>
            <w:tcW w:w="354" w:type="pct"/>
            <w:tcBorders>
              <w:top w:val="nil"/>
              <w:left w:val="nil"/>
              <w:bottom w:val="nil"/>
              <w:right w:val="nil"/>
            </w:tcBorders>
            <w:shd w:val="clear" w:color="000000" w:fill="DAE9F8"/>
            <w:noWrap/>
            <w:vAlign w:val="bottom"/>
            <w:hideMark/>
          </w:tcPr>
          <w:p w14:paraId="26A8DA8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c>
          <w:tcPr>
            <w:tcW w:w="354" w:type="pct"/>
            <w:tcBorders>
              <w:top w:val="nil"/>
              <w:left w:val="nil"/>
              <w:bottom w:val="nil"/>
              <w:right w:val="nil"/>
            </w:tcBorders>
            <w:shd w:val="clear" w:color="000000" w:fill="DAE9F8"/>
            <w:noWrap/>
            <w:vAlign w:val="bottom"/>
            <w:hideMark/>
          </w:tcPr>
          <w:p w14:paraId="36D4E94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c>
          <w:tcPr>
            <w:tcW w:w="354" w:type="pct"/>
            <w:tcBorders>
              <w:top w:val="nil"/>
              <w:left w:val="nil"/>
              <w:bottom w:val="nil"/>
              <w:right w:val="nil"/>
            </w:tcBorders>
            <w:shd w:val="clear" w:color="000000" w:fill="DAE9F8"/>
            <w:noWrap/>
            <w:vAlign w:val="bottom"/>
            <w:hideMark/>
          </w:tcPr>
          <w:p w14:paraId="2105DD7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c>
          <w:tcPr>
            <w:tcW w:w="354" w:type="pct"/>
            <w:tcBorders>
              <w:top w:val="nil"/>
              <w:left w:val="nil"/>
              <w:bottom w:val="nil"/>
              <w:right w:val="nil"/>
            </w:tcBorders>
            <w:shd w:val="clear" w:color="000000" w:fill="DAE9F8"/>
            <w:noWrap/>
            <w:vAlign w:val="bottom"/>
            <w:hideMark/>
          </w:tcPr>
          <w:p w14:paraId="790E49E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c>
          <w:tcPr>
            <w:tcW w:w="354" w:type="pct"/>
            <w:tcBorders>
              <w:top w:val="nil"/>
              <w:left w:val="nil"/>
              <w:bottom w:val="nil"/>
              <w:right w:val="nil"/>
            </w:tcBorders>
            <w:shd w:val="clear" w:color="000000" w:fill="DAE9F8"/>
            <w:noWrap/>
            <w:vAlign w:val="bottom"/>
            <w:hideMark/>
          </w:tcPr>
          <w:p w14:paraId="34358EF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c>
          <w:tcPr>
            <w:tcW w:w="354" w:type="pct"/>
            <w:tcBorders>
              <w:top w:val="nil"/>
              <w:left w:val="nil"/>
              <w:bottom w:val="nil"/>
              <w:right w:val="nil"/>
            </w:tcBorders>
            <w:shd w:val="clear" w:color="000000" w:fill="DAE9F8"/>
            <w:noWrap/>
            <w:vAlign w:val="bottom"/>
            <w:hideMark/>
          </w:tcPr>
          <w:p w14:paraId="05BB4DC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c>
          <w:tcPr>
            <w:tcW w:w="354" w:type="pct"/>
            <w:tcBorders>
              <w:top w:val="nil"/>
              <w:left w:val="nil"/>
              <w:bottom w:val="nil"/>
              <w:right w:val="nil"/>
            </w:tcBorders>
            <w:shd w:val="clear" w:color="000000" w:fill="DAE9F8"/>
            <w:noWrap/>
            <w:vAlign w:val="bottom"/>
            <w:hideMark/>
          </w:tcPr>
          <w:p w14:paraId="7DA3011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c>
          <w:tcPr>
            <w:tcW w:w="354" w:type="pct"/>
            <w:tcBorders>
              <w:top w:val="nil"/>
              <w:left w:val="nil"/>
              <w:bottom w:val="nil"/>
              <w:right w:val="nil"/>
            </w:tcBorders>
            <w:shd w:val="clear" w:color="000000" w:fill="DAE9F8"/>
            <w:noWrap/>
            <w:vAlign w:val="bottom"/>
            <w:hideMark/>
          </w:tcPr>
          <w:p w14:paraId="716E961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c>
          <w:tcPr>
            <w:tcW w:w="432" w:type="pct"/>
            <w:tcBorders>
              <w:top w:val="nil"/>
              <w:left w:val="nil"/>
              <w:bottom w:val="nil"/>
              <w:right w:val="nil"/>
            </w:tcBorders>
            <w:shd w:val="clear" w:color="000000" w:fill="DAE9F8"/>
            <w:noWrap/>
            <w:vAlign w:val="bottom"/>
            <w:hideMark/>
          </w:tcPr>
          <w:p w14:paraId="3A81DBF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60.4</w:t>
            </w:r>
          </w:p>
        </w:tc>
      </w:tr>
      <w:tr w:rsidR="00EA5506" w:rsidRPr="00EA5506" w14:paraId="5588E6E6" w14:textId="77777777" w:rsidTr="00AD5406">
        <w:trPr>
          <w:trHeight w:val="225"/>
        </w:trPr>
        <w:tc>
          <w:tcPr>
            <w:tcW w:w="1278" w:type="pct"/>
            <w:tcBorders>
              <w:top w:val="nil"/>
              <w:left w:val="nil"/>
              <w:bottom w:val="nil"/>
              <w:right w:val="nil"/>
            </w:tcBorders>
            <w:noWrap/>
            <w:vAlign w:val="bottom"/>
            <w:hideMark/>
          </w:tcPr>
          <w:p w14:paraId="3096847D"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Women</w:t>
            </w:r>
          </w:p>
        </w:tc>
        <w:tc>
          <w:tcPr>
            <w:tcW w:w="104" w:type="pct"/>
            <w:tcBorders>
              <w:top w:val="nil"/>
              <w:left w:val="nil"/>
              <w:bottom w:val="nil"/>
              <w:right w:val="nil"/>
            </w:tcBorders>
            <w:noWrap/>
            <w:vAlign w:val="bottom"/>
            <w:hideMark/>
          </w:tcPr>
          <w:p w14:paraId="19656D61"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6321DE0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c>
          <w:tcPr>
            <w:tcW w:w="354" w:type="pct"/>
            <w:tcBorders>
              <w:top w:val="nil"/>
              <w:left w:val="nil"/>
              <w:bottom w:val="nil"/>
              <w:right w:val="nil"/>
            </w:tcBorders>
            <w:noWrap/>
            <w:vAlign w:val="bottom"/>
            <w:hideMark/>
          </w:tcPr>
          <w:p w14:paraId="254FB0C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c>
          <w:tcPr>
            <w:tcW w:w="354" w:type="pct"/>
            <w:tcBorders>
              <w:top w:val="nil"/>
              <w:left w:val="nil"/>
              <w:bottom w:val="nil"/>
              <w:right w:val="nil"/>
            </w:tcBorders>
            <w:noWrap/>
            <w:vAlign w:val="bottom"/>
            <w:hideMark/>
          </w:tcPr>
          <w:p w14:paraId="7D3E5E6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c>
          <w:tcPr>
            <w:tcW w:w="354" w:type="pct"/>
            <w:tcBorders>
              <w:top w:val="nil"/>
              <w:left w:val="nil"/>
              <w:bottom w:val="nil"/>
              <w:right w:val="nil"/>
            </w:tcBorders>
            <w:noWrap/>
            <w:vAlign w:val="bottom"/>
            <w:hideMark/>
          </w:tcPr>
          <w:p w14:paraId="5CB926A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c>
          <w:tcPr>
            <w:tcW w:w="354" w:type="pct"/>
            <w:tcBorders>
              <w:top w:val="nil"/>
              <w:left w:val="nil"/>
              <w:bottom w:val="nil"/>
              <w:right w:val="nil"/>
            </w:tcBorders>
            <w:noWrap/>
            <w:vAlign w:val="bottom"/>
            <w:hideMark/>
          </w:tcPr>
          <w:p w14:paraId="460DCC2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c>
          <w:tcPr>
            <w:tcW w:w="354" w:type="pct"/>
            <w:tcBorders>
              <w:top w:val="nil"/>
              <w:left w:val="nil"/>
              <w:bottom w:val="nil"/>
              <w:right w:val="nil"/>
            </w:tcBorders>
            <w:noWrap/>
            <w:vAlign w:val="bottom"/>
            <w:hideMark/>
          </w:tcPr>
          <w:p w14:paraId="1A5D15E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c>
          <w:tcPr>
            <w:tcW w:w="354" w:type="pct"/>
            <w:tcBorders>
              <w:top w:val="nil"/>
              <w:left w:val="nil"/>
              <w:bottom w:val="nil"/>
              <w:right w:val="nil"/>
            </w:tcBorders>
            <w:noWrap/>
            <w:vAlign w:val="bottom"/>
            <w:hideMark/>
          </w:tcPr>
          <w:p w14:paraId="001E522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c>
          <w:tcPr>
            <w:tcW w:w="354" w:type="pct"/>
            <w:tcBorders>
              <w:top w:val="nil"/>
              <w:left w:val="nil"/>
              <w:bottom w:val="nil"/>
              <w:right w:val="nil"/>
            </w:tcBorders>
            <w:noWrap/>
            <w:vAlign w:val="bottom"/>
            <w:hideMark/>
          </w:tcPr>
          <w:p w14:paraId="2642791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c>
          <w:tcPr>
            <w:tcW w:w="354" w:type="pct"/>
            <w:tcBorders>
              <w:top w:val="nil"/>
              <w:left w:val="nil"/>
              <w:bottom w:val="nil"/>
              <w:right w:val="nil"/>
            </w:tcBorders>
            <w:noWrap/>
            <w:vAlign w:val="bottom"/>
            <w:hideMark/>
          </w:tcPr>
          <w:p w14:paraId="5F2C0F7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c>
          <w:tcPr>
            <w:tcW w:w="432" w:type="pct"/>
            <w:tcBorders>
              <w:top w:val="nil"/>
              <w:left w:val="nil"/>
              <w:bottom w:val="nil"/>
              <w:right w:val="nil"/>
            </w:tcBorders>
            <w:noWrap/>
            <w:vAlign w:val="bottom"/>
            <w:hideMark/>
          </w:tcPr>
          <w:p w14:paraId="3859511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53.6</w:t>
            </w:r>
          </w:p>
        </w:tc>
      </w:tr>
      <w:tr w:rsidR="00EA5506" w:rsidRPr="00EA5506" w14:paraId="3948DDA5" w14:textId="77777777" w:rsidTr="00AD5406">
        <w:trPr>
          <w:trHeight w:val="225"/>
        </w:trPr>
        <w:tc>
          <w:tcPr>
            <w:tcW w:w="1278" w:type="pct"/>
            <w:tcBorders>
              <w:top w:val="nil"/>
              <w:left w:val="nil"/>
              <w:bottom w:val="nil"/>
              <w:right w:val="nil"/>
            </w:tcBorders>
            <w:noWrap/>
            <w:vAlign w:val="bottom"/>
            <w:hideMark/>
          </w:tcPr>
          <w:p w14:paraId="000EF5F4"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 xml:space="preserve">Men </w:t>
            </w:r>
          </w:p>
        </w:tc>
        <w:tc>
          <w:tcPr>
            <w:tcW w:w="104" w:type="pct"/>
            <w:tcBorders>
              <w:top w:val="nil"/>
              <w:left w:val="nil"/>
              <w:bottom w:val="nil"/>
              <w:right w:val="nil"/>
            </w:tcBorders>
            <w:noWrap/>
            <w:vAlign w:val="bottom"/>
            <w:hideMark/>
          </w:tcPr>
          <w:p w14:paraId="58FE306F"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2A95054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c>
          <w:tcPr>
            <w:tcW w:w="354" w:type="pct"/>
            <w:tcBorders>
              <w:top w:val="nil"/>
              <w:left w:val="nil"/>
              <w:bottom w:val="nil"/>
              <w:right w:val="nil"/>
            </w:tcBorders>
            <w:noWrap/>
            <w:vAlign w:val="bottom"/>
            <w:hideMark/>
          </w:tcPr>
          <w:p w14:paraId="31F7DB3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c>
          <w:tcPr>
            <w:tcW w:w="354" w:type="pct"/>
            <w:tcBorders>
              <w:top w:val="nil"/>
              <w:left w:val="nil"/>
              <w:bottom w:val="nil"/>
              <w:right w:val="nil"/>
            </w:tcBorders>
            <w:noWrap/>
            <w:vAlign w:val="bottom"/>
            <w:hideMark/>
          </w:tcPr>
          <w:p w14:paraId="0CA2B5B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c>
          <w:tcPr>
            <w:tcW w:w="354" w:type="pct"/>
            <w:tcBorders>
              <w:top w:val="nil"/>
              <w:left w:val="nil"/>
              <w:bottom w:val="nil"/>
              <w:right w:val="nil"/>
            </w:tcBorders>
            <w:noWrap/>
            <w:vAlign w:val="bottom"/>
            <w:hideMark/>
          </w:tcPr>
          <w:p w14:paraId="5920E47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c>
          <w:tcPr>
            <w:tcW w:w="354" w:type="pct"/>
            <w:tcBorders>
              <w:top w:val="nil"/>
              <w:left w:val="nil"/>
              <w:bottom w:val="nil"/>
              <w:right w:val="nil"/>
            </w:tcBorders>
            <w:noWrap/>
            <w:vAlign w:val="bottom"/>
            <w:hideMark/>
          </w:tcPr>
          <w:p w14:paraId="5DE8DC8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c>
          <w:tcPr>
            <w:tcW w:w="354" w:type="pct"/>
            <w:tcBorders>
              <w:top w:val="nil"/>
              <w:left w:val="nil"/>
              <w:bottom w:val="nil"/>
              <w:right w:val="nil"/>
            </w:tcBorders>
            <w:noWrap/>
            <w:vAlign w:val="bottom"/>
            <w:hideMark/>
          </w:tcPr>
          <w:p w14:paraId="49601AB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c>
          <w:tcPr>
            <w:tcW w:w="354" w:type="pct"/>
            <w:tcBorders>
              <w:top w:val="nil"/>
              <w:left w:val="nil"/>
              <w:bottom w:val="nil"/>
              <w:right w:val="nil"/>
            </w:tcBorders>
            <w:noWrap/>
            <w:vAlign w:val="bottom"/>
            <w:hideMark/>
          </w:tcPr>
          <w:p w14:paraId="06ED3D1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c>
          <w:tcPr>
            <w:tcW w:w="354" w:type="pct"/>
            <w:tcBorders>
              <w:top w:val="nil"/>
              <w:left w:val="nil"/>
              <w:bottom w:val="nil"/>
              <w:right w:val="nil"/>
            </w:tcBorders>
            <w:noWrap/>
            <w:vAlign w:val="bottom"/>
            <w:hideMark/>
          </w:tcPr>
          <w:p w14:paraId="564C683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c>
          <w:tcPr>
            <w:tcW w:w="354" w:type="pct"/>
            <w:tcBorders>
              <w:top w:val="nil"/>
              <w:left w:val="nil"/>
              <w:bottom w:val="nil"/>
              <w:right w:val="nil"/>
            </w:tcBorders>
            <w:noWrap/>
            <w:vAlign w:val="bottom"/>
            <w:hideMark/>
          </w:tcPr>
          <w:p w14:paraId="4C46611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c>
          <w:tcPr>
            <w:tcW w:w="432" w:type="pct"/>
            <w:tcBorders>
              <w:top w:val="nil"/>
              <w:left w:val="nil"/>
              <w:bottom w:val="nil"/>
              <w:right w:val="nil"/>
            </w:tcBorders>
            <w:noWrap/>
            <w:vAlign w:val="bottom"/>
            <w:hideMark/>
          </w:tcPr>
          <w:p w14:paraId="430887A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3.1</w:t>
            </w:r>
          </w:p>
        </w:tc>
      </w:tr>
      <w:tr w:rsidR="00EA5506" w:rsidRPr="00EA5506" w14:paraId="560C043E" w14:textId="77777777" w:rsidTr="00AD5406">
        <w:trPr>
          <w:trHeight w:val="225"/>
        </w:trPr>
        <w:tc>
          <w:tcPr>
            <w:tcW w:w="1278" w:type="pct"/>
            <w:tcBorders>
              <w:top w:val="nil"/>
              <w:left w:val="nil"/>
              <w:bottom w:val="nil"/>
              <w:right w:val="nil"/>
            </w:tcBorders>
            <w:noWrap/>
            <w:vAlign w:val="bottom"/>
            <w:hideMark/>
          </w:tcPr>
          <w:p w14:paraId="3B6BE3D3"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Persons of self-described gender</w:t>
            </w:r>
          </w:p>
        </w:tc>
        <w:tc>
          <w:tcPr>
            <w:tcW w:w="104" w:type="pct"/>
            <w:tcBorders>
              <w:top w:val="nil"/>
              <w:left w:val="nil"/>
              <w:bottom w:val="nil"/>
              <w:right w:val="nil"/>
            </w:tcBorders>
            <w:noWrap/>
            <w:vAlign w:val="bottom"/>
            <w:hideMark/>
          </w:tcPr>
          <w:p w14:paraId="350FEA2C"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3E976FA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52A23E9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5471AA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3D6CB5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6244A64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EAC809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ACDBF3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22CF71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12103F5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432" w:type="pct"/>
            <w:tcBorders>
              <w:top w:val="nil"/>
              <w:left w:val="nil"/>
              <w:bottom w:val="nil"/>
              <w:right w:val="nil"/>
            </w:tcBorders>
            <w:noWrap/>
            <w:vAlign w:val="bottom"/>
            <w:hideMark/>
          </w:tcPr>
          <w:p w14:paraId="1459D9F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r>
      <w:tr w:rsidR="00EA5506" w:rsidRPr="00EA5506" w14:paraId="7A160B1F" w14:textId="77777777" w:rsidTr="00AD5406">
        <w:trPr>
          <w:trHeight w:val="225"/>
        </w:trPr>
        <w:tc>
          <w:tcPr>
            <w:tcW w:w="1278" w:type="pct"/>
            <w:tcBorders>
              <w:top w:val="nil"/>
              <w:left w:val="nil"/>
              <w:bottom w:val="nil"/>
              <w:right w:val="nil"/>
            </w:tcBorders>
            <w:noWrap/>
            <w:vAlign w:val="bottom"/>
            <w:hideMark/>
          </w:tcPr>
          <w:p w14:paraId="260B8FBF"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Vacant positions</w:t>
            </w:r>
          </w:p>
        </w:tc>
        <w:tc>
          <w:tcPr>
            <w:tcW w:w="104" w:type="pct"/>
            <w:tcBorders>
              <w:top w:val="nil"/>
              <w:left w:val="nil"/>
              <w:bottom w:val="nil"/>
              <w:right w:val="nil"/>
            </w:tcBorders>
            <w:noWrap/>
            <w:vAlign w:val="bottom"/>
            <w:hideMark/>
          </w:tcPr>
          <w:p w14:paraId="24966855"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392D457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c>
          <w:tcPr>
            <w:tcW w:w="354" w:type="pct"/>
            <w:tcBorders>
              <w:top w:val="nil"/>
              <w:left w:val="nil"/>
              <w:bottom w:val="nil"/>
              <w:right w:val="nil"/>
            </w:tcBorders>
            <w:noWrap/>
            <w:vAlign w:val="bottom"/>
            <w:hideMark/>
          </w:tcPr>
          <w:p w14:paraId="18CED61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c>
          <w:tcPr>
            <w:tcW w:w="354" w:type="pct"/>
            <w:tcBorders>
              <w:top w:val="nil"/>
              <w:left w:val="nil"/>
              <w:bottom w:val="nil"/>
              <w:right w:val="nil"/>
            </w:tcBorders>
            <w:noWrap/>
            <w:vAlign w:val="bottom"/>
            <w:hideMark/>
          </w:tcPr>
          <w:p w14:paraId="51F85E3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c>
          <w:tcPr>
            <w:tcW w:w="354" w:type="pct"/>
            <w:tcBorders>
              <w:top w:val="nil"/>
              <w:left w:val="nil"/>
              <w:bottom w:val="nil"/>
              <w:right w:val="nil"/>
            </w:tcBorders>
            <w:noWrap/>
            <w:vAlign w:val="bottom"/>
            <w:hideMark/>
          </w:tcPr>
          <w:p w14:paraId="404240D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c>
          <w:tcPr>
            <w:tcW w:w="354" w:type="pct"/>
            <w:tcBorders>
              <w:top w:val="nil"/>
              <w:left w:val="nil"/>
              <w:bottom w:val="nil"/>
              <w:right w:val="nil"/>
            </w:tcBorders>
            <w:noWrap/>
            <w:vAlign w:val="bottom"/>
            <w:hideMark/>
          </w:tcPr>
          <w:p w14:paraId="48BF279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c>
          <w:tcPr>
            <w:tcW w:w="354" w:type="pct"/>
            <w:tcBorders>
              <w:top w:val="nil"/>
              <w:left w:val="nil"/>
              <w:bottom w:val="nil"/>
              <w:right w:val="nil"/>
            </w:tcBorders>
            <w:noWrap/>
            <w:vAlign w:val="bottom"/>
            <w:hideMark/>
          </w:tcPr>
          <w:p w14:paraId="685DB1E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c>
          <w:tcPr>
            <w:tcW w:w="354" w:type="pct"/>
            <w:tcBorders>
              <w:top w:val="nil"/>
              <w:left w:val="nil"/>
              <w:bottom w:val="nil"/>
              <w:right w:val="nil"/>
            </w:tcBorders>
            <w:noWrap/>
            <w:vAlign w:val="bottom"/>
            <w:hideMark/>
          </w:tcPr>
          <w:p w14:paraId="6D7DD42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c>
          <w:tcPr>
            <w:tcW w:w="354" w:type="pct"/>
            <w:tcBorders>
              <w:top w:val="nil"/>
              <w:left w:val="nil"/>
              <w:bottom w:val="nil"/>
              <w:right w:val="nil"/>
            </w:tcBorders>
            <w:noWrap/>
            <w:vAlign w:val="bottom"/>
            <w:hideMark/>
          </w:tcPr>
          <w:p w14:paraId="0F41176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c>
          <w:tcPr>
            <w:tcW w:w="354" w:type="pct"/>
            <w:tcBorders>
              <w:top w:val="nil"/>
              <w:left w:val="nil"/>
              <w:bottom w:val="nil"/>
              <w:right w:val="nil"/>
            </w:tcBorders>
            <w:noWrap/>
            <w:vAlign w:val="bottom"/>
            <w:hideMark/>
          </w:tcPr>
          <w:p w14:paraId="4F2C145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c>
          <w:tcPr>
            <w:tcW w:w="432" w:type="pct"/>
            <w:tcBorders>
              <w:top w:val="nil"/>
              <w:left w:val="nil"/>
              <w:bottom w:val="nil"/>
              <w:right w:val="nil"/>
            </w:tcBorders>
            <w:noWrap/>
            <w:vAlign w:val="bottom"/>
            <w:hideMark/>
          </w:tcPr>
          <w:p w14:paraId="6915882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2.5</w:t>
            </w:r>
          </w:p>
        </w:tc>
      </w:tr>
      <w:tr w:rsidR="00EA5506" w:rsidRPr="00EA5506" w14:paraId="63B425CD" w14:textId="77777777" w:rsidTr="00AD5406">
        <w:trPr>
          <w:trHeight w:val="225"/>
        </w:trPr>
        <w:tc>
          <w:tcPr>
            <w:tcW w:w="1278" w:type="pct"/>
            <w:tcBorders>
              <w:top w:val="nil"/>
              <w:left w:val="nil"/>
              <w:bottom w:val="nil"/>
              <w:right w:val="nil"/>
            </w:tcBorders>
            <w:noWrap/>
            <w:vAlign w:val="bottom"/>
            <w:hideMark/>
          </w:tcPr>
          <w:p w14:paraId="3AB5B03A"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New positions</w:t>
            </w:r>
          </w:p>
        </w:tc>
        <w:tc>
          <w:tcPr>
            <w:tcW w:w="104" w:type="pct"/>
            <w:tcBorders>
              <w:top w:val="nil"/>
              <w:left w:val="nil"/>
              <w:bottom w:val="nil"/>
              <w:right w:val="nil"/>
            </w:tcBorders>
            <w:noWrap/>
            <w:vAlign w:val="bottom"/>
            <w:hideMark/>
          </w:tcPr>
          <w:p w14:paraId="67368699"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31D67A2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c>
          <w:tcPr>
            <w:tcW w:w="354" w:type="pct"/>
            <w:tcBorders>
              <w:top w:val="nil"/>
              <w:left w:val="nil"/>
              <w:bottom w:val="nil"/>
              <w:right w:val="nil"/>
            </w:tcBorders>
            <w:noWrap/>
            <w:vAlign w:val="bottom"/>
            <w:hideMark/>
          </w:tcPr>
          <w:p w14:paraId="0C1899C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c>
          <w:tcPr>
            <w:tcW w:w="354" w:type="pct"/>
            <w:tcBorders>
              <w:top w:val="nil"/>
              <w:left w:val="nil"/>
              <w:bottom w:val="nil"/>
              <w:right w:val="nil"/>
            </w:tcBorders>
            <w:noWrap/>
            <w:vAlign w:val="bottom"/>
            <w:hideMark/>
          </w:tcPr>
          <w:p w14:paraId="26CF89C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c>
          <w:tcPr>
            <w:tcW w:w="354" w:type="pct"/>
            <w:tcBorders>
              <w:top w:val="nil"/>
              <w:left w:val="nil"/>
              <w:bottom w:val="nil"/>
              <w:right w:val="nil"/>
            </w:tcBorders>
            <w:noWrap/>
            <w:vAlign w:val="bottom"/>
            <w:hideMark/>
          </w:tcPr>
          <w:p w14:paraId="02E5A37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c>
          <w:tcPr>
            <w:tcW w:w="354" w:type="pct"/>
            <w:tcBorders>
              <w:top w:val="nil"/>
              <w:left w:val="nil"/>
              <w:bottom w:val="nil"/>
              <w:right w:val="nil"/>
            </w:tcBorders>
            <w:noWrap/>
            <w:vAlign w:val="bottom"/>
            <w:hideMark/>
          </w:tcPr>
          <w:p w14:paraId="3EBDA01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c>
          <w:tcPr>
            <w:tcW w:w="354" w:type="pct"/>
            <w:tcBorders>
              <w:top w:val="nil"/>
              <w:left w:val="nil"/>
              <w:bottom w:val="nil"/>
              <w:right w:val="nil"/>
            </w:tcBorders>
            <w:noWrap/>
            <w:vAlign w:val="bottom"/>
            <w:hideMark/>
          </w:tcPr>
          <w:p w14:paraId="0BB4711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c>
          <w:tcPr>
            <w:tcW w:w="354" w:type="pct"/>
            <w:tcBorders>
              <w:top w:val="nil"/>
              <w:left w:val="nil"/>
              <w:bottom w:val="nil"/>
              <w:right w:val="nil"/>
            </w:tcBorders>
            <w:noWrap/>
            <w:vAlign w:val="bottom"/>
            <w:hideMark/>
          </w:tcPr>
          <w:p w14:paraId="2463A08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c>
          <w:tcPr>
            <w:tcW w:w="354" w:type="pct"/>
            <w:tcBorders>
              <w:top w:val="nil"/>
              <w:left w:val="nil"/>
              <w:bottom w:val="nil"/>
              <w:right w:val="nil"/>
            </w:tcBorders>
            <w:noWrap/>
            <w:vAlign w:val="bottom"/>
            <w:hideMark/>
          </w:tcPr>
          <w:p w14:paraId="1D1229B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c>
          <w:tcPr>
            <w:tcW w:w="354" w:type="pct"/>
            <w:tcBorders>
              <w:top w:val="nil"/>
              <w:left w:val="nil"/>
              <w:bottom w:val="nil"/>
              <w:right w:val="nil"/>
            </w:tcBorders>
            <w:noWrap/>
            <w:vAlign w:val="bottom"/>
            <w:hideMark/>
          </w:tcPr>
          <w:p w14:paraId="5CD7470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c>
          <w:tcPr>
            <w:tcW w:w="432" w:type="pct"/>
            <w:tcBorders>
              <w:top w:val="nil"/>
              <w:left w:val="nil"/>
              <w:bottom w:val="nil"/>
              <w:right w:val="nil"/>
            </w:tcBorders>
            <w:noWrap/>
            <w:vAlign w:val="bottom"/>
            <w:hideMark/>
          </w:tcPr>
          <w:p w14:paraId="49CD4A9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w:t>
            </w:r>
          </w:p>
        </w:tc>
      </w:tr>
      <w:tr w:rsidR="00EA5506" w:rsidRPr="00EA5506" w14:paraId="24AC5F3B" w14:textId="77777777" w:rsidTr="00AD5406">
        <w:trPr>
          <w:trHeight w:val="225"/>
        </w:trPr>
        <w:tc>
          <w:tcPr>
            <w:tcW w:w="1381" w:type="pct"/>
            <w:gridSpan w:val="2"/>
            <w:tcBorders>
              <w:top w:val="nil"/>
              <w:left w:val="nil"/>
              <w:bottom w:val="nil"/>
              <w:right w:val="nil"/>
            </w:tcBorders>
            <w:noWrap/>
            <w:vAlign w:val="bottom"/>
            <w:hideMark/>
          </w:tcPr>
          <w:p w14:paraId="111B0F3A"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Total Community &amp; Planning Services</w:t>
            </w:r>
          </w:p>
        </w:tc>
        <w:tc>
          <w:tcPr>
            <w:tcW w:w="354" w:type="pct"/>
            <w:tcBorders>
              <w:top w:val="single" w:sz="4" w:space="0" w:color="auto"/>
              <w:left w:val="nil"/>
              <w:bottom w:val="single" w:sz="4" w:space="0" w:color="auto"/>
              <w:right w:val="nil"/>
            </w:tcBorders>
            <w:noWrap/>
            <w:vAlign w:val="bottom"/>
            <w:hideMark/>
          </w:tcPr>
          <w:p w14:paraId="5623F12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c>
          <w:tcPr>
            <w:tcW w:w="354" w:type="pct"/>
            <w:tcBorders>
              <w:top w:val="single" w:sz="4" w:space="0" w:color="auto"/>
              <w:left w:val="nil"/>
              <w:bottom w:val="single" w:sz="4" w:space="0" w:color="auto"/>
              <w:right w:val="nil"/>
            </w:tcBorders>
            <w:noWrap/>
            <w:vAlign w:val="bottom"/>
            <w:hideMark/>
          </w:tcPr>
          <w:p w14:paraId="3BE7FB4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c>
          <w:tcPr>
            <w:tcW w:w="354" w:type="pct"/>
            <w:tcBorders>
              <w:top w:val="single" w:sz="4" w:space="0" w:color="auto"/>
              <w:left w:val="nil"/>
              <w:bottom w:val="single" w:sz="4" w:space="0" w:color="auto"/>
              <w:right w:val="nil"/>
            </w:tcBorders>
            <w:noWrap/>
            <w:vAlign w:val="bottom"/>
            <w:hideMark/>
          </w:tcPr>
          <w:p w14:paraId="4DA09C6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c>
          <w:tcPr>
            <w:tcW w:w="354" w:type="pct"/>
            <w:tcBorders>
              <w:top w:val="single" w:sz="4" w:space="0" w:color="auto"/>
              <w:left w:val="nil"/>
              <w:bottom w:val="single" w:sz="4" w:space="0" w:color="auto"/>
              <w:right w:val="nil"/>
            </w:tcBorders>
            <w:noWrap/>
            <w:vAlign w:val="bottom"/>
            <w:hideMark/>
          </w:tcPr>
          <w:p w14:paraId="259CF6A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c>
          <w:tcPr>
            <w:tcW w:w="354" w:type="pct"/>
            <w:tcBorders>
              <w:top w:val="single" w:sz="4" w:space="0" w:color="auto"/>
              <w:left w:val="nil"/>
              <w:bottom w:val="single" w:sz="4" w:space="0" w:color="auto"/>
              <w:right w:val="nil"/>
            </w:tcBorders>
            <w:noWrap/>
            <w:vAlign w:val="bottom"/>
            <w:hideMark/>
          </w:tcPr>
          <w:p w14:paraId="11B0543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c>
          <w:tcPr>
            <w:tcW w:w="354" w:type="pct"/>
            <w:tcBorders>
              <w:top w:val="single" w:sz="4" w:space="0" w:color="auto"/>
              <w:left w:val="nil"/>
              <w:bottom w:val="single" w:sz="4" w:space="0" w:color="auto"/>
              <w:right w:val="nil"/>
            </w:tcBorders>
            <w:noWrap/>
            <w:vAlign w:val="bottom"/>
            <w:hideMark/>
          </w:tcPr>
          <w:p w14:paraId="349AB39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c>
          <w:tcPr>
            <w:tcW w:w="354" w:type="pct"/>
            <w:tcBorders>
              <w:top w:val="single" w:sz="4" w:space="0" w:color="auto"/>
              <w:left w:val="nil"/>
              <w:bottom w:val="single" w:sz="4" w:space="0" w:color="auto"/>
              <w:right w:val="nil"/>
            </w:tcBorders>
            <w:noWrap/>
            <w:vAlign w:val="bottom"/>
            <w:hideMark/>
          </w:tcPr>
          <w:p w14:paraId="2DE989B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c>
          <w:tcPr>
            <w:tcW w:w="354" w:type="pct"/>
            <w:tcBorders>
              <w:top w:val="single" w:sz="4" w:space="0" w:color="auto"/>
              <w:left w:val="nil"/>
              <w:bottom w:val="single" w:sz="4" w:space="0" w:color="auto"/>
              <w:right w:val="nil"/>
            </w:tcBorders>
            <w:noWrap/>
            <w:vAlign w:val="bottom"/>
            <w:hideMark/>
          </w:tcPr>
          <w:p w14:paraId="7356139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c>
          <w:tcPr>
            <w:tcW w:w="354" w:type="pct"/>
            <w:tcBorders>
              <w:top w:val="single" w:sz="4" w:space="0" w:color="auto"/>
              <w:left w:val="nil"/>
              <w:bottom w:val="single" w:sz="4" w:space="0" w:color="auto"/>
              <w:right w:val="nil"/>
            </w:tcBorders>
            <w:noWrap/>
            <w:vAlign w:val="bottom"/>
            <w:hideMark/>
          </w:tcPr>
          <w:p w14:paraId="483A725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c>
          <w:tcPr>
            <w:tcW w:w="432" w:type="pct"/>
            <w:tcBorders>
              <w:top w:val="single" w:sz="4" w:space="0" w:color="auto"/>
              <w:left w:val="nil"/>
              <w:bottom w:val="single" w:sz="4" w:space="0" w:color="auto"/>
              <w:right w:val="nil"/>
            </w:tcBorders>
            <w:noWrap/>
            <w:vAlign w:val="bottom"/>
            <w:hideMark/>
          </w:tcPr>
          <w:p w14:paraId="0540DEB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209.1</w:t>
            </w:r>
          </w:p>
        </w:tc>
      </w:tr>
      <w:tr w:rsidR="00EA5506" w:rsidRPr="00EA5506" w14:paraId="49644EAF" w14:textId="77777777" w:rsidTr="00AD5406">
        <w:trPr>
          <w:trHeight w:val="225"/>
        </w:trPr>
        <w:tc>
          <w:tcPr>
            <w:tcW w:w="2797" w:type="pct"/>
            <w:gridSpan w:val="6"/>
            <w:tcBorders>
              <w:top w:val="nil"/>
              <w:left w:val="nil"/>
              <w:bottom w:val="nil"/>
              <w:right w:val="nil"/>
            </w:tcBorders>
            <w:noWrap/>
            <w:vAlign w:val="bottom"/>
            <w:hideMark/>
          </w:tcPr>
          <w:p w14:paraId="03CE2AFC" w14:textId="77777777" w:rsidR="00EA5506" w:rsidRPr="00EA5506" w:rsidRDefault="00EA5506" w:rsidP="00EA5506">
            <w:pPr>
              <w:spacing w:before="0" w:after="0"/>
              <w:jc w:val="right"/>
              <w:rPr>
                <w:rFonts w:ascii="Arial" w:hAnsi="Arial" w:cs="Arial"/>
                <w:sz w:val="16"/>
                <w:szCs w:val="16"/>
              </w:rPr>
            </w:pPr>
          </w:p>
        </w:tc>
        <w:tc>
          <w:tcPr>
            <w:tcW w:w="354" w:type="pct"/>
            <w:tcBorders>
              <w:top w:val="nil"/>
              <w:left w:val="nil"/>
              <w:bottom w:val="nil"/>
              <w:right w:val="nil"/>
            </w:tcBorders>
            <w:noWrap/>
            <w:vAlign w:val="bottom"/>
            <w:hideMark/>
          </w:tcPr>
          <w:p w14:paraId="1753C324"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371FB66"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6C617D3"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88CD417"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DB1596A"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67BFEFED" w14:textId="77777777" w:rsidR="00EA5506" w:rsidRPr="00EA5506" w:rsidRDefault="00EA5506" w:rsidP="00EA5506">
            <w:pPr>
              <w:spacing w:before="0" w:after="0"/>
              <w:rPr>
                <w:rFonts w:ascii="Times New Roman" w:hAnsi="Times New Roman"/>
                <w:sz w:val="20"/>
                <w:szCs w:val="20"/>
              </w:rPr>
            </w:pPr>
          </w:p>
        </w:tc>
      </w:tr>
      <w:tr w:rsidR="00EA5506" w:rsidRPr="00EA5506" w14:paraId="7AD86919" w14:textId="77777777" w:rsidTr="00AD5406">
        <w:trPr>
          <w:trHeight w:val="225"/>
        </w:trPr>
        <w:tc>
          <w:tcPr>
            <w:tcW w:w="2797" w:type="pct"/>
            <w:gridSpan w:val="6"/>
            <w:tcBorders>
              <w:top w:val="nil"/>
              <w:left w:val="nil"/>
              <w:bottom w:val="nil"/>
              <w:right w:val="nil"/>
            </w:tcBorders>
            <w:noWrap/>
            <w:vAlign w:val="bottom"/>
            <w:hideMark/>
          </w:tcPr>
          <w:p w14:paraId="282B6585"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Corporate Services</w:t>
            </w:r>
          </w:p>
        </w:tc>
        <w:tc>
          <w:tcPr>
            <w:tcW w:w="354" w:type="pct"/>
            <w:tcBorders>
              <w:top w:val="nil"/>
              <w:left w:val="nil"/>
              <w:bottom w:val="nil"/>
              <w:right w:val="nil"/>
            </w:tcBorders>
            <w:noWrap/>
            <w:vAlign w:val="bottom"/>
            <w:hideMark/>
          </w:tcPr>
          <w:p w14:paraId="23E25FE8" w14:textId="77777777" w:rsidR="00EA5506" w:rsidRPr="00EA5506" w:rsidRDefault="00EA5506" w:rsidP="00EA5506">
            <w:pPr>
              <w:spacing w:before="0" w:after="0"/>
              <w:rPr>
                <w:rFonts w:ascii="Arial" w:hAnsi="Arial" w:cs="Arial"/>
                <w:b/>
                <w:bCs/>
                <w:sz w:val="16"/>
                <w:szCs w:val="16"/>
              </w:rPr>
            </w:pPr>
          </w:p>
        </w:tc>
        <w:tc>
          <w:tcPr>
            <w:tcW w:w="354" w:type="pct"/>
            <w:tcBorders>
              <w:top w:val="nil"/>
              <w:left w:val="nil"/>
              <w:bottom w:val="nil"/>
              <w:right w:val="nil"/>
            </w:tcBorders>
            <w:noWrap/>
            <w:vAlign w:val="bottom"/>
            <w:hideMark/>
          </w:tcPr>
          <w:p w14:paraId="3E8610C9"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83ED021"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CC3450C"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A3CCD01"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19916B91" w14:textId="77777777" w:rsidR="00EA5506" w:rsidRPr="00EA5506" w:rsidRDefault="00EA5506" w:rsidP="00EA5506">
            <w:pPr>
              <w:spacing w:before="0" w:after="0"/>
              <w:rPr>
                <w:rFonts w:ascii="Times New Roman" w:hAnsi="Times New Roman"/>
                <w:sz w:val="20"/>
                <w:szCs w:val="20"/>
              </w:rPr>
            </w:pPr>
          </w:p>
        </w:tc>
      </w:tr>
      <w:tr w:rsidR="00EA5506" w:rsidRPr="00EA5506" w14:paraId="5699878D" w14:textId="77777777" w:rsidTr="00AD5406">
        <w:trPr>
          <w:trHeight w:val="225"/>
        </w:trPr>
        <w:tc>
          <w:tcPr>
            <w:tcW w:w="1381" w:type="pct"/>
            <w:gridSpan w:val="2"/>
            <w:tcBorders>
              <w:top w:val="nil"/>
              <w:left w:val="nil"/>
              <w:bottom w:val="nil"/>
              <w:right w:val="nil"/>
            </w:tcBorders>
            <w:shd w:val="clear" w:color="000000" w:fill="DAE9F8"/>
            <w:noWrap/>
            <w:vAlign w:val="bottom"/>
            <w:hideMark/>
          </w:tcPr>
          <w:p w14:paraId="5B44D29A" w14:textId="77777777" w:rsidR="00EA5506" w:rsidRPr="00EA5506" w:rsidRDefault="00EA5506" w:rsidP="00EA5506">
            <w:pPr>
              <w:spacing w:before="0" w:after="0"/>
              <w:rPr>
                <w:rFonts w:ascii="Arial" w:hAnsi="Arial" w:cs="Arial"/>
                <w:sz w:val="16"/>
                <w:szCs w:val="16"/>
              </w:rPr>
            </w:pPr>
            <w:r w:rsidRPr="00EA5506">
              <w:rPr>
                <w:rFonts w:ascii="Arial" w:hAnsi="Arial" w:cs="Arial"/>
                <w:sz w:val="16"/>
                <w:szCs w:val="16"/>
              </w:rPr>
              <w:t>Permanent - Full time</w:t>
            </w:r>
          </w:p>
        </w:tc>
        <w:tc>
          <w:tcPr>
            <w:tcW w:w="354" w:type="pct"/>
            <w:tcBorders>
              <w:top w:val="nil"/>
              <w:left w:val="nil"/>
              <w:bottom w:val="nil"/>
              <w:right w:val="nil"/>
            </w:tcBorders>
            <w:shd w:val="clear" w:color="000000" w:fill="DAE9F8"/>
            <w:noWrap/>
            <w:vAlign w:val="bottom"/>
            <w:hideMark/>
          </w:tcPr>
          <w:p w14:paraId="7A5034C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c>
          <w:tcPr>
            <w:tcW w:w="354" w:type="pct"/>
            <w:tcBorders>
              <w:top w:val="nil"/>
              <w:left w:val="nil"/>
              <w:bottom w:val="nil"/>
              <w:right w:val="nil"/>
            </w:tcBorders>
            <w:shd w:val="clear" w:color="000000" w:fill="DAE9F8"/>
            <w:noWrap/>
            <w:vAlign w:val="bottom"/>
            <w:hideMark/>
          </w:tcPr>
          <w:p w14:paraId="7205F0D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c>
          <w:tcPr>
            <w:tcW w:w="354" w:type="pct"/>
            <w:tcBorders>
              <w:top w:val="nil"/>
              <w:left w:val="nil"/>
              <w:bottom w:val="nil"/>
              <w:right w:val="nil"/>
            </w:tcBorders>
            <w:shd w:val="clear" w:color="000000" w:fill="DAE9F8"/>
            <w:noWrap/>
            <w:vAlign w:val="bottom"/>
            <w:hideMark/>
          </w:tcPr>
          <w:p w14:paraId="68F6333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c>
          <w:tcPr>
            <w:tcW w:w="354" w:type="pct"/>
            <w:tcBorders>
              <w:top w:val="nil"/>
              <w:left w:val="nil"/>
              <w:bottom w:val="nil"/>
              <w:right w:val="nil"/>
            </w:tcBorders>
            <w:shd w:val="clear" w:color="000000" w:fill="DAE9F8"/>
            <w:noWrap/>
            <w:vAlign w:val="bottom"/>
            <w:hideMark/>
          </w:tcPr>
          <w:p w14:paraId="4817923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c>
          <w:tcPr>
            <w:tcW w:w="354" w:type="pct"/>
            <w:tcBorders>
              <w:top w:val="nil"/>
              <w:left w:val="nil"/>
              <w:bottom w:val="nil"/>
              <w:right w:val="nil"/>
            </w:tcBorders>
            <w:shd w:val="clear" w:color="000000" w:fill="DAE9F8"/>
            <w:noWrap/>
            <w:vAlign w:val="bottom"/>
            <w:hideMark/>
          </w:tcPr>
          <w:p w14:paraId="4B51C5B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c>
          <w:tcPr>
            <w:tcW w:w="354" w:type="pct"/>
            <w:tcBorders>
              <w:top w:val="nil"/>
              <w:left w:val="nil"/>
              <w:bottom w:val="nil"/>
              <w:right w:val="nil"/>
            </w:tcBorders>
            <w:shd w:val="clear" w:color="000000" w:fill="DAE9F8"/>
            <w:noWrap/>
            <w:vAlign w:val="bottom"/>
            <w:hideMark/>
          </w:tcPr>
          <w:p w14:paraId="1B19CC2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c>
          <w:tcPr>
            <w:tcW w:w="354" w:type="pct"/>
            <w:tcBorders>
              <w:top w:val="nil"/>
              <w:left w:val="nil"/>
              <w:bottom w:val="nil"/>
              <w:right w:val="nil"/>
            </w:tcBorders>
            <w:shd w:val="clear" w:color="000000" w:fill="DAE9F8"/>
            <w:noWrap/>
            <w:vAlign w:val="bottom"/>
            <w:hideMark/>
          </w:tcPr>
          <w:p w14:paraId="47B8C3A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c>
          <w:tcPr>
            <w:tcW w:w="354" w:type="pct"/>
            <w:tcBorders>
              <w:top w:val="nil"/>
              <w:left w:val="nil"/>
              <w:bottom w:val="nil"/>
              <w:right w:val="nil"/>
            </w:tcBorders>
            <w:shd w:val="clear" w:color="000000" w:fill="DAE9F8"/>
            <w:noWrap/>
            <w:vAlign w:val="bottom"/>
            <w:hideMark/>
          </w:tcPr>
          <w:p w14:paraId="1636202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c>
          <w:tcPr>
            <w:tcW w:w="354" w:type="pct"/>
            <w:tcBorders>
              <w:top w:val="nil"/>
              <w:left w:val="nil"/>
              <w:bottom w:val="nil"/>
              <w:right w:val="nil"/>
            </w:tcBorders>
            <w:shd w:val="clear" w:color="000000" w:fill="DAE9F8"/>
            <w:noWrap/>
            <w:vAlign w:val="bottom"/>
            <w:hideMark/>
          </w:tcPr>
          <w:p w14:paraId="357C4D2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c>
          <w:tcPr>
            <w:tcW w:w="432" w:type="pct"/>
            <w:tcBorders>
              <w:top w:val="nil"/>
              <w:left w:val="nil"/>
              <w:bottom w:val="nil"/>
              <w:right w:val="nil"/>
            </w:tcBorders>
            <w:shd w:val="clear" w:color="000000" w:fill="DAE9F8"/>
            <w:noWrap/>
            <w:vAlign w:val="bottom"/>
            <w:hideMark/>
          </w:tcPr>
          <w:p w14:paraId="7CA810C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94.2</w:t>
            </w:r>
          </w:p>
        </w:tc>
      </w:tr>
      <w:tr w:rsidR="00EA5506" w:rsidRPr="00EA5506" w14:paraId="64639890" w14:textId="77777777" w:rsidTr="00AD5406">
        <w:trPr>
          <w:trHeight w:val="225"/>
        </w:trPr>
        <w:tc>
          <w:tcPr>
            <w:tcW w:w="1278" w:type="pct"/>
            <w:tcBorders>
              <w:top w:val="nil"/>
              <w:left w:val="nil"/>
              <w:bottom w:val="nil"/>
              <w:right w:val="nil"/>
            </w:tcBorders>
            <w:noWrap/>
            <w:vAlign w:val="bottom"/>
            <w:hideMark/>
          </w:tcPr>
          <w:p w14:paraId="5AF20875"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Women</w:t>
            </w:r>
          </w:p>
        </w:tc>
        <w:tc>
          <w:tcPr>
            <w:tcW w:w="104" w:type="pct"/>
            <w:tcBorders>
              <w:top w:val="nil"/>
              <w:left w:val="nil"/>
              <w:bottom w:val="nil"/>
              <w:right w:val="nil"/>
            </w:tcBorders>
            <w:noWrap/>
            <w:vAlign w:val="bottom"/>
            <w:hideMark/>
          </w:tcPr>
          <w:p w14:paraId="123B6159"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0B125BF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c>
          <w:tcPr>
            <w:tcW w:w="354" w:type="pct"/>
            <w:tcBorders>
              <w:top w:val="nil"/>
              <w:left w:val="nil"/>
              <w:bottom w:val="nil"/>
              <w:right w:val="nil"/>
            </w:tcBorders>
            <w:noWrap/>
            <w:vAlign w:val="bottom"/>
            <w:hideMark/>
          </w:tcPr>
          <w:p w14:paraId="5A5DE06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c>
          <w:tcPr>
            <w:tcW w:w="354" w:type="pct"/>
            <w:tcBorders>
              <w:top w:val="nil"/>
              <w:left w:val="nil"/>
              <w:bottom w:val="nil"/>
              <w:right w:val="nil"/>
            </w:tcBorders>
            <w:noWrap/>
            <w:vAlign w:val="bottom"/>
            <w:hideMark/>
          </w:tcPr>
          <w:p w14:paraId="5E769D9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c>
          <w:tcPr>
            <w:tcW w:w="354" w:type="pct"/>
            <w:tcBorders>
              <w:top w:val="nil"/>
              <w:left w:val="nil"/>
              <w:bottom w:val="nil"/>
              <w:right w:val="nil"/>
            </w:tcBorders>
            <w:noWrap/>
            <w:vAlign w:val="bottom"/>
            <w:hideMark/>
          </w:tcPr>
          <w:p w14:paraId="0787AED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c>
          <w:tcPr>
            <w:tcW w:w="354" w:type="pct"/>
            <w:tcBorders>
              <w:top w:val="nil"/>
              <w:left w:val="nil"/>
              <w:bottom w:val="nil"/>
              <w:right w:val="nil"/>
            </w:tcBorders>
            <w:noWrap/>
            <w:vAlign w:val="bottom"/>
            <w:hideMark/>
          </w:tcPr>
          <w:p w14:paraId="7B4AA4B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c>
          <w:tcPr>
            <w:tcW w:w="354" w:type="pct"/>
            <w:tcBorders>
              <w:top w:val="nil"/>
              <w:left w:val="nil"/>
              <w:bottom w:val="nil"/>
              <w:right w:val="nil"/>
            </w:tcBorders>
            <w:noWrap/>
            <w:vAlign w:val="bottom"/>
            <w:hideMark/>
          </w:tcPr>
          <w:p w14:paraId="799F3A4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c>
          <w:tcPr>
            <w:tcW w:w="354" w:type="pct"/>
            <w:tcBorders>
              <w:top w:val="nil"/>
              <w:left w:val="nil"/>
              <w:bottom w:val="nil"/>
              <w:right w:val="nil"/>
            </w:tcBorders>
            <w:noWrap/>
            <w:vAlign w:val="bottom"/>
            <w:hideMark/>
          </w:tcPr>
          <w:p w14:paraId="6C8ACE0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c>
          <w:tcPr>
            <w:tcW w:w="354" w:type="pct"/>
            <w:tcBorders>
              <w:top w:val="nil"/>
              <w:left w:val="nil"/>
              <w:bottom w:val="nil"/>
              <w:right w:val="nil"/>
            </w:tcBorders>
            <w:noWrap/>
            <w:vAlign w:val="bottom"/>
            <w:hideMark/>
          </w:tcPr>
          <w:p w14:paraId="240E59C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c>
          <w:tcPr>
            <w:tcW w:w="354" w:type="pct"/>
            <w:tcBorders>
              <w:top w:val="nil"/>
              <w:left w:val="nil"/>
              <w:bottom w:val="nil"/>
              <w:right w:val="nil"/>
            </w:tcBorders>
            <w:noWrap/>
            <w:vAlign w:val="bottom"/>
            <w:hideMark/>
          </w:tcPr>
          <w:p w14:paraId="5596F78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c>
          <w:tcPr>
            <w:tcW w:w="432" w:type="pct"/>
            <w:tcBorders>
              <w:top w:val="nil"/>
              <w:left w:val="nil"/>
              <w:bottom w:val="nil"/>
              <w:right w:val="nil"/>
            </w:tcBorders>
            <w:noWrap/>
            <w:vAlign w:val="bottom"/>
            <w:hideMark/>
          </w:tcPr>
          <w:p w14:paraId="1BA3579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64.3</w:t>
            </w:r>
          </w:p>
        </w:tc>
      </w:tr>
      <w:tr w:rsidR="00EA5506" w:rsidRPr="00EA5506" w14:paraId="4B756B6F" w14:textId="77777777" w:rsidTr="00AD5406">
        <w:trPr>
          <w:trHeight w:val="225"/>
        </w:trPr>
        <w:tc>
          <w:tcPr>
            <w:tcW w:w="1278" w:type="pct"/>
            <w:tcBorders>
              <w:top w:val="nil"/>
              <w:left w:val="nil"/>
              <w:bottom w:val="nil"/>
              <w:right w:val="nil"/>
            </w:tcBorders>
            <w:noWrap/>
            <w:vAlign w:val="bottom"/>
            <w:hideMark/>
          </w:tcPr>
          <w:p w14:paraId="5BE0B74F"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 xml:space="preserve">Men </w:t>
            </w:r>
          </w:p>
        </w:tc>
        <w:tc>
          <w:tcPr>
            <w:tcW w:w="104" w:type="pct"/>
            <w:tcBorders>
              <w:top w:val="nil"/>
              <w:left w:val="nil"/>
              <w:bottom w:val="nil"/>
              <w:right w:val="nil"/>
            </w:tcBorders>
            <w:noWrap/>
            <w:vAlign w:val="bottom"/>
            <w:hideMark/>
          </w:tcPr>
          <w:p w14:paraId="56E53A39"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32F7857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c>
          <w:tcPr>
            <w:tcW w:w="354" w:type="pct"/>
            <w:tcBorders>
              <w:top w:val="nil"/>
              <w:left w:val="nil"/>
              <w:bottom w:val="nil"/>
              <w:right w:val="nil"/>
            </w:tcBorders>
            <w:noWrap/>
            <w:vAlign w:val="bottom"/>
            <w:hideMark/>
          </w:tcPr>
          <w:p w14:paraId="5CC7B0C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c>
          <w:tcPr>
            <w:tcW w:w="354" w:type="pct"/>
            <w:tcBorders>
              <w:top w:val="nil"/>
              <w:left w:val="nil"/>
              <w:bottom w:val="nil"/>
              <w:right w:val="nil"/>
            </w:tcBorders>
            <w:noWrap/>
            <w:vAlign w:val="bottom"/>
            <w:hideMark/>
          </w:tcPr>
          <w:p w14:paraId="73D64D0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c>
          <w:tcPr>
            <w:tcW w:w="354" w:type="pct"/>
            <w:tcBorders>
              <w:top w:val="nil"/>
              <w:left w:val="nil"/>
              <w:bottom w:val="nil"/>
              <w:right w:val="nil"/>
            </w:tcBorders>
            <w:noWrap/>
            <w:vAlign w:val="bottom"/>
            <w:hideMark/>
          </w:tcPr>
          <w:p w14:paraId="7F5644A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c>
          <w:tcPr>
            <w:tcW w:w="354" w:type="pct"/>
            <w:tcBorders>
              <w:top w:val="nil"/>
              <w:left w:val="nil"/>
              <w:bottom w:val="nil"/>
              <w:right w:val="nil"/>
            </w:tcBorders>
            <w:noWrap/>
            <w:vAlign w:val="bottom"/>
            <w:hideMark/>
          </w:tcPr>
          <w:p w14:paraId="2B95D58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c>
          <w:tcPr>
            <w:tcW w:w="354" w:type="pct"/>
            <w:tcBorders>
              <w:top w:val="nil"/>
              <w:left w:val="nil"/>
              <w:bottom w:val="nil"/>
              <w:right w:val="nil"/>
            </w:tcBorders>
            <w:noWrap/>
            <w:vAlign w:val="bottom"/>
            <w:hideMark/>
          </w:tcPr>
          <w:p w14:paraId="2E2C66F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c>
          <w:tcPr>
            <w:tcW w:w="354" w:type="pct"/>
            <w:tcBorders>
              <w:top w:val="nil"/>
              <w:left w:val="nil"/>
              <w:bottom w:val="nil"/>
              <w:right w:val="nil"/>
            </w:tcBorders>
            <w:noWrap/>
            <w:vAlign w:val="bottom"/>
            <w:hideMark/>
          </w:tcPr>
          <w:p w14:paraId="7876046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c>
          <w:tcPr>
            <w:tcW w:w="354" w:type="pct"/>
            <w:tcBorders>
              <w:top w:val="nil"/>
              <w:left w:val="nil"/>
              <w:bottom w:val="nil"/>
              <w:right w:val="nil"/>
            </w:tcBorders>
            <w:noWrap/>
            <w:vAlign w:val="bottom"/>
            <w:hideMark/>
          </w:tcPr>
          <w:p w14:paraId="629440A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c>
          <w:tcPr>
            <w:tcW w:w="354" w:type="pct"/>
            <w:tcBorders>
              <w:top w:val="nil"/>
              <w:left w:val="nil"/>
              <w:bottom w:val="nil"/>
              <w:right w:val="nil"/>
            </w:tcBorders>
            <w:noWrap/>
            <w:vAlign w:val="bottom"/>
            <w:hideMark/>
          </w:tcPr>
          <w:p w14:paraId="6C823BE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c>
          <w:tcPr>
            <w:tcW w:w="432" w:type="pct"/>
            <w:tcBorders>
              <w:top w:val="nil"/>
              <w:left w:val="nil"/>
              <w:bottom w:val="nil"/>
              <w:right w:val="nil"/>
            </w:tcBorders>
            <w:noWrap/>
            <w:vAlign w:val="bottom"/>
            <w:hideMark/>
          </w:tcPr>
          <w:p w14:paraId="5B4043C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22.8</w:t>
            </w:r>
          </w:p>
        </w:tc>
      </w:tr>
      <w:tr w:rsidR="00EA5506" w:rsidRPr="00EA5506" w14:paraId="6A66DACD" w14:textId="77777777" w:rsidTr="00AD5406">
        <w:trPr>
          <w:trHeight w:val="225"/>
        </w:trPr>
        <w:tc>
          <w:tcPr>
            <w:tcW w:w="1278" w:type="pct"/>
            <w:tcBorders>
              <w:top w:val="nil"/>
              <w:left w:val="nil"/>
              <w:bottom w:val="nil"/>
              <w:right w:val="nil"/>
            </w:tcBorders>
            <w:noWrap/>
            <w:vAlign w:val="bottom"/>
            <w:hideMark/>
          </w:tcPr>
          <w:p w14:paraId="72A74D00"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Persons of self-described gender</w:t>
            </w:r>
          </w:p>
        </w:tc>
        <w:tc>
          <w:tcPr>
            <w:tcW w:w="104" w:type="pct"/>
            <w:tcBorders>
              <w:top w:val="nil"/>
              <w:left w:val="nil"/>
              <w:bottom w:val="nil"/>
              <w:right w:val="nil"/>
            </w:tcBorders>
            <w:noWrap/>
            <w:vAlign w:val="bottom"/>
            <w:hideMark/>
          </w:tcPr>
          <w:p w14:paraId="1741E460"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55E2F59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EF47CF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46B0B2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19971DD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5560E96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1E6A03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79BF26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4AF56A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559B169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432" w:type="pct"/>
            <w:tcBorders>
              <w:top w:val="nil"/>
              <w:left w:val="nil"/>
              <w:bottom w:val="nil"/>
              <w:right w:val="nil"/>
            </w:tcBorders>
            <w:noWrap/>
            <w:vAlign w:val="bottom"/>
            <w:hideMark/>
          </w:tcPr>
          <w:p w14:paraId="39BEDE6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r>
      <w:tr w:rsidR="00EA5506" w:rsidRPr="00EA5506" w14:paraId="27FF29BB" w14:textId="77777777" w:rsidTr="00AD5406">
        <w:trPr>
          <w:trHeight w:val="225"/>
        </w:trPr>
        <w:tc>
          <w:tcPr>
            <w:tcW w:w="1278" w:type="pct"/>
            <w:tcBorders>
              <w:top w:val="nil"/>
              <w:left w:val="nil"/>
              <w:bottom w:val="nil"/>
              <w:right w:val="nil"/>
            </w:tcBorders>
            <w:noWrap/>
            <w:vAlign w:val="bottom"/>
            <w:hideMark/>
          </w:tcPr>
          <w:p w14:paraId="06E4CBF5"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lastRenderedPageBreak/>
              <w:t>Vacant positions</w:t>
            </w:r>
          </w:p>
        </w:tc>
        <w:tc>
          <w:tcPr>
            <w:tcW w:w="104" w:type="pct"/>
            <w:tcBorders>
              <w:top w:val="nil"/>
              <w:left w:val="nil"/>
              <w:bottom w:val="nil"/>
              <w:right w:val="nil"/>
            </w:tcBorders>
            <w:noWrap/>
            <w:vAlign w:val="bottom"/>
            <w:hideMark/>
          </w:tcPr>
          <w:p w14:paraId="1271358C"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1C1FF08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c>
          <w:tcPr>
            <w:tcW w:w="354" w:type="pct"/>
            <w:tcBorders>
              <w:top w:val="nil"/>
              <w:left w:val="nil"/>
              <w:bottom w:val="nil"/>
              <w:right w:val="nil"/>
            </w:tcBorders>
            <w:noWrap/>
            <w:vAlign w:val="bottom"/>
            <w:hideMark/>
          </w:tcPr>
          <w:p w14:paraId="105B85D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c>
          <w:tcPr>
            <w:tcW w:w="354" w:type="pct"/>
            <w:tcBorders>
              <w:top w:val="nil"/>
              <w:left w:val="nil"/>
              <w:bottom w:val="nil"/>
              <w:right w:val="nil"/>
            </w:tcBorders>
            <w:noWrap/>
            <w:vAlign w:val="bottom"/>
            <w:hideMark/>
          </w:tcPr>
          <w:p w14:paraId="222A93A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c>
          <w:tcPr>
            <w:tcW w:w="354" w:type="pct"/>
            <w:tcBorders>
              <w:top w:val="nil"/>
              <w:left w:val="nil"/>
              <w:bottom w:val="nil"/>
              <w:right w:val="nil"/>
            </w:tcBorders>
            <w:noWrap/>
            <w:vAlign w:val="bottom"/>
            <w:hideMark/>
          </w:tcPr>
          <w:p w14:paraId="566F1B8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c>
          <w:tcPr>
            <w:tcW w:w="354" w:type="pct"/>
            <w:tcBorders>
              <w:top w:val="nil"/>
              <w:left w:val="nil"/>
              <w:bottom w:val="nil"/>
              <w:right w:val="nil"/>
            </w:tcBorders>
            <w:noWrap/>
            <w:vAlign w:val="bottom"/>
            <w:hideMark/>
          </w:tcPr>
          <w:p w14:paraId="7F7FC3C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c>
          <w:tcPr>
            <w:tcW w:w="354" w:type="pct"/>
            <w:tcBorders>
              <w:top w:val="nil"/>
              <w:left w:val="nil"/>
              <w:bottom w:val="nil"/>
              <w:right w:val="nil"/>
            </w:tcBorders>
            <w:noWrap/>
            <w:vAlign w:val="bottom"/>
            <w:hideMark/>
          </w:tcPr>
          <w:p w14:paraId="6387DE1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c>
          <w:tcPr>
            <w:tcW w:w="354" w:type="pct"/>
            <w:tcBorders>
              <w:top w:val="nil"/>
              <w:left w:val="nil"/>
              <w:bottom w:val="nil"/>
              <w:right w:val="nil"/>
            </w:tcBorders>
            <w:noWrap/>
            <w:vAlign w:val="bottom"/>
            <w:hideMark/>
          </w:tcPr>
          <w:p w14:paraId="6E614A4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c>
          <w:tcPr>
            <w:tcW w:w="354" w:type="pct"/>
            <w:tcBorders>
              <w:top w:val="nil"/>
              <w:left w:val="nil"/>
              <w:bottom w:val="nil"/>
              <w:right w:val="nil"/>
            </w:tcBorders>
            <w:noWrap/>
            <w:vAlign w:val="bottom"/>
            <w:hideMark/>
          </w:tcPr>
          <w:p w14:paraId="256AE7F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c>
          <w:tcPr>
            <w:tcW w:w="354" w:type="pct"/>
            <w:tcBorders>
              <w:top w:val="nil"/>
              <w:left w:val="nil"/>
              <w:bottom w:val="nil"/>
              <w:right w:val="nil"/>
            </w:tcBorders>
            <w:noWrap/>
            <w:vAlign w:val="bottom"/>
            <w:hideMark/>
          </w:tcPr>
          <w:p w14:paraId="11520A3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c>
          <w:tcPr>
            <w:tcW w:w="432" w:type="pct"/>
            <w:tcBorders>
              <w:top w:val="nil"/>
              <w:left w:val="nil"/>
              <w:bottom w:val="nil"/>
              <w:right w:val="nil"/>
            </w:tcBorders>
            <w:noWrap/>
            <w:vAlign w:val="bottom"/>
            <w:hideMark/>
          </w:tcPr>
          <w:p w14:paraId="135E696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2.1</w:t>
            </w:r>
          </w:p>
        </w:tc>
      </w:tr>
      <w:tr w:rsidR="00EA5506" w:rsidRPr="00EA5506" w14:paraId="1C03D44D" w14:textId="77777777" w:rsidTr="00AD5406">
        <w:trPr>
          <w:trHeight w:val="225"/>
        </w:trPr>
        <w:tc>
          <w:tcPr>
            <w:tcW w:w="1278" w:type="pct"/>
            <w:tcBorders>
              <w:top w:val="nil"/>
              <w:left w:val="nil"/>
              <w:bottom w:val="nil"/>
              <w:right w:val="nil"/>
            </w:tcBorders>
            <w:noWrap/>
            <w:vAlign w:val="bottom"/>
            <w:hideMark/>
          </w:tcPr>
          <w:p w14:paraId="02F0A814"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New positions</w:t>
            </w:r>
          </w:p>
        </w:tc>
        <w:tc>
          <w:tcPr>
            <w:tcW w:w="104" w:type="pct"/>
            <w:tcBorders>
              <w:top w:val="nil"/>
              <w:left w:val="nil"/>
              <w:bottom w:val="nil"/>
              <w:right w:val="nil"/>
            </w:tcBorders>
            <w:noWrap/>
            <w:vAlign w:val="bottom"/>
            <w:hideMark/>
          </w:tcPr>
          <w:p w14:paraId="656CC322"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1886CE3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c>
          <w:tcPr>
            <w:tcW w:w="354" w:type="pct"/>
            <w:tcBorders>
              <w:top w:val="nil"/>
              <w:left w:val="nil"/>
              <w:bottom w:val="nil"/>
              <w:right w:val="nil"/>
            </w:tcBorders>
            <w:noWrap/>
            <w:vAlign w:val="bottom"/>
            <w:hideMark/>
          </w:tcPr>
          <w:p w14:paraId="06A1DCD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c>
          <w:tcPr>
            <w:tcW w:w="354" w:type="pct"/>
            <w:tcBorders>
              <w:top w:val="nil"/>
              <w:left w:val="nil"/>
              <w:bottom w:val="nil"/>
              <w:right w:val="nil"/>
            </w:tcBorders>
            <w:noWrap/>
            <w:vAlign w:val="bottom"/>
            <w:hideMark/>
          </w:tcPr>
          <w:p w14:paraId="0AA0E05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c>
          <w:tcPr>
            <w:tcW w:w="354" w:type="pct"/>
            <w:tcBorders>
              <w:top w:val="nil"/>
              <w:left w:val="nil"/>
              <w:bottom w:val="nil"/>
              <w:right w:val="nil"/>
            </w:tcBorders>
            <w:noWrap/>
            <w:vAlign w:val="bottom"/>
            <w:hideMark/>
          </w:tcPr>
          <w:p w14:paraId="58CA6B9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c>
          <w:tcPr>
            <w:tcW w:w="354" w:type="pct"/>
            <w:tcBorders>
              <w:top w:val="nil"/>
              <w:left w:val="nil"/>
              <w:bottom w:val="nil"/>
              <w:right w:val="nil"/>
            </w:tcBorders>
            <w:noWrap/>
            <w:vAlign w:val="bottom"/>
            <w:hideMark/>
          </w:tcPr>
          <w:p w14:paraId="688DD2A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c>
          <w:tcPr>
            <w:tcW w:w="354" w:type="pct"/>
            <w:tcBorders>
              <w:top w:val="nil"/>
              <w:left w:val="nil"/>
              <w:bottom w:val="nil"/>
              <w:right w:val="nil"/>
            </w:tcBorders>
            <w:noWrap/>
            <w:vAlign w:val="bottom"/>
            <w:hideMark/>
          </w:tcPr>
          <w:p w14:paraId="23D7FC6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c>
          <w:tcPr>
            <w:tcW w:w="354" w:type="pct"/>
            <w:tcBorders>
              <w:top w:val="nil"/>
              <w:left w:val="nil"/>
              <w:bottom w:val="nil"/>
              <w:right w:val="nil"/>
            </w:tcBorders>
            <w:noWrap/>
            <w:vAlign w:val="bottom"/>
            <w:hideMark/>
          </w:tcPr>
          <w:p w14:paraId="2FFA04A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c>
          <w:tcPr>
            <w:tcW w:w="354" w:type="pct"/>
            <w:tcBorders>
              <w:top w:val="nil"/>
              <w:left w:val="nil"/>
              <w:bottom w:val="nil"/>
              <w:right w:val="nil"/>
            </w:tcBorders>
            <w:noWrap/>
            <w:vAlign w:val="bottom"/>
            <w:hideMark/>
          </w:tcPr>
          <w:p w14:paraId="25917EB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c>
          <w:tcPr>
            <w:tcW w:w="354" w:type="pct"/>
            <w:tcBorders>
              <w:top w:val="nil"/>
              <w:left w:val="nil"/>
              <w:bottom w:val="nil"/>
              <w:right w:val="nil"/>
            </w:tcBorders>
            <w:noWrap/>
            <w:vAlign w:val="bottom"/>
            <w:hideMark/>
          </w:tcPr>
          <w:p w14:paraId="59B6281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c>
          <w:tcPr>
            <w:tcW w:w="432" w:type="pct"/>
            <w:tcBorders>
              <w:top w:val="nil"/>
              <w:left w:val="nil"/>
              <w:bottom w:val="nil"/>
              <w:right w:val="nil"/>
            </w:tcBorders>
            <w:noWrap/>
            <w:vAlign w:val="bottom"/>
            <w:hideMark/>
          </w:tcPr>
          <w:p w14:paraId="3C2CC16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5.0</w:t>
            </w:r>
          </w:p>
        </w:tc>
      </w:tr>
      <w:tr w:rsidR="00EA5506" w:rsidRPr="00EA5506" w14:paraId="150BD139" w14:textId="77777777" w:rsidTr="00AD5406">
        <w:trPr>
          <w:trHeight w:val="225"/>
        </w:trPr>
        <w:tc>
          <w:tcPr>
            <w:tcW w:w="1381" w:type="pct"/>
            <w:gridSpan w:val="2"/>
            <w:tcBorders>
              <w:top w:val="nil"/>
              <w:left w:val="nil"/>
              <w:bottom w:val="nil"/>
              <w:right w:val="nil"/>
            </w:tcBorders>
            <w:shd w:val="clear" w:color="000000" w:fill="DAE9F8"/>
            <w:noWrap/>
            <w:vAlign w:val="bottom"/>
            <w:hideMark/>
          </w:tcPr>
          <w:p w14:paraId="59F43F93" w14:textId="77777777" w:rsidR="00EA5506" w:rsidRPr="00EA5506" w:rsidRDefault="00EA5506" w:rsidP="00EA5506">
            <w:pPr>
              <w:spacing w:before="0" w:after="0"/>
              <w:rPr>
                <w:rFonts w:ascii="Arial" w:hAnsi="Arial" w:cs="Arial"/>
                <w:sz w:val="16"/>
                <w:szCs w:val="16"/>
              </w:rPr>
            </w:pPr>
            <w:r w:rsidRPr="00EA5506">
              <w:rPr>
                <w:rFonts w:ascii="Arial" w:hAnsi="Arial" w:cs="Arial"/>
                <w:sz w:val="16"/>
                <w:szCs w:val="16"/>
              </w:rPr>
              <w:t>Permanent - Part time</w:t>
            </w:r>
          </w:p>
        </w:tc>
        <w:tc>
          <w:tcPr>
            <w:tcW w:w="354" w:type="pct"/>
            <w:tcBorders>
              <w:top w:val="nil"/>
              <w:left w:val="nil"/>
              <w:bottom w:val="nil"/>
              <w:right w:val="nil"/>
            </w:tcBorders>
            <w:shd w:val="clear" w:color="000000" w:fill="DAE9F8"/>
            <w:noWrap/>
            <w:vAlign w:val="bottom"/>
            <w:hideMark/>
          </w:tcPr>
          <w:p w14:paraId="0A37CDB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c>
          <w:tcPr>
            <w:tcW w:w="354" w:type="pct"/>
            <w:tcBorders>
              <w:top w:val="nil"/>
              <w:left w:val="nil"/>
              <w:bottom w:val="nil"/>
              <w:right w:val="nil"/>
            </w:tcBorders>
            <w:shd w:val="clear" w:color="000000" w:fill="DAE9F8"/>
            <w:noWrap/>
            <w:vAlign w:val="bottom"/>
            <w:hideMark/>
          </w:tcPr>
          <w:p w14:paraId="19DA7FE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c>
          <w:tcPr>
            <w:tcW w:w="354" w:type="pct"/>
            <w:tcBorders>
              <w:top w:val="nil"/>
              <w:left w:val="nil"/>
              <w:bottom w:val="nil"/>
              <w:right w:val="nil"/>
            </w:tcBorders>
            <w:shd w:val="clear" w:color="000000" w:fill="DAE9F8"/>
            <w:noWrap/>
            <w:vAlign w:val="bottom"/>
            <w:hideMark/>
          </w:tcPr>
          <w:p w14:paraId="6E6985C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c>
          <w:tcPr>
            <w:tcW w:w="354" w:type="pct"/>
            <w:tcBorders>
              <w:top w:val="nil"/>
              <w:left w:val="nil"/>
              <w:bottom w:val="nil"/>
              <w:right w:val="nil"/>
            </w:tcBorders>
            <w:shd w:val="clear" w:color="000000" w:fill="DAE9F8"/>
            <w:noWrap/>
            <w:vAlign w:val="bottom"/>
            <w:hideMark/>
          </w:tcPr>
          <w:p w14:paraId="613DFA5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c>
          <w:tcPr>
            <w:tcW w:w="354" w:type="pct"/>
            <w:tcBorders>
              <w:top w:val="nil"/>
              <w:left w:val="nil"/>
              <w:bottom w:val="nil"/>
              <w:right w:val="nil"/>
            </w:tcBorders>
            <w:shd w:val="clear" w:color="000000" w:fill="DAE9F8"/>
            <w:noWrap/>
            <w:vAlign w:val="bottom"/>
            <w:hideMark/>
          </w:tcPr>
          <w:p w14:paraId="21BA77F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c>
          <w:tcPr>
            <w:tcW w:w="354" w:type="pct"/>
            <w:tcBorders>
              <w:top w:val="nil"/>
              <w:left w:val="nil"/>
              <w:bottom w:val="nil"/>
              <w:right w:val="nil"/>
            </w:tcBorders>
            <w:shd w:val="clear" w:color="000000" w:fill="DAE9F8"/>
            <w:noWrap/>
            <w:vAlign w:val="bottom"/>
            <w:hideMark/>
          </w:tcPr>
          <w:p w14:paraId="0998D85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c>
          <w:tcPr>
            <w:tcW w:w="354" w:type="pct"/>
            <w:tcBorders>
              <w:top w:val="nil"/>
              <w:left w:val="nil"/>
              <w:bottom w:val="nil"/>
              <w:right w:val="nil"/>
            </w:tcBorders>
            <w:shd w:val="clear" w:color="000000" w:fill="DAE9F8"/>
            <w:noWrap/>
            <w:vAlign w:val="bottom"/>
            <w:hideMark/>
          </w:tcPr>
          <w:p w14:paraId="47B0F98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c>
          <w:tcPr>
            <w:tcW w:w="354" w:type="pct"/>
            <w:tcBorders>
              <w:top w:val="nil"/>
              <w:left w:val="nil"/>
              <w:bottom w:val="nil"/>
              <w:right w:val="nil"/>
            </w:tcBorders>
            <w:shd w:val="clear" w:color="000000" w:fill="DAE9F8"/>
            <w:noWrap/>
            <w:vAlign w:val="bottom"/>
            <w:hideMark/>
          </w:tcPr>
          <w:p w14:paraId="6B62253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c>
          <w:tcPr>
            <w:tcW w:w="354" w:type="pct"/>
            <w:tcBorders>
              <w:top w:val="nil"/>
              <w:left w:val="nil"/>
              <w:bottom w:val="nil"/>
              <w:right w:val="nil"/>
            </w:tcBorders>
            <w:shd w:val="clear" w:color="000000" w:fill="DAE9F8"/>
            <w:noWrap/>
            <w:vAlign w:val="bottom"/>
            <w:hideMark/>
          </w:tcPr>
          <w:p w14:paraId="2F3A48A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c>
          <w:tcPr>
            <w:tcW w:w="432" w:type="pct"/>
            <w:tcBorders>
              <w:top w:val="nil"/>
              <w:left w:val="nil"/>
              <w:bottom w:val="nil"/>
              <w:right w:val="nil"/>
            </w:tcBorders>
            <w:shd w:val="clear" w:color="000000" w:fill="DAE9F8"/>
            <w:noWrap/>
            <w:vAlign w:val="bottom"/>
            <w:hideMark/>
          </w:tcPr>
          <w:p w14:paraId="6A0320B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20.6</w:t>
            </w:r>
          </w:p>
        </w:tc>
      </w:tr>
      <w:tr w:rsidR="00EA5506" w:rsidRPr="00EA5506" w14:paraId="48804A82" w14:textId="77777777" w:rsidTr="00AD5406">
        <w:trPr>
          <w:trHeight w:val="225"/>
        </w:trPr>
        <w:tc>
          <w:tcPr>
            <w:tcW w:w="1278" w:type="pct"/>
            <w:tcBorders>
              <w:top w:val="nil"/>
              <w:left w:val="nil"/>
              <w:bottom w:val="nil"/>
              <w:right w:val="nil"/>
            </w:tcBorders>
            <w:noWrap/>
            <w:vAlign w:val="bottom"/>
            <w:hideMark/>
          </w:tcPr>
          <w:p w14:paraId="01663407"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Women</w:t>
            </w:r>
          </w:p>
        </w:tc>
        <w:tc>
          <w:tcPr>
            <w:tcW w:w="104" w:type="pct"/>
            <w:tcBorders>
              <w:top w:val="nil"/>
              <w:left w:val="nil"/>
              <w:bottom w:val="nil"/>
              <w:right w:val="nil"/>
            </w:tcBorders>
            <w:noWrap/>
            <w:vAlign w:val="bottom"/>
            <w:hideMark/>
          </w:tcPr>
          <w:p w14:paraId="48E6AC7C"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5473F6E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c>
          <w:tcPr>
            <w:tcW w:w="354" w:type="pct"/>
            <w:tcBorders>
              <w:top w:val="nil"/>
              <w:left w:val="nil"/>
              <w:bottom w:val="nil"/>
              <w:right w:val="nil"/>
            </w:tcBorders>
            <w:noWrap/>
            <w:vAlign w:val="bottom"/>
            <w:hideMark/>
          </w:tcPr>
          <w:p w14:paraId="7FD2CEE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c>
          <w:tcPr>
            <w:tcW w:w="354" w:type="pct"/>
            <w:tcBorders>
              <w:top w:val="nil"/>
              <w:left w:val="nil"/>
              <w:bottom w:val="nil"/>
              <w:right w:val="nil"/>
            </w:tcBorders>
            <w:noWrap/>
            <w:vAlign w:val="bottom"/>
            <w:hideMark/>
          </w:tcPr>
          <w:p w14:paraId="55588AD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c>
          <w:tcPr>
            <w:tcW w:w="354" w:type="pct"/>
            <w:tcBorders>
              <w:top w:val="nil"/>
              <w:left w:val="nil"/>
              <w:bottom w:val="nil"/>
              <w:right w:val="nil"/>
            </w:tcBorders>
            <w:noWrap/>
            <w:vAlign w:val="bottom"/>
            <w:hideMark/>
          </w:tcPr>
          <w:p w14:paraId="40D293E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c>
          <w:tcPr>
            <w:tcW w:w="354" w:type="pct"/>
            <w:tcBorders>
              <w:top w:val="nil"/>
              <w:left w:val="nil"/>
              <w:bottom w:val="nil"/>
              <w:right w:val="nil"/>
            </w:tcBorders>
            <w:noWrap/>
            <w:vAlign w:val="bottom"/>
            <w:hideMark/>
          </w:tcPr>
          <w:p w14:paraId="6980B0D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c>
          <w:tcPr>
            <w:tcW w:w="354" w:type="pct"/>
            <w:tcBorders>
              <w:top w:val="nil"/>
              <w:left w:val="nil"/>
              <w:bottom w:val="nil"/>
              <w:right w:val="nil"/>
            </w:tcBorders>
            <w:noWrap/>
            <w:vAlign w:val="bottom"/>
            <w:hideMark/>
          </w:tcPr>
          <w:p w14:paraId="090C796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c>
          <w:tcPr>
            <w:tcW w:w="354" w:type="pct"/>
            <w:tcBorders>
              <w:top w:val="nil"/>
              <w:left w:val="nil"/>
              <w:bottom w:val="nil"/>
              <w:right w:val="nil"/>
            </w:tcBorders>
            <w:noWrap/>
            <w:vAlign w:val="bottom"/>
            <w:hideMark/>
          </w:tcPr>
          <w:p w14:paraId="3E9B1E3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c>
          <w:tcPr>
            <w:tcW w:w="354" w:type="pct"/>
            <w:tcBorders>
              <w:top w:val="nil"/>
              <w:left w:val="nil"/>
              <w:bottom w:val="nil"/>
              <w:right w:val="nil"/>
            </w:tcBorders>
            <w:noWrap/>
            <w:vAlign w:val="bottom"/>
            <w:hideMark/>
          </w:tcPr>
          <w:p w14:paraId="5FE3191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c>
          <w:tcPr>
            <w:tcW w:w="354" w:type="pct"/>
            <w:tcBorders>
              <w:top w:val="nil"/>
              <w:left w:val="nil"/>
              <w:bottom w:val="nil"/>
              <w:right w:val="nil"/>
            </w:tcBorders>
            <w:noWrap/>
            <w:vAlign w:val="bottom"/>
            <w:hideMark/>
          </w:tcPr>
          <w:p w14:paraId="264683E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c>
          <w:tcPr>
            <w:tcW w:w="432" w:type="pct"/>
            <w:tcBorders>
              <w:top w:val="nil"/>
              <w:left w:val="nil"/>
              <w:bottom w:val="nil"/>
              <w:right w:val="nil"/>
            </w:tcBorders>
            <w:noWrap/>
            <w:vAlign w:val="bottom"/>
            <w:hideMark/>
          </w:tcPr>
          <w:p w14:paraId="7A3E70F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17.6</w:t>
            </w:r>
          </w:p>
        </w:tc>
      </w:tr>
      <w:tr w:rsidR="00EA5506" w:rsidRPr="00EA5506" w14:paraId="345A9B57" w14:textId="77777777" w:rsidTr="00AD5406">
        <w:trPr>
          <w:trHeight w:val="225"/>
        </w:trPr>
        <w:tc>
          <w:tcPr>
            <w:tcW w:w="1278" w:type="pct"/>
            <w:tcBorders>
              <w:top w:val="nil"/>
              <w:left w:val="nil"/>
              <w:bottom w:val="nil"/>
              <w:right w:val="nil"/>
            </w:tcBorders>
            <w:noWrap/>
            <w:vAlign w:val="bottom"/>
            <w:hideMark/>
          </w:tcPr>
          <w:p w14:paraId="7CB73F74"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 xml:space="preserve">Men </w:t>
            </w:r>
          </w:p>
        </w:tc>
        <w:tc>
          <w:tcPr>
            <w:tcW w:w="104" w:type="pct"/>
            <w:tcBorders>
              <w:top w:val="nil"/>
              <w:left w:val="nil"/>
              <w:bottom w:val="nil"/>
              <w:right w:val="nil"/>
            </w:tcBorders>
            <w:noWrap/>
            <w:vAlign w:val="bottom"/>
            <w:hideMark/>
          </w:tcPr>
          <w:p w14:paraId="1D0A4A5E"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2ED3AA2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09326D6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6E9B27A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514E51A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449FF8F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481E1E0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4671C7C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160A1F1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354" w:type="pct"/>
            <w:tcBorders>
              <w:top w:val="nil"/>
              <w:left w:val="nil"/>
              <w:bottom w:val="nil"/>
              <w:right w:val="nil"/>
            </w:tcBorders>
            <w:noWrap/>
            <w:vAlign w:val="bottom"/>
            <w:hideMark/>
          </w:tcPr>
          <w:p w14:paraId="1D56C01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c>
          <w:tcPr>
            <w:tcW w:w="432" w:type="pct"/>
            <w:tcBorders>
              <w:top w:val="nil"/>
              <w:left w:val="nil"/>
              <w:bottom w:val="nil"/>
              <w:right w:val="nil"/>
            </w:tcBorders>
            <w:noWrap/>
            <w:vAlign w:val="bottom"/>
            <w:hideMark/>
          </w:tcPr>
          <w:p w14:paraId="2414284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2.0</w:t>
            </w:r>
          </w:p>
        </w:tc>
      </w:tr>
      <w:tr w:rsidR="00EA5506" w:rsidRPr="00EA5506" w14:paraId="12B10A75" w14:textId="77777777" w:rsidTr="00AD5406">
        <w:trPr>
          <w:trHeight w:val="225"/>
        </w:trPr>
        <w:tc>
          <w:tcPr>
            <w:tcW w:w="1278" w:type="pct"/>
            <w:tcBorders>
              <w:top w:val="nil"/>
              <w:left w:val="nil"/>
              <w:bottom w:val="nil"/>
              <w:right w:val="nil"/>
            </w:tcBorders>
            <w:noWrap/>
            <w:vAlign w:val="bottom"/>
            <w:hideMark/>
          </w:tcPr>
          <w:p w14:paraId="13062722"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Persons of self-described gender</w:t>
            </w:r>
          </w:p>
        </w:tc>
        <w:tc>
          <w:tcPr>
            <w:tcW w:w="104" w:type="pct"/>
            <w:tcBorders>
              <w:top w:val="nil"/>
              <w:left w:val="nil"/>
              <w:bottom w:val="nil"/>
              <w:right w:val="nil"/>
            </w:tcBorders>
            <w:noWrap/>
            <w:vAlign w:val="bottom"/>
            <w:hideMark/>
          </w:tcPr>
          <w:p w14:paraId="6E18049D"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2A75DCE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6A7F95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51612C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6ADBBD7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AFFDE8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15090E0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176CF23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499544F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E83331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432" w:type="pct"/>
            <w:tcBorders>
              <w:top w:val="nil"/>
              <w:left w:val="nil"/>
              <w:bottom w:val="nil"/>
              <w:right w:val="nil"/>
            </w:tcBorders>
            <w:noWrap/>
            <w:vAlign w:val="bottom"/>
            <w:hideMark/>
          </w:tcPr>
          <w:p w14:paraId="0A4BA2C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r>
      <w:tr w:rsidR="00EA5506" w:rsidRPr="00EA5506" w14:paraId="24360004" w14:textId="77777777" w:rsidTr="00AD5406">
        <w:trPr>
          <w:trHeight w:val="225"/>
        </w:trPr>
        <w:tc>
          <w:tcPr>
            <w:tcW w:w="1278" w:type="pct"/>
            <w:tcBorders>
              <w:top w:val="nil"/>
              <w:left w:val="nil"/>
              <w:bottom w:val="nil"/>
              <w:right w:val="nil"/>
            </w:tcBorders>
            <w:noWrap/>
            <w:vAlign w:val="bottom"/>
            <w:hideMark/>
          </w:tcPr>
          <w:p w14:paraId="2CEAF3A3"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Vacant positions</w:t>
            </w:r>
          </w:p>
        </w:tc>
        <w:tc>
          <w:tcPr>
            <w:tcW w:w="104" w:type="pct"/>
            <w:tcBorders>
              <w:top w:val="nil"/>
              <w:left w:val="nil"/>
              <w:bottom w:val="nil"/>
              <w:right w:val="nil"/>
            </w:tcBorders>
            <w:noWrap/>
            <w:vAlign w:val="bottom"/>
            <w:hideMark/>
          </w:tcPr>
          <w:p w14:paraId="4C91727B"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02E1B05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c>
          <w:tcPr>
            <w:tcW w:w="354" w:type="pct"/>
            <w:tcBorders>
              <w:top w:val="nil"/>
              <w:left w:val="nil"/>
              <w:bottom w:val="nil"/>
              <w:right w:val="nil"/>
            </w:tcBorders>
            <w:noWrap/>
            <w:vAlign w:val="bottom"/>
            <w:hideMark/>
          </w:tcPr>
          <w:p w14:paraId="2737341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c>
          <w:tcPr>
            <w:tcW w:w="354" w:type="pct"/>
            <w:tcBorders>
              <w:top w:val="nil"/>
              <w:left w:val="nil"/>
              <w:bottom w:val="nil"/>
              <w:right w:val="nil"/>
            </w:tcBorders>
            <w:noWrap/>
            <w:vAlign w:val="bottom"/>
            <w:hideMark/>
          </w:tcPr>
          <w:p w14:paraId="0BD6A74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c>
          <w:tcPr>
            <w:tcW w:w="354" w:type="pct"/>
            <w:tcBorders>
              <w:top w:val="nil"/>
              <w:left w:val="nil"/>
              <w:bottom w:val="nil"/>
              <w:right w:val="nil"/>
            </w:tcBorders>
            <w:noWrap/>
            <w:vAlign w:val="bottom"/>
            <w:hideMark/>
          </w:tcPr>
          <w:p w14:paraId="44DB695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c>
          <w:tcPr>
            <w:tcW w:w="354" w:type="pct"/>
            <w:tcBorders>
              <w:top w:val="nil"/>
              <w:left w:val="nil"/>
              <w:bottom w:val="nil"/>
              <w:right w:val="nil"/>
            </w:tcBorders>
            <w:noWrap/>
            <w:vAlign w:val="bottom"/>
            <w:hideMark/>
          </w:tcPr>
          <w:p w14:paraId="30650AB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c>
          <w:tcPr>
            <w:tcW w:w="354" w:type="pct"/>
            <w:tcBorders>
              <w:top w:val="nil"/>
              <w:left w:val="nil"/>
              <w:bottom w:val="nil"/>
              <w:right w:val="nil"/>
            </w:tcBorders>
            <w:noWrap/>
            <w:vAlign w:val="bottom"/>
            <w:hideMark/>
          </w:tcPr>
          <w:p w14:paraId="2F580B3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c>
          <w:tcPr>
            <w:tcW w:w="354" w:type="pct"/>
            <w:tcBorders>
              <w:top w:val="nil"/>
              <w:left w:val="nil"/>
              <w:bottom w:val="nil"/>
              <w:right w:val="nil"/>
            </w:tcBorders>
            <w:noWrap/>
            <w:vAlign w:val="bottom"/>
            <w:hideMark/>
          </w:tcPr>
          <w:p w14:paraId="5FB2C11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c>
          <w:tcPr>
            <w:tcW w:w="354" w:type="pct"/>
            <w:tcBorders>
              <w:top w:val="nil"/>
              <w:left w:val="nil"/>
              <w:bottom w:val="nil"/>
              <w:right w:val="nil"/>
            </w:tcBorders>
            <w:noWrap/>
            <w:vAlign w:val="bottom"/>
            <w:hideMark/>
          </w:tcPr>
          <w:p w14:paraId="67A6DBE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c>
          <w:tcPr>
            <w:tcW w:w="354" w:type="pct"/>
            <w:tcBorders>
              <w:top w:val="nil"/>
              <w:left w:val="nil"/>
              <w:bottom w:val="nil"/>
              <w:right w:val="nil"/>
            </w:tcBorders>
            <w:noWrap/>
            <w:vAlign w:val="bottom"/>
            <w:hideMark/>
          </w:tcPr>
          <w:p w14:paraId="074F4ED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c>
          <w:tcPr>
            <w:tcW w:w="432" w:type="pct"/>
            <w:tcBorders>
              <w:top w:val="nil"/>
              <w:left w:val="nil"/>
              <w:bottom w:val="nil"/>
              <w:right w:val="nil"/>
            </w:tcBorders>
            <w:noWrap/>
            <w:vAlign w:val="bottom"/>
            <w:hideMark/>
          </w:tcPr>
          <w:p w14:paraId="089055B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w:t>
            </w:r>
          </w:p>
        </w:tc>
      </w:tr>
      <w:tr w:rsidR="00EA5506" w:rsidRPr="00EA5506" w14:paraId="160BE2E1" w14:textId="77777777" w:rsidTr="00AD5406">
        <w:trPr>
          <w:trHeight w:val="225"/>
        </w:trPr>
        <w:tc>
          <w:tcPr>
            <w:tcW w:w="1278" w:type="pct"/>
            <w:tcBorders>
              <w:top w:val="nil"/>
              <w:left w:val="nil"/>
              <w:bottom w:val="nil"/>
              <w:right w:val="nil"/>
            </w:tcBorders>
            <w:noWrap/>
            <w:vAlign w:val="bottom"/>
            <w:hideMark/>
          </w:tcPr>
          <w:p w14:paraId="46AB5073"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New positions</w:t>
            </w:r>
          </w:p>
        </w:tc>
        <w:tc>
          <w:tcPr>
            <w:tcW w:w="104" w:type="pct"/>
            <w:tcBorders>
              <w:top w:val="nil"/>
              <w:left w:val="nil"/>
              <w:bottom w:val="nil"/>
              <w:right w:val="nil"/>
            </w:tcBorders>
            <w:noWrap/>
            <w:vAlign w:val="bottom"/>
            <w:hideMark/>
          </w:tcPr>
          <w:p w14:paraId="353A320E"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149F1A9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6CC65C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5A69695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18FB3DF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98432B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5F9BAE5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27B26A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9879F1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62EF83C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432" w:type="pct"/>
            <w:tcBorders>
              <w:top w:val="nil"/>
              <w:left w:val="nil"/>
              <w:bottom w:val="nil"/>
              <w:right w:val="nil"/>
            </w:tcBorders>
            <w:noWrap/>
            <w:vAlign w:val="bottom"/>
            <w:hideMark/>
          </w:tcPr>
          <w:p w14:paraId="199F79A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r>
      <w:tr w:rsidR="00EA5506" w:rsidRPr="00EA5506" w14:paraId="4BBE4866" w14:textId="77777777" w:rsidTr="00AD5406">
        <w:trPr>
          <w:trHeight w:val="225"/>
        </w:trPr>
        <w:tc>
          <w:tcPr>
            <w:tcW w:w="1381" w:type="pct"/>
            <w:gridSpan w:val="2"/>
            <w:tcBorders>
              <w:top w:val="nil"/>
              <w:left w:val="nil"/>
              <w:bottom w:val="nil"/>
              <w:right w:val="nil"/>
            </w:tcBorders>
            <w:noWrap/>
            <w:vAlign w:val="bottom"/>
            <w:hideMark/>
          </w:tcPr>
          <w:p w14:paraId="610B7CF8"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Total Corporate Services</w:t>
            </w:r>
          </w:p>
        </w:tc>
        <w:tc>
          <w:tcPr>
            <w:tcW w:w="354" w:type="pct"/>
            <w:tcBorders>
              <w:top w:val="single" w:sz="4" w:space="0" w:color="auto"/>
              <w:left w:val="nil"/>
              <w:bottom w:val="single" w:sz="4" w:space="0" w:color="auto"/>
              <w:right w:val="nil"/>
            </w:tcBorders>
            <w:noWrap/>
            <w:vAlign w:val="bottom"/>
            <w:hideMark/>
          </w:tcPr>
          <w:p w14:paraId="10C62EE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c>
          <w:tcPr>
            <w:tcW w:w="354" w:type="pct"/>
            <w:tcBorders>
              <w:top w:val="single" w:sz="4" w:space="0" w:color="auto"/>
              <w:left w:val="nil"/>
              <w:bottom w:val="single" w:sz="4" w:space="0" w:color="auto"/>
              <w:right w:val="nil"/>
            </w:tcBorders>
            <w:noWrap/>
            <w:vAlign w:val="bottom"/>
            <w:hideMark/>
          </w:tcPr>
          <w:p w14:paraId="1E01401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c>
          <w:tcPr>
            <w:tcW w:w="354" w:type="pct"/>
            <w:tcBorders>
              <w:top w:val="single" w:sz="4" w:space="0" w:color="auto"/>
              <w:left w:val="nil"/>
              <w:bottom w:val="single" w:sz="4" w:space="0" w:color="auto"/>
              <w:right w:val="nil"/>
            </w:tcBorders>
            <w:noWrap/>
            <w:vAlign w:val="bottom"/>
            <w:hideMark/>
          </w:tcPr>
          <w:p w14:paraId="3104575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c>
          <w:tcPr>
            <w:tcW w:w="354" w:type="pct"/>
            <w:tcBorders>
              <w:top w:val="single" w:sz="4" w:space="0" w:color="auto"/>
              <w:left w:val="nil"/>
              <w:bottom w:val="single" w:sz="4" w:space="0" w:color="auto"/>
              <w:right w:val="nil"/>
            </w:tcBorders>
            <w:noWrap/>
            <w:vAlign w:val="bottom"/>
            <w:hideMark/>
          </w:tcPr>
          <w:p w14:paraId="0E98A70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c>
          <w:tcPr>
            <w:tcW w:w="354" w:type="pct"/>
            <w:tcBorders>
              <w:top w:val="single" w:sz="4" w:space="0" w:color="auto"/>
              <w:left w:val="nil"/>
              <w:bottom w:val="single" w:sz="4" w:space="0" w:color="auto"/>
              <w:right w:val="nil"/>
            </w:tcBorders>
            <w:noWrap/>
            <w:vAlign w:val="bottom"/>
            <w:hideMark/>
          </w:tcPr>
          <w:p w14:paraId="114BED3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c>
          <w:tcPr>
            <w:tcW w:w="354" w:type="pct"/>
            <w:tcBorders>
              <w:top w:val="single" w:sz="4" w:space="0" w:color="auto"/>
              <w:left w:val="nil"/>
              <w:bottom w:val="single" w:sz="4" w:space="0" w:color="auto"/>
              <w:right w:val="nil"/>
            </w:tcBorders>
            <w:noWrap/>
            <w:vAlign w:val="bottom"/>
            <w:hideMark/>
          </w:tcPr>
          <w:p w14:paraId="28D829A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c>
          <w:tcPr>
            <w:tcW w:w="354" w:type="pct"/>
            <w:tcBorders>
              <w:top w:val="single" w:sz="4" w:space="0" w:color="auto"/>
              <w:left w:val="nil"/>
              <w:bottom w:val="single" w:sz="4" w:space="0" w:color="auto"/>
              <w:right w:val="nil"/>
            </w:tcBorders>
            <w:noWrap/>
            <w:vAlign w:val="bottom"/>
            <w:hideMark/>
          </w:tcPr>
          <w:p w14:paraId="07C1C66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c>
          <w:tcPr>
            <w:tcW w:w="354" w:type="pct"/>
            <w:tcBorders>
              <w:top w:val="single" w:sz="4" w:space="0" w:color="auto"/>
              <w:left w:val="nil"/>
              <w:bottom w:val="single" w:sz="4" w:space="0" w:color="auto"/>
              <w:right w:val="nil"/>
            </w:tcBorders>
            <w:noWrap/>
            <w:vAlign w:val="bottom"/>
            <w:hideMark/>
          </w:tcPr>
          <w:p w14:paraId="2FE4364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c>
          <w:tcPr>
            <w:tcW w:w="354" w:type="pct"/>
            <w:tcBorders>
              <w:top w:val="single" w:sz="4" w:space="0" w:color="auto"/>
              <w:left w:val="nil"/>
              <w:bottom w:val="single" w:sz="4" w:space="0" w:color="auto"/>
              <w:right w:val="nil"/>
            </w:tcBorders>
            <w:noWrap/>
            <w:vAlign w:val="bottom"/>
            <w:hideMark/>
          </w:tcPr>
          <w:p w14:paraId="61022C3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c>
          <w:tcPr>
            <w:tcW w:w="432" w:type="pct"/>
            <w:tcBorders>
              <w:top w:val="single" w:sz="4" w:space="0" w:color="auto"/>
              <w:left w:val="nil"/>
              <w:bottom w:val="single" w:sz="4" w:space="0" w:color="auto"/>
              <w:right w:val="nil"/>
            </w:tcBorders>
            <w:noWrap/>
            <w:vAlign w:val="bottom"/>
            <w:hideMark/>
          </w:tcPr>
          <w:p w14:paraId="2B67E4B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114.8</w:t>
            </w:r>
          </w:p>
        </w:tc>
      </w:tr>
      <w:tr w:rsidR="00EA5506" w:rsidRPr="00EA5506" w14:paraId="15EF07F6" w14:textId="77777777" w:rsidTr="00AD5406">
        <w:trPr>
          <w:trHeight w:val="225"/>
        </w:trPr>
        <w:tc>
          <w:tcPr>
            <w:tcW w:w="2797" w:type="pct"/>
            <w:gridSpan w:val="6"/>
            <w:tcBorders>
              <w:top w:val="nil"/>
              <w:left w:val="nil"/>
              <w:bottom w:val="nil"/>
              <w:right w:val="nil"/>
            </w:tcBorders>
            <w:noWrap/>
            <w:vAlign w:val="bottom"/>
            <w:hideMark/>
          </w:tcPr>
          <w:p w14:paraId="5DEC5DED" w14:textId="77777777" w:rsidR="00EA5506" w:rsidRPr="00EA5506" w:rsidRDefault="00EA5506" w:rsidP="00EA5506">
            <w:pPr>
              <w:spacing w:before="0" w:after="0"/>
              <w:jc w:val="right"/>
              <w:rPr>
                <w:rFonts w:ascii="Arial" w:hAnsi="Arial" w:cs="Arial"/>
                <w:sz w:val="16"/>
                <w:szCs w:val="16"/>
              </w:rPr>
            </w:pPr>
          </w:p>
        </w:tc>
        <w:tc>
          <w:tcPr>
            <w:tcW w:w="354" w:type="pct"/>
            <w:tcBorders>
              <w:top w:val="nil"/>
              <w:left w:val="nil"/>
              <w:bottom w:val="nil"/>
              <w:right w:val="nil"/>
            </w:tcBorders>
            <w:noWrap/>
            <w:vAlign w:val="bottom"/>
            <w:hideMark/>
          </w:tcPr>
          <w:p w14:paraId="4FDC2404"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B5E7BE7"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02C42D94"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B154661"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3A39D93F"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585026D8" w14:textId="77777777" w:rsidR="00EA5506" w:rsidRPr="00EA5506" w:rsidRDefault="00EA5506" w:rsidP="00EA5506">
            <w:pPr>
              <w:spacing w:before="0" w:after="0"/>
              <w:rPr>
                <w:rFonts w:ascii="Times New Roman" w:hAnsi="Times New Roman"/>
                <w:sz w:val="20"/>
                <w:szCs w:val="20"/>
              </w:rPr>
            </w:pPr>
          </w:p>
        </w:tc>
      </w:tr>
      <w:tr w:rsidR="00EA5506" w:rsidRPr="00EA5506" w14:paraId="412323A9" w14:textId="77777777" w:rsidTr="00AD5406">
        <w:trPr>
          <w:trHeight w:val="225"/>
        </w:trPr>
        <w:tc>
          <w:tcPr>
            <w:tcW w:w="2797" w:type="pct"/>
            <w:gridSpan w:val="6"/>
            <w:tcBorders>
              <w:top w:val="nil"/>
              <w:left w:val="nil"/>
              <w:bottom w:val="nil"/>
              <w:right w:val="nil"/>
            </w:tcBorders>
            <w:noWrap/>
            <w:vAlign w:val="bottom"/>
            <w:hideMark/>
          </w:tcPr>
          <w:p w14:paraId="0E111387"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Infrastructure &amp; Environment</w:t>
            </w:r>
          </w:p>
        </w:tc>
        <w:tc>
          <w:tcPr>
            <w:tcW w:w="354" w:type="pct"/>
            <w:tcBorders>
              <w:top w:val="nil"/>
              <w:left w:val="nil"/>
              <w:bottom w:val="nil"/>
              <w:right w:val="nil"/>
            </w:tcBorders>
            <w:noWrap/>
            <w:vAlign w:val="bottom"/>
            <w:hideMark/>
          </w:tcPr>
          <w:p w14:paraId="4026ED7F" w14:textId="77777777" w:rsidR="00EA5506" w:rsidRPr="00EA5506" w:rsidRDefault="00EA5506" w:rsidP="00EA5506">
            <w:pPr>
              <w:spacing w:before="0" w:after="0"/>
              <w:rPr>
                <w:rFonts w:ascii="Arial" w:hAnsi="Arial" w:cs="Arial"/>
                <w:b/>
                <w:bCs/>
                <w:sz w:val="16"/>
                <w:szCs w:val="16"/>
              </w:rPr>
            </w:pPr>
          </w:p>
        </w:tc>
        <w:tc>
          <w:tcPr>
            <w:tcW w:w="354" w:type="pct"/>
            <w:tcBorders>
              <w:top w:val="nil"/>
              <w:left w:val="nil"/>
              <w:bottom w:val="nil"/>
              <w:right w:val="nil"/>
            </w:tcBorders>
            <w:noWrap/>
            <w:vAlign w:val="bottom"/>
            <w:hideMark/>
          </w:tcPr>
          <w:p w14:paraId="3071F79B"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1F34C050"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45C29015" w14:textId="77777777" w:rsidR="00EA5506" w:rsidRPr="00EA5506" w:rsidRDefault="00EA5506" w:rsidP="00EA5506">
            <w:pPr>
              <w:spacing w:before="0" w:after="0"/>
              <w:rPr>
                <w:rFonts w:ascii="Times New Roman" w:hAnsi="Times New Roman"/>
                <w:sz w:val="20"/>
                <w:szCs w:val="20"/>
              </w:rPr>
            </w:pPr>
          </w:p>
        </w:tc>
        <w:tc>
          <w:tcPr>
            <w:tcW w:w="354" w:type="pct"/>
            <w:tcBorders>
              <w:top w:val="nil"/>
              <w:left w:val="nil"/>
              <w:bottom w:val="nil"/>
              <w:right w:val="nil"/>
            </w:tcBorders>
            <w:noWrap/>
            <w:vAlign w:val="bottom"/>
            <w:hideMark/>
          </w:tcPr>
          <w:p w14:paraId="541E595C" w14:textId="77777777" w:rsidR="00EA5506" w:rsidRPr="00EA5506" w:rsidRDefault="00EA5506" w:rsidP="00EA5506">
            <w:pPr>
              <w:spacing w:before="0" w:after="0"/>
              <w:rPr>
                <w:rFonts w:ascii="Times New Roman" w:hAnsi="Times New Roman"/>
                <w:sz w:val="20"/>
                <w:szCs w:val="20"/>
              </w:rPr>
            </w:pPr>
          </w:p>
        </w:tc>
        <w:tc>
          <w:tcPr>
            <w:tcW w:w="432" w:type="pct"/>
            <w:tcBorders>
              <w:top w:val="nil"/>
              <w:left w:val="nil"/>
              <w:bottom w:val="nil"/>
              <w:right w:val="nil"/>
            </w:tcBorders>
            <w:noWrap/>
            <w:vAlign w:val="bottom"/>
            <w:hideMark/>
          </w:tcPr>
          <w:p w14:paraId="2B56EF32" w14:textId="77777777" w:rsidR="00EA5506" w:rsidRPr="00EA5506" w:rsidRDefault="00EA5506" w:rsidP="00EA5506">
            <w:pPr>
              <w:spacing w:before="0" w:after="0"/>
              <w:rPr>
                <w:rFonts w:ascii="Times New Roman" w:hAnsi="Times New Roman"/>
                <w:sz w:val="20"/>
                <w:szCs w:val="20"/>
              </w:rPr>
            </w:pPr>
          </w:p>
        </w:tc>
      </w:tr>
      <w:tr w:rsidR="00EA5506" w:rsidRPr="00EA5506" w14:paraId="0FF5BFBA" w14:textId="77777777" w:rsidTr="00AD5406">
        <w:trPr>
          <w:trHeight w:val="225"/>
        </w:trPr>
        <w:tc>
          <w:tcPr>
            <w:tcW w:w="1381" w:type="pct"/>
            <w:gridSpan w:val="2"/>
            <w:tcBorders>
              <w:top w:val="nil"/>
              <w:left w:val="nil"/>
              <w:bottom w:val="nil"/>
              <w:right w:val="nil"/>
            </w:tcBorders>
            <w:shd w:val="clear" w:color="000000" w:fill="DAE9F8"/>
            <w:noWrap/>
            <w:vAlign w:val="bottom"/>
            <w:hideMark/>
          </w:tcPr>
          <w:p w14:paraId="7C1BE3B5" w14:textId="77777777" w:rsidR="00EA5506" w:rsidRPr="00EA5506" w:rsidRDefault="00EA5506" w:rsidP="00EA5506">
            <w:pPr>
              <w:spacing w:before="0" w:after="0"/>
              <w:rPr>
                <w:rFonts w:ascii="Arial" w:hAnsi="Arial" w:cs="Arial"/>
                <w:sz w:val="16"/>
                <w:szCs w:val="16"/>
              </w:rPr>
            </w:pPr>
            <w:r w:rsidRPr="00EA5506">
              <w:rPr>
                <w:rFonts w:ascii="Arial" w:hAnsi="Arial" w:cs="Arial"/>
                <w:sz w:val="16"/>
                <w:szCs w:val="16"/>
              </w:rPr>
              <w:t>Permanent - Full time</w:t>
            </w:r>
          </w:p>
        </w:tc>
        <w:tc>
          <w:tcPr>
            <w:tcW w:w="354" w:type="pct"/>
            <w:tcBorders>
              <w:top w:val="nil"/>
              <w:left w:val="nil"/>
              <w:bottom w:val="nil"/>
              <w:right w:val="nil"/>
            </w:tcBorders>
            <w:shd w:val="clear" w:color="000000" w:fill="DAE9F8"/>
            <w:noWrap/>
            <w:vAlign w:val="bottom"/>
            <w:hideMark/>
          </w:tcPr>
          <w:p w14:paraId="54FB846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c>
          <w:tcPr>
            <w:tcW w:w="354" w:type="pct"/>
            <w:tcBorders>
              <w:top w:val="nil"/>
              <w:left w:val="nil"/>
              <w:bottom w:val="nil"/>
              <w:right w:val="nil"/>
            </w:tcBorders>
            <w:shd w:val="clear" w:color="000000" w:fill="DAE9F8"/>
            <w:noWrap/>
            <w:vAlign w:val="bottom"/>
            <w:hideMark/>
          </w:tcPr>
          <w:p w14:paraId="501226D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c>
          <w:tcPr>
            <w:tcW w:w="354" w:type="pct"/>
            <w:tcBorders>
              <w:top w:val="nil"/>
              <w:left w:val="nil"/>
              <w:bottom w:val="nil"/>
              <w:right w:val="nil"/>
            </w:tcBorders>
            <w:shd w:val="clear" w:color="000000" w:fill="DAE9F8"/>
            <w:noWrap/>
            <w:vAlign w:val="bottom"/>
            <w:hideMark/>
          </w:tcPr>
          <w:p w14:paraId="63683F3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c>
          <w:tcPr>
            <w:tcW w:w="354" w:type="pct"/>
            <w:tcBorders>
              <w:top w:val="nil"/>
              <w:left w:val="nil"/>
              <w:bottom w:val="nil"/>
              <w:right w:val="nil"/>
            </w:tcBorders>
            <w:shd w:val="clear" w:color="000000" w:fill="DAE9F8"/>
            <w:noWrap/>
            <w:vAlign w:val="bottom"/>
            <w:hideMark/>
          </w:tcPr>
          <w:p w14:paraId="314E4DF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c>
          <w:tcPr>
            <w:tcW w:w="354" w:type="pct"/>
            <w:tcBorders>
              <w:top w:val="nil"/>
              <w:left w:val="nil"/>
              <w:bottom w:val="nil"/>
              <w:right w:val="nil"/>
            </w:tcBorders>
            <w:shd w:val="clear" w:color="000000" w:fill="DAE9F8"/>
            <w:noWrap/>
            <w:vAlign w:val="bottom"/>
            <w:hideMark/>
          </w:tcPr>
          <w:p w14:paraId="2412CC6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c>
          <w:tcPr>
            <w:tcW w:w="354" w:type="pct"/>
            <w:tcBorders>
              <w:top w:val="nil"/>
              <w:left w:val="nil"/>
              <w:bottom w:val="nil"/>
              <w:right w:val="nil"/>
            </w:tcBorders>
            <w:shd w:val="clear" w:color="000000" w:fill="DAE9F8"/>
            <w:noWrap/>
            <w:vAlign w:val="bottom"/>
            <w:hideMark/>
          </w:tcPr>
          <w:p w14:paraId="0038A86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c>
          <w:tcPr>
            <w:tcW w:w="354" w:type="pct"/>
            <w:tcBorders>
              <w:top w:val="nil"/>
              <w:left w:val="nil"/>
              <w:bottom w:val="nil"/>
              <w:right w:val="nil"/>
            </w:tcBorders>
            <w:shd w:val="clear" w:color="000000" w:fill="DAE9F8"/>
            <w:noWrap/>
            <w:vAlign w:val="bottom"/>
            <w:hideMark/>
          </w:tcPr>
          <w:p w14:paraId="18A0F2C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c>
          <w:tcPr>
            <w:tcW w:w="354" w:type="pct"/>
            <w:tcBorders>
              <w:top w:val="nil"/>
              <w:left w:val="nil"/>
              <w:bottom w:val="nil"/>
              <w:right w:val="nil"/>
            </w:tcBorders>
            <w:shd w:val="clear" w:color="000000" w:fill="DAE9F8"/>
            <w:noWrap/>
            <w:vAlign w:val="bottom"/>
            <w:hideMark/>
          </w:tcPr>
          <w:p w14:paraId="718E65B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c>
          <w:tcPr>
            <w:tcW w:w="354" w:type="pct"/>
            <w:tcBorders>
              <w:top w:val="nil"/>
              <w:left w:val="nil"/>
              <w:bottom w:val="nil"/>
              <w:right w:val="nil"/>
            </w:tcBorders>
            <w:shd w:val="clear" w:color="000000" w:fill="DAE9F8"/>
            <w:noWrap/>
            <w:vAlign w:val="bottom"/>
            <w:hideMark/>
          </w:tcPr>
          <w:p w14:paraId="7EE189E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c>
          <w:tcPr>
            <w:tcW w:w="432" w:type="pct"/>
            <w:tcBorders>
              <w:top w:val="nil"/>
              <w:left w:val="nil"/>
              <w:bottom w:val="nil"/>
              <w:right w:val="nil"/>
            </w:tcBorders>
            <w:shd w:val="clear" w:color="000000" w:fill="DAE9F8"/>
            <w:noWrap/>
            <w:vAlign w:val="bottom"/>
            <w:hideMark/>
          </w:tcPr>
          <w:p w14:paraId="2D75817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181.3</w:t>
            </w:r>
          </w:p>
        </w:tc>
      </w:tr>
      <w:tr w:rsidR="00EA5506" w:rsidRPr="00EA5506" w14:paraId="5CD8AD37" w14:textId="77777777" w:rsidTr="00AD5406">
        <w:trPr>
          <w:trHeight w:val="225"/>
        </w:trPr>
        <w:tc>
          <w:tcPr>
            <w:tcW w:w="1278" w:type="pct"/>
            <w:tcBorders>
              <w:top w:val="nil"/>
              <w:left w:val="nil"/>
              <w:bottom w:val="nil"/>
              <w:right w:val="nil"/>
            </w:tcBorders>
            <w:noWrap/>
            <w:vAlign w:val="bottom"/>
            <w:hideMark/>
          </w:tcPr>
          <w:p w14:paraId="61C90D32"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Women</w:t>
            </w:r>
          </w:p>
        </w:tc>
        <w:tc>
          <w:tcPr>
            <w:tcW w:w="104" w:type="pct"/>
            <w:tcBorders>
              <w:top w:val="nil"/>
              <w:left w:val="nil"/>
              <w:bottom w:val="nil"/>
              <w:right w:val="nil"/>
            </w:tcBorders>
            <w:noWrap/>
            <w:vAlign w:val="bottom"/>
            <w:hideMark/>
          </w:tcPr>
          <w:p w14:paraId="790C3411"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6436688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c>
          <w:tcPr>
            <w:tcW w:w="354" w:type="pct"/>
            <w:tcBorders>
              <w:top w:val="nil"/>
              <w:left w:val="nil"/>
              <w:bottom w:val="nil"/>
              <w:right w:val="nil"/>
            </w:tcBorders>
            <w:noWrap/>
            <w:vAlign w:val="bottom"/>
            <w:hideMark/>
          </w:tcPr>
          <w:p w14:paraId="165438A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c>
          <w:tcPr>
            <w:tcW w:w="354" w:type="pct"/>
            <w:tcBorders>
              <w:top w:val="nil"/>
              <w:left w:val="nil"/>
              <w:bottom w:val="nil"/>
              <w:right w:val="nil"/>
            </w:tcBorders>
            <w:noWrap/>
            <w:vAlign w:val="bottom"/>
            <w:hideMark/>
          </w:tcPr>
          <w:p w14:paraId="380DB74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c>
          <w:tcPr>
            <w:tcW w:w="354" w:type="pct"/>
            <w:tcBorders>
              <w:top w:val="nil"/>
              <w:left w:val="nil"/>
              <w:bottom w:val="nil"/>
              <w:right w:val="nil"/>
            </w:tcBorders>
            <w:noWrap/>
            <w:vAlign w:val="bottom"/>
            <w:hideMark/>
          </w:tcPr>
          <w:p w14:paraId="013C23F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c>
          <w:tcPr>
            <w:tcW w:w="354" w:type="pct"/>
            <w:tcBorders>
              <w:top w:val="nil"/>
              <w:left w:val="nil"/>
              <w:bottom w:val="nil"/>
              <w:right w:val="nil"/>
            </w:tcBorders>
            <w:noWrap/>
            <w:vAlign w:val="bottom"/>
            <w:hideMark/>
          </w:tcPr>
          <w:p w14:paraId="7B3D5F8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c>
          <w:tcPr>
            <w:tcW w:w="354" w:type="pct"/>
            <w:tcBorders>
              <w:top w:val="nil"/>
              <w:left w:val="nil"/>
              <w:bottom w:val="nil"/>
              <w:right w:val="nil"/>
            </w:tcBorders>
            <w:noWrap/>
            <w:vAlign w:val="bottom"/>
            <w:hideMark/>
          </w:tcPr>
          <w:p w14:paraId="7C87785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c>
          <w:tcPr>
            <w:tcW w:w="354" w:type="pct"/>
            <w:tcBorders>
              <w:top w:val="nil"/>
              <w:left w:val="nil"/>
              <w:bottom w:val="nil"/>
              <w:right w:val="nil"/>
            </w:tcBorders>
            <w:noWrap/>
            <w:vAlign w:val="bottom"/>
            <w:hideMark/>
          </w:tcPr>
          <w:p w14:paraId="742192E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c>
          <w:tcPr>
            <w:tcW w:w="354" w:type="pct"/>
            <w:tcBorders>
              <w:top w:val="nil"/>
              <w:left w:val="nil"/>
              <w:bottom w:val="nil"/>
              <w:right w:val="nil"/>
            </w:tcBorders>
            <w:noWrap/>
            <w:vAlign w:val="bottom"/>
            <w:hideMark/>
          </w:tcPr>
          <w:p w14:paraId="470E73C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c>
          <w:tcPr>
            <w:tcW w:w="354" w:type="pct"/>
            <w:tcBorders>
              <w:top w:val="nil"/>
              <w:left w:val="nil"/>
              <w:bottom w:val="nil"/>
              <w:right w:val="nil"/>
            </w:tcBorders>
            <w:noWrap/>
            <w:vAlign w:val="bottom"/>
            <w:hideMark/>
          </w:tcPr>
          <w:p w14:paraId="107C5F8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c>
          <w:tcPr>
            <w:tcW w:w="432" w:type="pct"/>
            <w:tcBorders>
              <w:top w:val="nil"/>
              <w:left w:val="nil"/>
              <w:bottom w:val="nil"/>
              <w:right w:val="nil"/>
            </w:tcBorders>
            <w:noWrap/>
            <w:vAlign w:val="bottom"/>
            <w:hideMark/>
          </w:tcPr>
          <w:p w14:paraId="0E6892E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39.5</w:t>
            </w:r>
          </w:p>
        </w:tc>
      </w:tr>
      <w:tr w:rsidR="00EA5506" w:rsidRPr="00EA5506" w14:paraId="02BFA5EE" w14:textId="77777777" w:rsidTr="00AD5406">
        <w:trPr>
          <w:trHeight w:val="225"/>
        </w:trPr>
        <w:tc>
          <w:tcPr>
            <w:tcW w:w="1278" w:type="pct"/>
            <w:tcBorders>
              <w:top w:val="nil"/>
              <w:left w:val="nil"/>
              <w:bottom w:val="nil"/>
              <w:right w:val="nil"/>
            </w:tcBorders>
            <w:noWrap/>
            <w:vAlign w:val="bottom"/>
            <w:hideMark/>
          </w:tcPr>
          <w:p w14:paraId="7F79F623"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 xml:space="preserve">Men </w:t>
            </w:r>
          </w:p>
        </w:tc>
        <w:tc>
          <w:tcPr>
            <w:tcW w:w="104" w:type="pct"/>
            <w:tcBorders>
              <w:top w:val="nil"/>
              <w:left w:val="nil"/>
              <w:bottom w:val="nil"/>
              <w:right w:val="nil"/>
            </w:tcBorders>
            <w:noWrap/>
            <w:vAlign w:val="bottom"/>
            <w:hideMark/>
          </w:tcPr>
          <w:p w14:paraId="04E490C8"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4F930A1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c>
          <w:tcPr>
            <w:tcW w:w="354" w:type="pct"/>
            <w:tcBorders>
              <w:top w:val="nil"/>
              <w:left w:val="nil"/>
              <w:bottom w:val="nil"/>
              <w:right w:val="nil"/>
            </w:tcBorders>
            <w:noWrap/>
            <w:vAlign w:val="bottom"/>
            <w:hideMark/>
          </w:tcPr>
          <w:p w14:paraId="56F61DF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c>
          <w:tcPr>
            <w:tcW w:w="354" w:type="pct"/>
            <w:tcBorders>
              <w:top w:val="nil"/>
              <w:left w:val="nil"/>
              <w:bottom w:val="nil"/>
              <w:right w:val="nil"/>
            </w:tcBorders>
            <w:noWrap/>
            <w:vAlign w:val="bottom"/>
            <w:hideMark/>
          </w:tcPr>
          <w:p w14:paraId="3AE88D3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c>
          <w:tcPr>
            <w:tcW w:w="354" w:type="pct"/>
            <w:tcBorders>
              <w:top w:val="nil"/>
              <w:left w:val="nil"/>
              <w:bottom w:val="nil"/>
              <w:right w:val="nil"/>
            </w:tcBorders>
            <w:noWrap/>
            <w:vAlign w:val="bottom"/>
            <w:hideMark/>
          </w:tcPr>
          <w:p w14:paraId="067EFDF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c>
          <w:tcPr>
            <w:tcW w:w="354" w:type="pct"/>
            <w:tcBorders>
              <w:top w:val="nil"/>
              <w:left w:val="nil"/>
              <w:bottom w:val="nil"/>
              <w:right w:val="nil"/>
            </w:tcBorders>
            <w:noWrap/>
            <w:vAlign w:val="bottom"/>
            <w:hideMark/>
          </w:tcPr>
          <w:p w14:paraId="50E24F1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c>
          <w:tcPr>
            <w:tcW w:w="354" w:type="pct"/>
            <w:tcBorders>
              <w:top w:val="nil"/>
              <w:left w:val="nil"/>
              <w:bottom w:val="nil"/>
              <w:right w:val="nil"/>
            </w:tcBorders>
            <w:noWrap/>
            <w:vAlign w:val="bottom"/>
            <w:hideMark/>
          </w:tcPr>
          <w:p w14:paraId="1500F51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c>
          <w:tcPr>
            <w:tcW w:w="354" w:type="pct"/>
            <w:tcBorders>
              <w:top w:val="nil"/>
              <w:left w:val="nil"/>
              <w:bottom w:val="nil"/>
              <w:right w:val="nil"/>
            </w:tcBorders>
            <w:noWrap/>
            <w:vAlign w:val="bottom"/>
            <w:hideMark/>
          </w:tcPr>
          <w:p w14:paraId="60C6E44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c>
          <w:tcPr>
            <w:tcW w:w="354" w:type="pct"/>
            <w:tcBorders>
              <w:top w:val="nil"/>
              <w:left w:val="nil"/>
              <w:bottom w:val="nil"/>
              <w:right w:val="nil"/>
            </w:tcBorders>
            <w:noWrap/>
            <w:vAlign w:val="bottom"/>
            <w:hideMark/>
          </w:tcPr>
          <w:p w14:paraId="4930FDE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c>
          <w:tcPr>
            <w:tcW w:w="354" w:type="pct"/>
            <w:tcBorders>
              <w:top w:val="nil"/>
              <w:left w:val="nil"/>
              <w:bottom w:val="nil"/>
              <w:right w:val="nil"/>
            </w:tcBorders>
            <w:noWrap/>
            <w:vAlign w:val="bottom"/>
            <w:hideMark/>
          </w:tcPr>
          <w:p w14:paraId="7788FC3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c>
          <w:tcPr>
            <w:tcW w:w="432" w:type="pct"/>
            <w:tcBorders>
              <w:top w:val="nil"/>
              <w:left w:val="nil"/>
              <w:bottom w:val="nil"/>
              <w:right w:val="nil"/>
            </w:tcBorders>
            <w:noWrap/>
            <w:vAlign w:val="bottom"/>
            <w:hideMark/>
          </w:tcPr>
          <w:p w14:paraId="5D4031B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120.0</w:t>
            </w:r>
          </w:p>
        </w:tc>
      </w:tr>
      <w:tr w:rsidR="00EA5506" w:rsidRPr="00EA5506" w14:paraId="01DF1943" w14:textId="77777777" w:rsidTr="00AD5406">
        <w:trPr>
          <w:trHeight w:val="225"/>
        </w:trPr>
        <w:tc>
          <w:tcPr>
            <w:tcW w:w="1278" w:type="pct"/>
            <w:tcBorders>
              <w:top w:val="nil"/>
              <w:left w:val="nil"/>
              <w:bottom w:val="nil"/>
              <w:right w:val="nil"/>
            </w:tcBorders>
            <w:noWrap/>
            <w:vAlign w:val="bottom"/>
            <w:hideMark/>
          </w:tcPr>
          <w:p w14:paraId="0D4D3F48"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Persons of self-described gender</w:t>
            </w:r>
          </w:p>
        </w:tc>
        <w:tc>
          <w:tcPr>
            <w:tcW w:w="104" w:type="pct"/>
            <w:tcBorders>
              <w:top w:val="nil"/>
              <w:left w:val="nil"/>
              <w:bottom w:val="nil"/>
              <w:right w:val="nil"/>
            </w:tcBorders>
            <w:noWrap/>
            <w:vAlign w:val="bottom"/>
            <w:hideMark/>
          </w:tcPr>
          <w:p w14:paraId="678159E4"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68625B2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204FE83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48B97C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6A49E64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0136AB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3F0AD5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335CBE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71DD124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4913C74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432" w:type="pct"/>
            <w:tcBorders>
              <w:top w:val="nil"/>
              <w:left w:val="nil"/>
              <w:bottom w:val="nil"/>
              <w:right w:val="nil"/>
            </w:tcBorders>
            <w:noWrap/>
            <w:vAlign w:val="bottom"/>
            <w:hideMark/>
          </w:tcPr>
          <w:p w14:paraId="16D198C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r>
      <w:tr w:rsidR="00EA5506" w:rsidRPr="00EA5506" w14:paraId="76FEF770" w14:textId="77777777" w:rsidTr="00AD5406">
        <w:trPr>
          <w:trHeight w:val="225"/>
        </w:trPr>
        <w:tc>
          <w:tcPr>
            <w:tcW w:w="1278" w:type="pct"/>
            <w:tcBorders>
              <w:top w:val="nil"/>
              <w:left w:val="nil"/>
              <w:bottom w:val="nil"/>
              <w:right w:val="nil"/>
            </w:tcBorders>
            <w:noWrap/>
            <w:vAlign w:val="bottom"/>
            <w:hideMark/>
          </w:tcPr>
          <w:p w14:paraId="66D8C254"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Vacant positions</w:t>
            </w:r>
          </w:p>
        </w:tc>
        <w:tc>
          <w:tcPr>
            <w:tcW w:w="104" w:type="pct"/>
            <w:tcBorders>
              <w:top w:val="nil"/>
              <w:left w:val="nil"/>
              <w:bottom w:val="nil"/>
              <w:right w:val="nil"/>
            </w:tcBorders>
            <w:noWrap/>
            <w:vAlign w:val="bottom"/>
            <w:hideMark/>
          </w:tcPr>
          <w:p w14:paraId="24A40A0E"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4422770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c>
          <w:tcPr>
            <w:tcW w:w="354" w:type="pct"/>
            <w:tcBorders>
              <w:top w:val="nil"/>
              <w:left w:val="nil"/>
              <w:bottom w:val="nil"/>
              <w:right w:val="nil"/>
            </w:tcBorders>
            <w:noWrap/>
            <w:vAlign w:val="bottom"/>
            <w:hideMark/>
          </w:tcPr>
          <w:p w14:paraId="793D2D5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c>
          <w:tcPr>
            <w:tcW w:w="354" w:type="pct"/>
            <w:tcBorders>
              <w:top w:val="nil"/>
              <w:left w:val="nil"/>
              <w:bottom w:val="nil"/>
              <w:right w:val="nil"/>
            </w:tcBorders>
            <w:noWrap/>
            <w:vAlign w:val="bottom"/>
            <w:hideMark/>
          </w:tcPr>
          <w:p w14:paraId="3B02699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c>
          <w:tcPr>
            <w:tcW w:w="354" w:type="pct"/>
            <w:tcBorders>
              <w:top w:val="nil"/>
              <w:left w:val="nil"/>
              <w:bottom w:val="nil"/>
              <w:right w:val="nil"/>
            </w:tcBorders>
            <w:noWrap/>
            <w:vAlign w:val="bottom"/>
            <w:hideMark/>
          </w:tcPr>
          <w:p w14:paraId="66994B7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c>
          <w:tcPr>
            <w:tcW w:w="354" w:type="pct"/>
            <w:tcBorders>
              <w:top w:val="nil"/>
              <w:left w:val="nil"/>
              <w:bottom w:val="nil"/>
              <w:right w:val="nil"/>
            </w:tcBorders>
            <w:noWrap/>
            <w:vAlign w:val="bottom"/>
            <w:hideMark/>
          </w:tcPr>
          <w:p w14:paraId="21F152B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c>
          <w:tcPr>
            <w:tcW w:w="354" w:type="pct"/>
            <w:tcBorders>
              <w:top w:val="nil"/>
              <w:left w:val="nil"/>
              <w:bottom w:val="nil"/>
              <w:right w:val="nil"/>
            </w:tcBorders>
            <w:noWrap/>
            <w:vAlign w:val="bottom"/>
            <w:hideMark/>
          </w:tcPr>
          <w:p w14:paraId="41FE6C8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c>
          <w:tcPr>
            <w:tcW w:w="354" w:type="pct"/>
            <w:tcBorders>
              <w:top w:val="nil"/>
              <w:left w:val="nil"/>
              <w:bottom w:val="nil"/>
              <w:right w:val="nil"/>
            </w:tcBorders>
            <w:noWrap/>
            <w:vAlign w:val="bottom"/>
            <w:hideMark/>
          </w:tcPr>
          <w:p w14:paraId="5896462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c>
          <w:tcPr>
            <w:tcW w:w="354" w:type="pct"/>
            <w:tcBorders>
              <w:top w:val="nil"/>
              <w:left w:val="nil"/>
              <w:bottom w:val="nil"/>
              <w:right w:val="nil"/>
            </w:tcBorders>
            <w:noWrap/>
            <w:vAlign w:val="bottom"/>
            <w:hideMark/>
          </w:tcPr>
          <w:p w14:paraId="180EB24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c>
          <w:tcPr>
            <w:tcW w:w="354" w:type="pct"/>
            <w:tcBorders>
              <w:top w:val="nil"/>
              <w:left w:val="nil"/>
              <w:bottom w:val="nil"/>
              <w:right w:val="nil"/>
            </w:tcBorders>
            <w:noWrap/>
            <w:vAlign w:val="bottom"/>
            <w:hideMark/>
          </w:tcPr>
          <w:p w14:paraId="06D9C1F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c>
          <w:tcPr>
            <w:tcW w:w="432" w:type="pct"/>
            <w:tcBorders>
              <w:top w:val="nil"/>
              <w:left w:val="nil"/>
              <w:bottom w:val="nil"/>
              <w:right w:val="nil"/>
            </w:tcBorders>
            <w:noWrap/>
            <w:vAlign w:val="bottom"/>
            <w:hideMark/>
          </w:tcPr>
          <w:p w14:paraId="6AF2930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11.0</w:t>
            </w:r>
          </w:p>
        </w:tc>
      </w:tr>
      <w:tr w:rsidR="00EA5506" w:rsidRPr="00EA5506" w14:paraId="7EC92805" w14:textId="77777777" w:rsidTr="00AD5406">
        <w:trPr>
          <w:trHeight w:val="225"/>
        </w:trPr>
        <w:tc>
          <w:tcPr>
            <w:tcW w:w="1278" w:type="pct"/>
            <w:tcBorders>
              <w:top w:val="nil"/>
              <w:left w:val="nil"/>
              <w:bottom w:val="nil"/>
              <w:right w:val="nil"/>
            </w:tcBorders>
            <w:noWrap/>
            <w:vAlign w:val="bottom"/>
            <w:hideMark/>
          </w:tcPr>
          <w:p w14:paraId="2E676E9D"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New positions</w:t>
            </w:r>
          </w:p>
        </w:tc>
        <w:tc>
          <w:tcPr>
            <w:tcW w:w="104" w:type="pct"/>
            <w:tcBorders>
              <w:top w:val="nil"/>
              <w:left w:val="nil"/>
              <w:bottom w:val="nil"/>
              <w:right w:val="nil"/>
            </w:tcBorders>
            <w:noWrap/>
            <w:vAlign w:val="bottom"/>
            <w:hideMark/>
          </w:tcPr>
          <w:p w14:paraId="510B384D"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367BD5D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c>
          <w:tcPr>
            <w:tcW w:w="354" w:type="pct"/>
            <w:tcBorders>
              <w:top w:val="nil"/>
              <w:left w:val="nil"/>
              <w:bottom w:val="nil"/>
              <w:right w:val="nil"/>
            </w:tcBorders>
            <w:noWrap/>
            <w:vAlign w:val="bottom"/>
            <w:hideMark/>
          </w:tcPr>
          <w:p w14:paraId="47C65F5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c>
          <w:tcPr>
            <w:tcW w:w="354" w:type="pct"/>
            <w:tcBorders>
              <w:top w:val="nil"/>
              <w:left w:val="nil"/>
              <w:bottom w:val="nil"/>
              <w:right w:val="nil"/>
            </w:tcBorders>
            <w:noWrap/>
            <w:vAlign w:val="bottom"/>
            <w:hideMark/>
          </w:tcPr>
          <w:p w14:paraId="20451B4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c>
          <w:tcPr>
            <w:tcW w:w="354" w:type="pct"/>
            <w:tcBorders>
              <w:top w:val="nil"/>
              <w:left w:val="nil"/>
              <w:bottom w:val="nil"/>
              <w:right w:val="nil"/>
            </w:tcBorders>
            <w:noWrap/>
            <w:vAlign w:val="bottom"/>
            <w:hideMark/>
          </w:tcPr>
          <w:p w14:paraId="16331D0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c>
          <w:tcPr>
            <w:tcW w:w="354" w:type="pct"/>
            <w:tcBorders>
              <w:top w:val="nil"/>
              <w:left w:val="nil"/>
              <w:bottom w:val="nil"/>
              <w:right w:val="nil"/>
            </w:tcBorders>
            <w:noWrap/>
            <w:vAlign w:val="bottom"/>
            <w:hideMark/>
          </w:tcPr>
          <w:p w14:paraId="41ED408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c>
          <w:tcPr>
            <w:tcW w:w="354" w:type="pct"/>
            <w:tcBorders>
              <w:top w:val="nil"/>
              <w:left w:val="nil"/>
              <w:bottom w:val="nil"/>
              <w:right w:val="nil"/>
            </w:tcBorders>
            <w:noWrap/>
            <w:vAlign w:val="bottom"/>
            <w:hideMark/>
          </w:tcPr>
          <w:p w14:paraId="45D2451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c>
          <w:tcPr>
            <w:tcW w:w="354" w:type="pct"/>
            <w:tcBorders>
              <w:top w:val="nil"/>
              <w:left w:val="nil"/>
              <w:bottom w:val="nil"/>
              <w:right w:val="nil"/>
            </w:tcBorders>
            <w:noWrap/>
            <w:vAlign w:val="bottom"/>
            <w:hideMark/>
          </w:tcPr>
          <w:p w14:paraId="2EB1D52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c>
          <w:tcPr>
            <w:tcW w:w="354" w:type="pct"/>
            <w:tcBorders>
              <w:top w:val="nil"/>
              <w:left w:val="nil"/>
              <w:bottom w:val="nil"/>
              <w:right w:val="nil"/>
            </w:tcBorders>
            <w:noWrap/>
            <w:vAlign w:val="bottom"/>
            <w:hideMark/>
          </w:tcPr>
          <w:p w14:paraId="774B29C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c>
          <w:tcPr>
            <w:tcW w:w="354" w:type="pct"/>
            <w:tcBorders>
              <w:top w:val="nil"/>
              <w:left w:val="nil"/>
              <w:bottom w:val="nil"/>
              <w:right w:val="nil"/>
            </w:tcBorders>
            <w:noWrap/>
            <w:vAlign w:val="bottom"/>
            <w:hideMark/>
          </w:tcPr>
          <w:p w14:paraId="198EDE1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c>
          <w:tcPr>
            <w:tcW w:w="432" w:type="pct"/>
            <w:tcBorders>
              <w:top w:val="nil"/>
              <w:left w:val="nil"/>
              <w:bottom w:val="nil"/>
              <w:right w:val="nil"/>
            </w:tcBorders>
            <w:noWrap/>
            <w:vAlign w:val="bottom"/>
            <w:hideMark/>
          </w:tcPr>
          <w:p w14:paraId="18EAB25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10.8</w:t>
            </w:r>
          </w:p>
        </w:tc>
      </w:tr>
      <w:tr w:rsidR="00EA5506" w:rsidRPr="00EA5506" w14:paraId="67352780" w14:textId="77777777" w:rsidTr="00AD5406">
        <w:trPr>
          <w:trHeight w:val="225"/>
        </w:trPr>
        <w:tc>
          <w:tcPr>
            <w:tcW w:w="1381" w:type="pct"/>
            <w:gridSpan w:val="2"/>
            <w:tcBorders>
              <w:top w:val="nil"/>
              <w:left w:val="nil"/>
              <w:bottom w:val="nil"/>
              <w:right w:val="nil"/>
            </w:tcBorders>
            <w:shd w:val="clear" w:color="000000" w:fill="DAE9F8"/>
            <w:noWrap/>
            <w:vAlign w:val="bottom"/>
            <w:hideMark/>
          </w:tcPr>
          <w:p w14:paraId="0611354A" w14:textId="77777777" w:rsidR="00EA5506" w:rsidRPr="00EA5506" w:rsidRDefault="00EA5506" w:rsidP="00EA5506">
            <w:pPr>
              <w:spacing w:before="0" w:after="0"/>
              <w:rPr>
                <w:rFonts w:ascii="Arial" w:hAnsi="Arial" w:cs="Arial"/>
                <w:sz w:val="16"/>
                <w:szCs w:val="16"/>
              </w:rPr>
            </w:pPr>
            <w:r w:rsidRPr="00EA5506">
              <w:rPr>
                <w:rFonts w:ascii="Arial" w:hAnsi="Arial" w:cs="Arial"/>
                <w:sz w:val="16"/>
                <w:szCs w:val="16"/>
              </w:rPr>
              <w:t>Permanent - Part time</w:t>
            </w:r>
          </w:p>
        </w:tc>
        <w:tc>
          <w:tcPr>
            <w:tcW w:w="354" w:type="pct"/>
            <w:tcBorders>
              <w:top w:val="nil"/>
              <w:left w:val="nil"/>
              <w:bottom w:val="nil"/>
              <w:right w:val="nil"/>
            </w:tcBorders>
            <w:shd w:val="clear" w:color="000000" w:fill="DAE9F8"/>
            <w:noWrap/>
            <w:vAlign w:val="bottom"/>
            <w:hideMark/>
          </w:tcPr>
          <w:p w14:paraId="5D3619E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c>
          <w:tcPr>
            <w:tcW w:w="354" w:type="pct"/>
            <w:tcBorders>
              <w:top w:val="nil"/>
              <w:left w:val="nil"/>
              <w:bottom w:val="nil"/>
              <w:right w:val="nil"/>
            </w:tcBorders>
            <w:shd w:val="clear" w:color="000000" w:fill="DAE9F8"/>
            <w:noWrap/>
            <w:vAlign w:val="bottom"/>
            <w:hideMark/>
          </w:tcPr>
          <w:p w14:paraId="7F8C410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c>
          <w:tcPr>
            <w:tcW w:w="354" w:type="pct"/>
            <w:tcBorders>
              <w:top w:val="nil"/>
              <w:left w:val="nil"/>
              <w:bottom w:val="nil"/>
              <w:right w:val="nil"/>
            </w:tcBorders>
            <w:shd w:val="clear" w:color="000000" w:fill="DAE9F8"/>
            <w:noWrap/>
            <w:vAlign w:val="bottom"/>
            <w:hideMark/>
          </w:tcPr>
          <w:p w14:paraId="42A6A2E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c>
          <w:tcPr>
            <w:tcW w:w="354" w:type="pct"/>
            <w:tcBorders>
              <w:top w:val="nil"/>
              <w:left w:val="nil"/>
              <w:bottom w:val="nil"/>
              <w:right w:val="nil"/>
            </w:tcBorders>
            <w:shd w:val="clear" w:color="000000" w:fill="DAE9F8"/>
            <w:noWrap/>
            <w:vAlign w:val="bottom"/>
            <w:hideMark/>
          </w:tcPr>
          <w:p w14:paraId="0DC41BD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c>
          <w:tcPr>
            <w:tcW w:w="354" w:type="pct"/>
            <w:tcBorders>
              <w:top w:val="nil"/>
              <w:left w:val="nil"/>
              <w:bottom w:val="nil"/>
              <w:right w:val="nil"/>
            </w:tcBorders>
            <w:shd w:val="clear" w:color="000000" w:fill="DAE9F8"/>
            <w:noWrap/>
            <w:vAlign w:val="bottom"/>
            <w:hideMark/>
          </w:tcPr>
          <w:p w14:paraId="376BAE4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c>
          <w:tcPr>
            <w:tcW w:w="354" w:type="pct"/>
            <w:tcBorders>
              <w:top w:val="nil"/>
              <w:left w:val="nil"/>
              <w:bottom w:val="nil"/>
              <w:right w:val="nil"/>
            </w:tcBorders>
            <w:shd w:val="clear" w:color="000000" w:fill="DAE9F8"/>
            <w:noWrap/>
            <w:vAlign w:val="bottom"/>
            <w:hideMark/>
          </w:tcPr>
          <w:p w14:paraId="390926E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c>
          <w:tcPr>
            <w:tcW w:w="354" w:type="pct"/>
            <w:tcBorders>
              <w:top w:val="nil"/>
              <w:left w:val="nil"/>
              <w:bottom w:val="nil"/>
              <w:right w:val="nil"/>
            </w:tcBorders>
            <w:shd w:val="clear" w:color="000000" w:fill="DAE9F8"/>
            <w:noWrap/>
            <w:vAlign w:val="bottom"/>
            <w:hideMark/>
          </w:tcPr>
          <w:p w14:paraId="2F26D26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c>
          <w:tcPr>
            <w:tcW w:w="354" w:type="pct"/>
            <w:tcBorders>
              <w:top w:val="nil"/>
              <w:left w:val="nil"/>
              <w:bottom w:val="nil"/>
              <w:right w:val="nil"/>
            </w:tcBorders>
            <w:shd w:val="clear" w:color="000000" w:fill="DAE9F8"/>
            <w:noWrap/>
            <w:vAlign w:val="bottom"/>
            <w:hideMark/>
          </w:tcPr>
          <w:p w14:paraId="7F62626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c>
          <w:tcPr>
            <w:tcW w:w="354" w:type="pct"/>
            <w:tcBorders>
              <w:top w:val="nil"/>
              <w:left w:val="nil"/>
              <w:bottom w:val="nil"/>
              <w:right w:val="nil"/>
            </w:tcBorders>
            <w:shd w:val="clear" w:color="000000" w:fill="DAE9F8"/>
            <w:noWrap/>
            <w:vAlign w:val="bottom"/>
            <w:hideMark/>
          </w:tcPr>
          <w:p w14:paraId="7C65F0F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c>
          <w:tcPr>
            <w:tcW w:w="432" w:type="pct"/>
            <w:tcBorders>
              <w:top w:val="nil"/>
              <w:left w:val="nil"/>
              <w:bottom w:val="nil"/>
              <w:right w:val="nil"/>
            </w:tcBorders>
            <w:shd w:val="clear" w:color="000000" w:fill="DAE9F8"/>
            <w:noWrap/>
            <w:vAlign w:val="bottom"/>
            <w:hideMark/>
          </w:tcPr>
          <w:p w14:paraId="6DDA352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6.2</w:t>
            </w:r>
          </w:p>
        </w:tc>
      </w:tr>
      <w:tr w:rsidR="00EA5506" w:rsidRPr="00EA5506" w14:paraId="2C6C57D7" w14:textId="77777777" w:rsidTr="00AD5406">
        <w:trPr>
          <w:trHeight w:val="225"/>
        </w:trPr>
        <w:tc>
          <w:tcPr>
            <w:tcW w:w="1278" w:type="pct"/>
            <w:tcBorders>
              <w:top w:val="nil"/>
              <w:left w:val="nil"/>
              <w:bottom w:val="nil"/>
              <w:right w:val="nil"/>
            </w:tcBorders>
            <w:noWrap/>
            <w:vAlign w:val="bottom"/>
            <w:hideMark/>
          </w:tcPr>
          <w:p w14:paraId="7D3944B8"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Women</w:t>
            </w:r>
          </w:p>
        </w:tc>
        <w:tc>
          <w:tcPr>
            <w:tcW w:w="104" w:type="pct"/>
            <w:tcBorders>
              <w:top w:val="nil"/>
              <w:left w:val="nil"/>
              <w:bottom w:val="nil"/>
              <w:right w:val="nil"/>
            </w:tcBorders>
            <w:noWrap/>
            <w:vAlign w:val="bottom"/>
            <w:hideMark/>
          </w:tcPr>
          <w:p w14:paraId="190E4447"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535E0DF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c>
          <w:tcPr>
            <w:tcW w:w="354" w:type="pct"/>
            <w:tcBorders>
              <w:top w:val="nil"/>
              <w:left w:val="nil"/>
              <w:bottom w:val="nil"/>
              <w:right w:val="nil"/>
            </w:tcBorders>
            <w:noWrap/>
            <w:vAlign w:val="bottom"/>
            <w:hideMark/>
          </w:tcPr>
          <w:p w14:paraId="5A4AA31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c>
          <w:tcPr>
            <w:tcW w:w="354" w:type="pct"/>
            <w:tcBorders>
              <w:top w:val="nil"/>
              <w:left w:val="nil"/>
              <w:bottom w:val="nil"/>
              <w:right w:val="nil"/>
            </w:tcBorders>
            <w:noWrap/>
            <w:vAlign w:val="bottom"/>
            <w:hideMark/>
          </w:tcPr>
          <w:p w14:paraId="7C5F3B1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c>
          <w:tcPr>
            <w:tcW w:w="354" w:type="pct"/>
            <w:tcBorders>
              <w:top w:val="nil"/>
              <w:left w:val="nil"/>
              <w:bottom w:val="nil"/>
              <w:right w:val="nil"/>
            </w:tcBorders>
            <w:noWrap/>
            <w:vAlign w:val="bottom"/>
            <w:hideMark/>
          </w:tcPr>
          <w:p w14:paraId="6C6BA33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c>
          <w:tcPr>
            <w:tcW w:w="354" w:type="pct"/>
            <w:tcBorders>
              <w:top w:val="nil"/>
              <w:left w:val="nil"/>
              <w:bottom w:val="nil"/>
              <w:right w:val="nil"/>
            </w:tcBorders>
            <w:noWrap/>
            <w:vAlign w:val="bottom"/>
            <w:hideMark/>
          </w:tcPr>
          <w:p w14:paraId="78628E5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c>
          <w:tcPr>
            <w:tcW w:w="354" w:type="pct"/>
            <w:tcBorders>
              <w:top w:val="nil"/>
              <w:left w:val="nil"/>
              <w:bottom w:val="nil"/>
              <w:right w:val="nil"/>
            </w:tcBorders>
            <w:noWrap/>
            <w:vAlign w:val="bottom"/>
            <w:hideMark/>
          </w:tcPr>
          <w:p w14:paraId="77FA789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c>
          <w:tcPr>
            <w:tcW w:w="354" w:type="pct"/>
            <w:tcBorders>
              <w:top w:val="nil"/>
              <w:left w:val="nil"/>
              <w:bottom w:val="nil"/>
              <w:right w:val="nil"/>
            </w:tcBorders>
            <w:noWrap/>
            <w:vAlign w:val="bottom"/>
            <w:hideMark/>
          </w:tcPr>
          <w:p w14:paraId="5EF1177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c>
          <w:tcPr>
            <w:tcW w:w="354" w:type="pct"/>
            <w:tcBorders>
              <w:top w:val="nil"/>
              <w:left w:val="nil"/>
              <w:bottom w:val="nil"/>
              <w:right w:val="nil"/>
            </w:tcBorders>
            <w:noWrap/>
            <w:vAlign w:val="bottom"/>
            <w:hideMark/>
          </w:tcPr>
          <w:p w14:paraId="621F002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c>
          <w:tcPr>
            <w:tcW w:w="354" w:type="pct"/>
            <w:tcBorders>
              <w:top w:val="nil"/>
              <w:left w:val="nil"/>
              <w:bottom w:val="nil"/>
              <w:right w:val="nil"/>
            </w:tcBorders>
            <w:noWrap/>
            <w:vAlign w:val="bottom"/>
            <w:hideMark/>
          </w:tcPr>
          <w:p w14:paraId="5A54FD8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c>
          <w:tcPr>
            <w:tcW w:w="432" w:type="pct"/>
            <w:tcBorders>
              <w:top w:val="nil"/>
              <w:left w:val="nil"/>
              <w:bottom w:val="nil"/>
              <w:right w:val="nil"/>
            </w:tcBorders>
            <w:noWrap/>
            <w:vAlign w:val="bottom"/>
            <w:hideMark/>
          </w:tcPr>
          <w:p w14:paraId="098E1FF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4.8</w:t>
            </w:r>
          </w:p>
        </w:tc>
      </w:tr>
      <w:tr w:rsidR="00EA5506" w:rsidRPr="00EA5506" w14:paraId="54DB01B8" w14:textId="77777777" w:rsidTr="00AD5406">
        <w:trPr>
          <w:trHeight w:val="225"/>
        </w:trPr>
        <w:tc>
          <w:tcPr>
            <w:tcW w:w="1278" w:type="pct"/>
            <w:tcBorders>
              <w:top w:val="nil"/>
              <w:left w:val="nil"/>
              <w:bottom w:val="nil"/>
              <w:right w:val="nil"/>
            </w:tcBorders>
            <w:noWrap/>
            <w:vAlign w:val="bottom"/>
            <w:hideMark/>
          </w:tcPr>
          <w:p w14:paraId="53728D2D"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 xml:space="preserve">Men </w:t>
            </w:r>
          </w:p>
        </w:tc>
        <w:tc>
          <w:tcPr>
            <w:tcW w:w="104" w:type="pct"/>
            <w:tcBorders>
              <w:top w:val="nil"/>
              <w:left w:val="nil"/>
              <w:bottom w:val="nil"/>
              <w:right w:val="nil"/>
            </w:tcBorders>
            <w:noWrap/>
            <w:vAlign w:val="bottom"/>
            <w:hideMark/>
          </w:tcPr>
          <w:p w14:paraId="6C9EC86B"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227B9F3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c>
          <w:tcPr>
            <w:tcW w:w="354" w:type="pct"/>
            <w:tcBorders>
              <w:top w:val="nil"/>
              <w:left w:val="nil"/>
              <w:bottom w:val="nil"/>
              <w:right w:val="nil"/>
            </w:tcBorders>
            <w:noWrap/>
            <w:vAlign w:val="bottom"/>
            <w:hideMark/>
          </w:tcPr>
          <w:p w14:paraId="7B98D66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c>
          <w:tcPr>
            <w:tcW w:w="354" w:type="pct"/>
            <w:tcBorders>
              <w:top w:val="nil"/>
              <w:left w:val="nil"/>
              <w:bottom w:val="nil"/>
              <w:right w:val="nil"/>
            </w:tcBorders>
            <w:noWrap/>
            <w:vAlign w:val="bottom"/>
            <w:hideMark/>
          </w:tcPr>
          <w:p w14:paraId="316709B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c>
          <w:tcPr>
            <w:tcW w:w="354" w:type="pct"/>
            <w:tcBorders>
              <w:top w:val="nil"/>
              <w:left w:val="nil"/>
              <w:bottom w:val="nil"/>
              <w:right w:val="nil"/>
            </w:tcBorders>
            <w:noWrap/>
            <w:vAlign w:val="bottom"/>
            <w:hideMark/>
          </w:tcPr>
          <w:p w14:paraId="58EB629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c>
          <w:tcPr>
            <w:tcW w:w="354" w:type="pct"/>
            <w:tcBorders>
              <w:top w:val="nil"/>
              <w:left w:val="nil"/>
              <w:bottom w:val="nil"/>
              <w:right w:val="nil"/>
            </w:tcBorders>
            <w:noWrap/>
            <w:vAlign w:val="bottom"/>
            <w:hideMark/>
          </w:tcPr>
          <w:p w14:paraId="59329A9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c>
          <w:tcPr>
            <w:tcW w:w="354" w:type="pct"/>
            <w:tcBorders>
              <w:top w:val="nil"/>
              <w:left w:val="nil"/>
              <w:bottom w:val="nil"/>
              <w:right w:val="nil"/>
            </w:tcBorders>
            <w:noWrap/>
            <w:vAlign w:val="bottom"/>
            <w:hideMark/>
          </w:tcPr>
          <w:p w14:paraId="05617B3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c>
          <w:tcPr>
            <w:tcW w:w="354" w:type="pct"/>
            <w:tcBorders>
              <w:top w:val="nil"/>
              <w:left w:val="nil"/>
              <w:bottom w:val="nil"/>
              <w:right w:val="nil"/>
            </w:tcBorders>
            <w:noWrap/>
            <w:vAlign w:val="bottom"/>
            <w:hideMark/>
          </w:tcPr>
          <w:p w14:paraId="07C1614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c>
          <w:tcPr>
            <w:tcW w:w="354" w:type="pct"/>
            <w:tcBorders>
              <w:top w:val="nil"/>
              <w:left w:val="nil"/>
              <w:bottom w:val="nil"/>
              <w:right w:val="nil"/>
            </w:tcBorders>
            <w:noWrap/>
            <w:vAlign w:val="bottom"/>
            <w:hideMark/>
          </w:tcPr>
          <w:p w14:paraId="20BC8D6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c>
          <w:tcPr>
            <w:tcW w:w="354" w:type="pct"/>
            <w:tcBorders>
              <w:top w:val="nil"/>
              <w:left w:val="nil"/>
              <w:bottom w:val="nil"/>
              <w:right w:val="nil"/>
            </w:tcBorders>
            <w:noWrap/>
            <w:vAlign w:val="bottom"/>
            <w:hideMark/>
          </w:tcPr>
          <w:p w14:paraId="7C8A326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c>
          <w:tcPr>
            <w:tcW w:w="432" w:type="pct"/>
            <w:tcBorders>
              <w:top w:val="nil"/>
              <w:left w:val="nil"/>
              <w:bottom w:val="nil"/>
              <w:right w:val="nil"/>
            </w:tcBorders>
            <w:noWrap/>
            <w:vAlign w:val="bottom"/>
            <w:hideMark/>
          </w:tcPr>
          <w:p w14:paraId="5CBCDF9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0.8</w:t>
            </w:r>
          </w:p>
        </w:tc>
      </w:tr>
      <w:tr w:rsidR="00EA5506" w:rsidRPr="00EA5506" w14:paraId="31DFC001" w14:textId="77777777" w:rsidTr="00AD5406">
        <w:trPr>
          <w:trHeight w:val="225"/>
        </w:trPr>
        <w:tc>
          <w:tcPr>
            <w:tcW w:w="1278" w:type="pct"/>
            <w:tcBorders>
              <w:top w:val="nil"/>
              <w:left w:val="nil"/>
              <w:bottom w:val="nil"/>
              <w:right w:val="nil"/>
            </w:tcBorders>
            <w:noWrap/>
            <w:vAlign w:val="bottom"/>
            <w:hideMark/>
          </w:tcPr>
          <w:p w14:paraId="70DDC376"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Persons of self-described gender</w:t>
            </w:r>
          </w:p>
        </w:tc>
        <w:tc>
          <w:tcPr>
            <w:tcW w:w="104" w:type="pct"/>
            <w:tcBorders>
              <w:top w:val="nil"/>
              <w:left w:val="nil"/>
              <w:bottom w:val="nil"/>
              <w:right w:val="nil"/>
            </w:tcBorders>
            <w:noWrap/>
            <w:vAlign w:val="bottom"/>
            <w:hideMark/>
          </w:tcPr>
          <w:p w14:paraId="06A07AFC"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559AC56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2D94C31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F0BF5D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48E2CEF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402B74E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5E2FEC0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6F7F826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09BB189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69AB2AE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432" w:type="pct"/>
            <w:tcBorders>
              <w:top w:val="nil"/>
              <w:left w:val="nil"/>
              <w:bottom w:val="nil"/>
              <w:right w:val="nil"/>
            </w:tcBorders>
            <w:noWrap/>
            <w:vAlign w:val="bottom"/>
            <w:hideMark/>
          </w:tcPr>
          <w:p w14:paraId="6699B5C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r>
      <w:tr w:rsidR="00EA5506" w:rsidRPr="00EA5506" w14:paraId="1FC4CA12" w14:textId="77777777" w:rsidTr="00AD5406">
        <w:trPr>
          <w:trHeight w:val="225"/>
        </w:trPr>
        <w:tc>
          <w:tcPr>
            <w:tcW w:w="1278" w:type="pct"/>
            <w:tcBorders>
              <w:top w:val="nil"/>
              <w:left w:val="nil"/>
              <w:bottom w:val="nil"/>
              <w:right w:val="nil"/>
            </w:tcBorders>
            <w:noWrap/>
            <w:vAlign w:val="bottom"/>
            <w:hideMark/>
          </w:tcPr>
          <w:p w14:paraId="6FD5B3FD"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Vacant positions</w:t>
            </w:r>
          </w:p>
        </w:tc>
        <w:tc>
          <w:tcPr>
            <w:tcW w:w="104" w:type="pct"/>
            <w:tcBorders>
              <w:top w:val="nil"/>
              <w:left w:val="nil"/>
              <w:bottom w:val="nil"/>
              <w:right w:val="nil"/>
            </w:tcBorders>
            <w:noWrap/>
            <w:vAlign w:val="bottom"/>
            <w:hideMark/>
          </w:tcPr>
          <w:p w14:paraId="7466D1A4"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27856D9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c>
          <w:tcPr>
            <w:tcW w:w="354" w:type="pct"/>
            <w:tcBorders>
              <w:top w:val="nil"/>
              <w:left w:val="nil"/>
              <w:bottom w:val="nil"/>
              <w:right w:val="nil"/>
            </w:tcBorders>
            <w:noWrap/>
            <w:vAlign w:val="bottom"/>
            <w:hideMark/>
          </w:tcPr>
          <w:p w14:paraId="44CA6B8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c>
          <w:tcPr>
            <w:tcW w:w="354" w:type="pct"/>
            <w:tcBorders>
              <w:top w:val="nil"/>
              <w:left w:val="nil"/>
              <w:bottom w:val="nil"/>
              <w:right w:val="nil"/>
            </w:tcBorders>
            <w:noWrap/>
            <w:vAlign w:val="bottom"/>
            <w:hideMark/>
          </w:tcPr>
          <w:p w14:paraId="248B4DC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c>
          <w:tcPr>
            <w:tcW w:w="354" w:type="pct"/>
            <w:tcBorders>
              <w:top w:val="nil"/>
              <w:left w:val="nil"/>
              <w:bottom w:val="nil"/>
              <w:right w:val="nil"/>
            </w:tcBorders>
            <w:noWrap/>
            <w:vAlign w:val="bottom"/>
            <w:hideMark/>
          </w:tcPr>
          <w:p w14:paraId="0F33357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c>
          <w:tcPr>
            <w:tcW w:w="354" w:type="pct"/>
            <w:tcBorders>
              <w:top w:val="nil"/>
              <w:left w:val="nil"/>
              <w:bottom w:val="nil"/>
              <w:right w:val="nil"/>
            </w:tcBorders>
            <w:noWrap/>
            <w:vAlign w:val="bottom"/>
            <w:hideMark/>
          </w:tcPr>
          <w:p w14:paraId="3A97DBB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c>
          <w:tcPr>
            <w:tcW w:w="354" w:type="pct"/>
            <w:tcBorders>
              <w:top w:val="nil"/>
              <w:left w:val="nil"/>
              <w:bottom w:val="nil"/>
              <w:right w:val="nil"/>
            </w:tcBorders>
            <w:noWrap/>
            <w:vAlign w:val="bottom"/>
            <w:hideMark/>
          </w:tcPr>
          <w:p w14:paraId="6ED4FD7B"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c>
          <w:tcPr>
            <w:tcW w:w="354" w:type="pct"/>
            <w:tcBorders>
              <w:top w:val="nil"/>
              <w:left w:val="nil"/>
              <w:bottom w:val="nil"/>
              <w:right w:val="nil"/>
            </w:tcBorders>
            <w:noWrap/>
            <w:vAlign w:val="bottom"/>
            <w:hideMark/>
          </w:tcPr>
          <w:p w14:paraId="7C0D372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c>
          <w:tcPr>
            <w:tcW w:w="354" w:type="pct"/>
            <w:tcBorders>
              <w:top w:val="nil"/>
              <w:left w:val="nil"/>
              <w:bottom w:val="nil"/>
              <w:right w:val="nil"/>
            </w:tcBorders>
            <w:noWrap/>
            <w:vAlign w:val="bottom"/>
            <w:hideMark/>
          </w:tcPr>
          <w:p w14:paraId="220949C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c>
          <w:tcPr>
            <w:tcW w:w="354" w:type="pct"/>
            <w:tcBorders>
              <w:top w:val="nil"/>
              <w:left w:val="nil"/>
              <w:bottom w:val="nil"/>
              <w:right w:val="nil"/>
            </w:tcBorders>
            <w:noWrap/>
            <w:vAlign w:val="bottom"/>
            <w:hideMark/>
          </w:tcPr>
          <w:p w14:paraId="596122B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c>
          <w:tcPr>
            <w:tcW w:w="432" w:type="pct"/>
            <w:tcBorders>
              <w:top w:val="nil"/>
              <w:left w:val="nil"/>
              <w:bottom w:val="nil"/>
              <w:right w:val="nil"/>
            </w:tcBorders>
            <w:noWrap/>
            <w:vAlign w:val="bottom"/>
            <w:hideMark/>
          </w:tcPr>
          <w:p w14:paraId="7E7D161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0.6</w:t>
            </w:r>
          </w:p>
        </w:tc>
      </w:tr>
      <w:tr w:rsidR="00EA5506" w:rsidRPr="00EA5506" w14:paraId="6B9E09E5" w14:textId="77777777" w:rsidTr="00AD5406">
        <w:trPr>
          <w:trHeight w:val="225"/>
        </w:trPr>
        <w:tc>
          <w:tcPr>
            <w:tcW w:w="1278" w:type="pct"/>
            <w:tcBorders>
              <w:top w:val="nil"/>
              <w:left w:val="nil"/>
              <w:bottom w:val="nil"/>
              <w:right w:val="nil"/>
            </w:tcBorders>
            <w:noWrap/>
            <w:vAlign w:val="bottom"/>
            <w:hideMark/>
          </w:tcPr>
          <w:p w14:paraId="5B88CF0F" w14:textId="77777777" w:rsidR="00EA5506" w:rsidRPr="00EA5506" w:rsidRDefault="00EA5506" w:rsidP="00EA5506">
            <w:pPr>
              <w:spacing w:before="0" w:after="0"/>
              <w:ind w:firstLineChars="100" w:firstLine="160"/>
              <w:rPr>
                <w:rFonts w:ascii="Arial" w:hAnsi="Arial" w:cs="Arial"/>
                <w:sz w:val="16"/>
                <w:szCs w:val="16"/>
              </w:rPr>
            </w:pPr>
            <w:r w:rsidRPr="00EA5506">
              <w:rPr>
                <w:rFonts w:ascii="Arial" w:hAnsi="Arial" w:cs="Arial"/>
                <w:sz w:val="16"/>
                <w:szCs w:val="16"/>
              </w:rPr>
              <w:t>New positions</w:t>
            </w:r>
          </w:p>
        </w:tc>
        <w:tc>
          <w:tcPr>
            <w:tcW w:w="104" w:type="pct"/>
            <w:tcBorders>
              <w:top w:val="nil"/>
              <w:left w:val="nil"/>
              <w:bottom w:val="nil"/>
              <w:right w:val="nil"/>
            </w:tcBorders>
            <w:noWrap/>
            <w:vAlign w:val="bottom"/>
            <w:hideMark/>
          </w:tcPr>
          <w:p w14:paraId="2A7C46F8" w14:textId="77777777" w:rsidR="00EA5506" w:rsidRPr="00EA5506" w:rsidRDefault="00EA5506" w:rsidP="00EA5506">
            <w:pPr>
              <w:spacing w:before="0" w:after="0"/>
              <w:ind w:firstLineChars="100" w:firstLine="160"/>
              <w:rPr>
                <w:rFonts w:ascii="Arial" w:hAnsi="Arial" w:cs="Arial"/>
                <w:sz w:val="16"/>
                <w:szCs w:val="16"/>
              </w:rPr>
            </w:pPr>
          </w:p>
        </w:tc>
        <w:tc>
          <w:tcPr>
            <w:tcW w:w="354" w:type="pct"/>
            <w:tcBorders>
              <w:top w:val="nil"/>
              <w:left w:val="nil"/>
              <w:bottom w:val="nil"/>
              <w:right w:val="nil"/>
            </w:tcBorders>
            <w:noWrap/>
            <w:vAlign w:val="bottom"/>
            <w:hideMark/>
          </w:tcPr>
          <w:p w14:paraId="7CBB6DB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D6DB6B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5084ACD"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1A2A61A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66F132E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4E3BF0E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6C95FEAC"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5157F92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354" w:type="pct"/>
            <w:tcBorders>
              <w:top w:val="nil"/>
              <w:left w:val="nil"/>
              <w:bottom w:val="nil"/>
              <w:right w:val="nil"/>
            </w:tcBorders>
            <w:noWrap/>
            <w:vAlign w:val="bottom"/>
            <w:hideMark/>
          </w:tcPr>
          <w:p w14:paraId="36FD4F84"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c>
          <w:tcPr>
            <w:tcW w:w="432" w:type="pct"/>
            <w:tcBorders>
              <w:top w:val="nil"/>
              <w:left w:val="nil"/>
              <w:bottom w:val="nil"/>
              <w:right w:val="nil"/>
            </w:tcBorders>
            <w:noWrap/>
            <w:vAlign w:val="bottom"/>
            <w:hideMark/>
          </w:tcPr>
          <w:p w14:paraId="2EE03D5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0.0</w:t>
            </w:r>
          </w:p>
        </w:tc>
      </w:tr>
      <w:tr w:rsidR="00EA5506" w:rsidRPr="00EA5506" w14:paraId="59041903" w14:textId="77777777" w:rsidTr="00AD5406">
        <w:trPr>
          <w:trHeight w:val="225"/>
        </w:trPr>
        <w:tc>
          <w:tcPr>
            <w:tcW w:w="1381" w:type="pct"/>
            <w:gridSpan w:val="2"/>
            <w:tcBorders>
              <w:top w:val="nil"/>
              <w:left w:val="nil"/>
              <w:bottom w:val="nil"/>
              <w:right w:val="nil"/>
            </w:tcBorders>
            <w:noWrap/>
            <w:vAlign w:val="bottom"/>
            <w:hideMark/>
          </w:tcPr>
          <w:p w14:paraId="28EE877C"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Total Infrastructure &amp; Environment</w:t>
            </w:r>
          </w:p>
        </w:tc>
        <w:tc>
          <w:tcPr>
            <w:tcW w:w="354" w:type="pct"/>
            <w:tcBorders>
              <w:top w:val="single" w:sz="4" w:space="0" w:color="auto"/>
              <w:left w:val="nil"/>
              <w:bottom w:val="single" w:sz="4" w:space="0" w:color="auto"/>
              <w:right w:val="nil"/>
            </w:tcBorders>
            <w:noWrap/>
            <w:vAlign w:val="bottom"/>
            <w:hideMark/>
          </w:tcPr>
          <w:p w14:paraId="61D06C1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c>
          <w:tcPr>
            <w:tcW w:w="354" w:type="pct"/>
            <w:tcBorders>
              <w:top w:val="single" w:sz="4" w:space="0" w:color="auto"/>
              <w:left w:val="nil"/>
              <w:bottom w:val="single" w:sz="4" w:space="0" w:color="auto"/>
              <w:right w:val="nil"/>
            </w:tcBorders>
            <w:noWrap/>
            <w:vAlign w:val="bottom"/>
            <w:hideMark/>
          </w:tcPr>
          <w:p w14:paraId="13CFE2F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c>
          <w:tcPr>
            <w:tcW w:w="354" w:type="pct"/>
            <w:tcBorders>
              <w:top w:val="single" w:sz="4" w:space="0" w:color="auto"/>
              <w:left w:val="nil"/>
              <w:bottom w:val="single" w:sz="4" w:space="0" w:color="auto"/>
              <w:right w:val="nil"/>
            </w:tcBorders>
            <w:noWrap/>
            <w:vAlign w:val="bottom"/>
            <w:hideMark/>
          </w:tcPr>
          <w:p w14:paraId="2941BB3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c>
          <w:tcPr>
            <w:tcW w:w="354" w:type="pct"/>
            <w:tcBorders>
              <w:top w:val="single" w:sz="4" w:space="0" w:color="auto"/>
              <w:left w:val="nil"/>
              <w:bottom w:val="single" w:sz="4" w:space="0" w:color="auto"/>
              <w:right w:val="nil"/>
            </w:tcBorders>
            <w:noWrap/>
            <w:vAlign w:val="bottom"/>
            <w:hideMark/>
          </w:tcPr>
          <w:p w14:paraId="59B84FB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c>
          <w:tcPr>
            <w:tcW w:w="354" w:type="pct"/>
            <w:tcBorders>
              <w:top w:val="single" w:sz="4" w:space="0" w:color="auto"/>
              <w:left w:val="nil"/>
              <w:bottom w:val="single" w:sz="4" w:space="0" w:color="auto"/>
              <w:right w:val="nil"/>
            </w:tcBorders>
            <w:noWrap/>
            <w:vAlign w:val="bottom"/>
            <w:hideMark/>
          </w:tcPr>
          <w:p w14:paraId="0ED75A2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c>
          <w:tcPr>
            <w:tcW w:w="354" w:type="pct"/>
            <w:tcBorders>
              <w:top w:val="single" w:sz="4" w:space="0" w:color="auto"/>
              <w:left w:val="nil"/>
              <w:bottom w:val="single" w:sz="4" w:space="0" w:color="auto"/>
              <w:right w:val="nil"/>
            </w:tcBorders>
            <w:noWrap/>
            <w:vAlign w:val="bottom"/>
            <w:hideMark/>
          </w:tcPr>
          <w:p w14:paraId="76A9695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c>
          <w:tcPr>
            <w:tcW w:w="354" w:type="pct"/>
            <w:tcBorders>
              <w:top w:val="single" w:sz="4" w:space="0" w:color="auto"/>
              <w:left w:val="nil"/>
              <w:bottom w:val="single" w:sz="4" w:space="0" w:color="auto"/>
              <w:right w:val="nil"/>
            </w:tcBorders>
            <w:noWrap/>
            <w:vAlign w:val="bottom"/>
            <w:hideMark/>
          </w:tcPr>
          <w:p w14:paraId="5C3C42F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c>
          <w:tcPr>
            <w:tcW w:w="354" w:type="pct"/>
            <w:tcBorders>
              <w:top w:val="single" w:sz="4" w:space="0" w:color="auto"/>
              <w:left w:val="nil"/>
              <w:bottom w:val="single" w:sz="4" w:space="0" w:color="auto"/>
              <w:right w:val="nil"/>
            </w:tcBorders>
            <w:noWrap/>
            <w:vAlign w:val="bottom"/>
            <w:hideMark/>
          </w:tcPr>
          <w:p w14:paraId="0EE2F04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c>
          <w:tcPr>
            <w:tcW w:w="354" w:type="pct"/>
            <w:tcBorders>
              <w:top w:val="single" w:sz="4" w:space="0" w:color="auto"/>
              <w:left w:val="nil"/>
              <w:bottom w:val="single" w:sz="4" w:space="0" w:color="auto"/>
              <w:right w:val="nil"/>
            </w:tcBorders>
            <w:noWrap/>
            <w:vAlign w:val="bottom"/>
            <w:hideMark/>
          </w:tcPr>
          <w:p w14:paraId="3327A942"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c>
          <w:tcPr>
            <w:tcW w:w="432" w:type="pct"/>
            <w:tcBorders>
              <w:top w:val="single" w:sz="4" w:space="0" w:color="auto"/>
              <w:left w:val="nil"/>
              <w:bottom w:val="single" w:sz="4" w:space="0" w:color="auto"/>
              <w:right w:val="nil"/>
            </w:tcBorders>
            <w:noWrap/>
            <w:vAlign w:val="bottom"/>
            <w:hideMark/>
          </w:tcPr>
          <w:p w14:paraId="139512EF"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187.5</w:t>
            </w:r>
          </w:p>
        </w:tc>
      </w:tr>
      <w:tr w:rsidR="00EA5506" w:rsidRPr="00EA5506" w14:paraId="2394497F" w14:textId="77777777" w:rsidTr="00AD5406">
        <w:trPr>
          <w:trHeight w:val="225"/>
        </w:trPr>
        <w:tc>
          <w:tcPr>
            <w:tcW w:w="1278" w:type="pct"/>
            <w:tcBorders>
              <w:top w:val="nil"/>
              <w:left w:val="nil"/>
              <w:bottom w:val="nil"/>
              <w:right w:val="nil"/>
            </w:tcBorders>
            <w:noWrap/>
            <w:vAlign w:val="bottom"/>
            <w:hideMark/>
          </w:tcPr>
          <w:p w14:paraId="0D407F28"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Casuals and temporary staff</w:t>
            </w:r>
          </w:p>
        </w:tc>
        <w:tc>
          <w:tcPr>
            <w:tcW w:w="104" w:type="pct"/>
            <w:tcBorders>
              <w:top w:val="nil"/>
              <w:left w:val="nil"/>
              <w:bottom w:val="nil"/>
              <w:right w:val="nil"/>
            </w:tcBorders>
            <w:noWrap/>
            <w:vAlign w:val="bottom"/>
            <w:hideMark/>
          </w:tcPr>
          <w:p w14:paraId="7E5AC6B1" w14:textId="77777777" w:rsidR="00EA5506" w:rsidRPr="00EA5506" w:rsidRDefault="00EA5506" w:rsidP="00EA5506">
            <w:pPr>
              <w:spacing w:before="0" w:after="0"/>
              <w:rPr>
                <w:rFonts w:ascii="Arial" w:hAnsi="Arial" w:cs="Arial"/>
                <w:b/>
                <w:bCs/>
                <w:sz w:val="16"/>
                <w:szCs w:val="16"/>
              </w:rPr>
            </w:pPr>
          </w:p>
        </w:tc>
        <w:tc>
          <w:tcPr>
            <w:tcW w:w="354" w:type="pct"/>
            <w:tcBorders>
              <w:top w:val="nil"/>
              <w:left w:val="nil"/>
              <w:bottom w:val="single" w:sz="4" w:space="0" w:color="auto"/>
              <w:right w:val="nil"/>
            </w:tcBorders>
            <w:noWrap/>
            <w:vAlign w:val="bottom"/>
            <w:hideMark/>
          </w:tcPr>
          <w:p w14:paraId="7B85781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c>
          <w:tcPr>
            <w:tcW w:w="354" w:type="pct"/>
            <w:tcBorders>
              <w:top w:val="nil"/>
              <w:left w:val="nil"/>
              <w:bottom w:val="single" w:sz="4" w:space="0" w:color="auto"/>
              <w:right w:val="nil"/>
            </w:tcBorders>
            <w:noWrap/>
            <w:vAlign w:val="bottom"/>
            <w:hideMark/>
          </w:tcPr>
          <w:p w14:paraId="4A5D4467"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c>
          <w:tcPr>
            <w:tcW w:w="354" w:type="pct"/>
            <w:tcBorders>
              <w:top w:val="nil"/>
              <w:left w:val="nil"/>
              <w:bottom w:val="single" w:sz="4" w:space="0" w:color="auto"/>
              <w:right w:val="nil"/>
            </w:tcBorders>
            <w:noWrap/>
            <w:vAlign w:val="bottom"/>
            <w:hideMark/>
          </w:tcPr>
          <w:p w14:paraId="7715FDD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c>
          <w:tcPr>
            <w:tcW w:w="354" w:type="pct"/>
            <w:tcBorders>
              <w:top w:val="nil"/>
              <w:left w:val="nil"/>
              <w:bottom w:val="single" w:sz="4" w:space="0" w:color="auto"/>
              <w:right w:val="nil"/>
            </w:tcBorders>
            <w:noWrap/>
            <w:vAlign w:val="bottom"/>
            <w:hideMark/>
          </w:tcPr>
          <w:p w14:paraId="21B89D9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c>
          <w:tcPr>
            <w:tcW w:w="354" w:type="pct"/>
            <w:tcBorders>
              <w:top w:val="nil"/>
              <w:left w:val="nil"/>
              <w:bottom w:val="single" w:sz="4" w:space="0" w:color="auto"/>
              <w:right w:val="nil"/>
            </w:tcBorders>
            <w:noWrap/>
            <w:vAlign w:val="bottom"/>
            <w:hideMark/>
          </w:tcPr>
          <w:p w14:paraId="42836EF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c>
          <w:tcPr>
            <w:tcW w:w="354" w:type="pct"/>
            <w:tcBorders>
              <w:top w:val="nil"/>
              <w:left w:val="nil"/>
              <w:bottom w:val="single" w:sz="4" w:space="0" w:color="auto"/>
              <w:right w:val="nil"/>
            </w:tcBorders>
            <w:noWrap/>
            <w:vAlign w:val="bottom"/>
            <w:hideMark/>
          </w:tcPr>
          <w:p w14:paraId="4744FF4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c>
          <w:tcPr>
            <w:tcW w:w="354" w:type="pct"/>
            <w:tcBorders>
              <w:top w:val="nil"/>
              <w:left w:val="nil"/>
              <w:bottom w:val="single" w:sz="4" w:space="0" w:color="auto"/>
              <w:right w:val="nil"/>
            </w:tcBorders>
            <w:noWrap/>
            <w:vAlign w:val="bottom"/>
            <w:hideMark/>
          </w:tcPr>
          <w:p w14:paraId="3D012E5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c>
          <w:tcPr>
            <w:tcW w:w="354" w:type="pct"/>
            <w:tcBorders>
              <w:top w:val="nil"/>
              <w:left w:val="nil"/>
              <w:bottom w:val="single" w:sz="4" w:space="0" w:color="auto"/>
              <w:right w:val="nil"/>
            </w:tcBorders>
            <w:noWrap/>
            <w:vAlign w:val="bottom"/>
            <w:hideMark/>
          </w:tcPr>
          <w:p w14:paraId="715A9AC3"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c>
          <w:tcPr>
            <w:tcW w:w="354" w:type="pct"/>
            <w:tcBorders>
              <w:top w:val="nil"/>
              <w:left w:val="nil"/>
              <w:bottom w:val="single" w:sz="4" w:space="0" w:color="auto"/>
              <w:right w:val="nil"/>
            </w:tcBorders>
            <w:noWrap/>
            <w:vAlign w:val="bottom"/>
            <w:hideMark/>
          </w:tcPr>
          <w:p w14:paraId="3BF013A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c>
          <w:tcPr>
            <w:tcW w:w="432" w:type="pct"/>
            <w:tcBorders>
              <w:top w:val="nil"/>
              <w:left w:val="nil"/>
              <w:bottom w:val="single" w:sz="4" w:space="0" w:color="auto"/>
              <w:right w:val="nil"/>
            </w:tcBorders>
            <w:noWrap/>
            <w:vAlign w:val="bottom"/>
            <w:hideMark/>
          </w:tcPr>
          <w:p w14:paraId="042F3F1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13.9</w:t>
            </w:r>
          </w:p>
        </w:tc>
      </w:tr>
      <w:tr w:rsidR="00EA5506" w:rsidRPr="00EA5506" w14:paraId="53AE5C75" w14:textId="77777777" w:rsidTr="00AD5406">
        <w:trPr>
          <w:trHeight w:val="225"/>
        </w:trPr>
        <w:tc>
          <w:tcPr>
            <w:tcW w:w="1278" w:type="pct"/>
            <w:tcBorders>
              <w:top w:val="nil"/>
              <w:left w:val="nil"/>
              <w:bottom w:val="nil"/>
              <w:right w:val="nil"/>
            </w:tcBorders>
            <w:noWrap/>
            <w:vAlign w:val="bottom"/>
            <w:hideMark/>
          </w:tcPr>
          <w:p w14:paraId="0AD45572" w14:textId="77777777" w:rsidR="00EA5506" w:rsidRPr="00EA5506" w:rsidRDefault="00EA5506" w:rsidP="00EA5506">
            <w:pPr>
              <w:spacing w:before="0" w:after="0"/>
              <w:rPr>
                <w:rFonts w:ascii="Arial" w:hAnsi="Arial" w:cs="Arial"/>
                <w:b/>
                <w:bCs/>
                <w:sz w:val="16"/>
                <w:szCs w:val="16"/>
              </w:rPr>
            </w:pPr>
            <w:r w:rsidRPr="00EA5506">
              <w:rPr>
                <w:rFonts w:ascii="Arial" w:hAnsi="Arial" w:cs="Arial"/>
                <w:b/>
                <w:bCs/>
                <w:sz w:val="16"/>
                <w:szCs w:val="16"/>
              </w:rPr>
              <w:t>Capitalised labour</w:t>
            </w:r>
          </w:p>
        </w:tc>
        <w:tc>
          <w:tcPr>
            <w:tcW w:w="104" w:type="pct"/>
            <w:tcBorders>
              <w:top w:val="nil"/>
              <w:left w:val="nil"/>
              <w:bottom w:val="nil"/>
              <w:right w:val="nil"/>
            </w:tcBorders>
            <w:noWrap/>
            <w:vAlign w:val="bottom"/>
            <w:hideMark/>
          </w:tcPr>
          <w:p w14:paraId="0EDEB4C2" w14:textId="77777777" w:rsidR="00EA5506" w:rsidRPr="00EA5506" w:rsidRDefault="00EA5506" w:rsidP="00EA5506">
            <w:pPr>
              <w:spacing w:before="0" w:after="0"/>
              <w:rPr>
                <w:rFonts w:ascii="Arial" w:hAnsi="Arial" w:cs="Arial"/>
                <w:b/>
                <w:bCs/>
                <w:sz w:val="16"/>
                <w:szCs w:val="16"/>
              </w:rPr>
            </w:pPr>
          </w:p>
        </w:tc>
        <w:tc>
          <w:tcPr>
            <w:tcW w:w="354" w:type="pct"/>
            <w:tcBorders>
              <w:top w:val="nil"/>
              <w:left w:val="nil"/>
              <w:bottom w:val="single" w:sz="4" w:space="0" w:color="auto"/>
              <w:right w:val="nil"/>
            </w:tcBorders>
            <w:noWrap/>
            <w:vAlign w:val="bottom"/>
            <w:hideMark/>
          </w:tcPr>
          <w:p w14:paraId="10C92EC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c>
          <w:tcPr>
            <w:tcW w:w="354" w:type="pct"/>
            <w:tcBorders>
              <w:top w:val="nil"/>
              <w:left w:val="nil"/>
              <w:bottom w:val="single" w:sz="4" w:space="0" w:color="auto"/>
              <w:right w:val="nil"/>
            </w:tcBorders>
            <w:noWrap/>
            <w:vAlign w:val="bottom"/>
            <w:hideMark/>
          </w:tcPr>
          <w:p w14:paraId="11133F0A"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c>
          <w:tcPr>
            <w:tcW w:w="354" w:type="pct"/>
            <w:tcBorders>
              <w:top w:val="nil"/>
              <w:left w:val="nil"/>
              <w:bottom w:val="single" w:sz="4" w:space="0" w:color="auto"/>
              <w:right w:val="nil"/>
            </w:tcBorders>
            <w:noWrap/>
            <w:vAlign w:val="bottom"/>
            <w:hideMark/>
          </w:tcPr>
          <w:p w14:paraId="2A661A7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c>
          <w:tcPr>
            <w:tcW w:w="354" w:type="pct"/>
            <w:tcBorders>
              <w:top w:val="nil"/>
              <w:left w:val="nil"/>
              <w:bottom w:val="single" w:sz="4" w:space="0" w:color="auto"/>
              <w:right w:val="nil"/>
            </w:tcBorders>
            <w:noWrap/>
            <w:vAlign w:val="bottom"/>
            <w:hideMark/>
          </w:tcPr>
          <w:p w14:paraId="2A11BA58"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c>
          <w:tcPr>
            <w:tcW w:w="354" w:type="pct"/>
            <w:tcBorders>
              <w:top w:val="nil"/>
              <w:left w:val="nil"/>
              <w:bottom w:val="single" w:sz="4" w:space="0" w:color="auto"/>
              <w:right w:val="nil"/>
            </w:tcBorders>
            <w:noWrap/>
            <w:vAlign w:val="bottom"/>
            <w:hideMark/>
          </w:tcPr>
          <w:p w14:paraId="05269285"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c>
          <w:tcPr>
            <w:tcW w:w="354" w:type="pct"/>
            <w:tcBorders>
              <w:top w:val="nil"/>
              <w:left w:val="nil"/>
              <w:bottom w:val="single" w:sz="4" w:space="0" w:color="auto"/>
              <w:right w:val="nil"/>
            </w:tcBorders>
            <w:noWrap/>
            <w:vAlign w:val="bottom"/>
            <w:hideMark/>
          </w:tcPr>
          <w:p w14:paraId="33CFB5E9"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c>
          <w:tcPr>
            <w:tcW w:w="354" w:type="pct"/>
            <w:tcBorders>
              <w:top w:val="nil"/>
              <w:left w:val="nil"/>
              <w:bottom w:val="single" w:sz="4" w:space="0" w:color="auto"/>
              <w:right w:val="nil"/>
            </w:tcBorders>
            <w:noWrap/>
            <w:vAlign w:val="bottom"/>
            <w:hideMark/>
          </w:tcPr>
          <w:p w14:paraId="42826AF6"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c>
          <w:tcPr>
            <w:tcW w:w="354" w:type="pct"/>
            <w:tcBorders>
              <w:top w:val="nil"/>
              <w:left w:val="nil"/>
              <w:bottom w:val="single" w:sz="4" w:space="0" w:color="auto"/>
              <w:right w:val="nil"/>
            </w:tcBorders>
            <w:noWrap/>
            <w:vAlign w:val="bottom"/>
            <w:hideMark/>
          </w:tcPr>
          <w:p w14:paraId="204E2581"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c>
          <w:tcPr>
            <w:tcW w:w="354" w:type="pct"/>
            <w:tcBorders>
              <w:top w:val="nil"/>
              <w:left w:val="nil"/>
              <w:bottom w:val="single" w:sz="4" w:space="0" w:color="auto"/>
              <w:right w:val="nil"/>
            </w:tcBorders>
            <w:noWrap/>
            <w:vAlign w:val="bottom"/>
            <w:hideMark/>
          </w:tcPr>
          <w:p w14:paraId="710179F0"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c>
          <w:tcPr>
            <w:tcW w:w="432" w:type="pct"/>
            <w:tcBorders>
              <w:top w:val="nil"/>
              <w:left w:val="nil"/>
              <w:bottom w:val="single" w:sz="4" w:space="0" w:color="auto"/>
              <w:right w:val="nil"/>
            </w:tcBorders>
            <w:noWrap/>
            <w:vAlign w:val="bottom"/>
            <w:hideMark/>
          </w:tcPr>
          <w:p w14:paraId="60AFCF3E" w14:textId="77777777" w:rsidR="00EA5506" w:rsidRPr="00EA5506" w:rsidRDefault="00EA5506" w:rsidP="00EA5506">
            <w:pPr>
              <w:spacing w:before="0" w:after="0"/>
              <w:jc w:val="right"/>
              <w:rPr>
                <w:rFonts w:ascii="Arial" w:hAnsi="Arial" w:cs="Arial"/>
                <w:sz w:val="16"/>
                <w:szCs w:val="16"/>
              </w:rPr>
            </w:pPr>
            <w:r w:rsidRPr="00EA5506">
              <w:rPr>
                <w:rFonts w:ascii="Arial" w:hAnsi="Arial" w:cs="Arial"/>
                <w:sz w:val="16"/>
                <w:szCs w:val="16"/>
              </w:rPr>
              <w:t>22.4</w:t>
            </w:r>
          </w:p>
        </w:tc>
      </w:tr>
      <w:tr w:rsidR="00AD5406" w:rsidRPr="00EA5506" w14:paraId="76D7FB98" w14:textId="77777777" w:rsidTr="00AD5406">
        <w:trPr>
          <w:trHeight w:val="225"/>
        </w:trPr>
        <w:tc>
          <w:tcPr>
            <w:tcW w:w="1381" w:type="pct"/>
            <w:gridSpan w:val="2"/>
            <w:tcBorders>
              <w:top w:val="nil"/>
              <w:left w:val="nil"/>
              <w:bottom w:val="nil"/>
              <w:right w:val="nil"/>
            </w:tcBorders>
            <w:noWrap/>
            <w:vAlign w:val="bottom"/>
            <w:hideMark/>
          </w:tcPr>
          <w:p w14:paraId="631DD3A9" w14:textId="77777777" w:rsidR="00AD5406" w:rsidRPr="00EA5506" w:rsidRDefault="00AD5406" w:rsidP="00AD5406">
            <w:pPr>
              <w:spacing w:before="0" w:after="0"/>
              <w:rPr>
                <w:rFonts w:ascii="Arial" w:hAnsi="Arial" w:cs="Arial"/>
                <w:b/>
                <w:bCs/>
                <w:sz w:val="16"/>
                <w:szCs w:val="16"/>
              </w:rPr>
            </w:pPr>
            <w:r w:rsidRPr="00EA5506">
              <w:rPr>
                <w:rFonts w:ascii="Arial" w:hAnsi="Arial" w:cs="Arial"/>
                <w:b/>
                <w:bCs/>
                <w:sz w:val="16"/>
                <w:szCs w:val="16"/>
              </w:rPr>
              <w:t>Total staff numbers</w:t>
            </w:r>
          </w:p>
        </w:tc>
        <w:tc>
          <w:tcPr>
            <w:tcW w:w="354" w:type="pct"/>
            <w:tcBorders>
              <w:top w:val="nil"/>
              <w:left w:val="nil"/>
              <w:bottom w:val="single" w:sz="4" w:space="0" w:color="auto"/>
              <w:right w:val="nil"/>
            </w:tcBorders>
            <w:noWrap/>
            <w:vAlign w:val="bottom"/>
            <w:hideMark/>
          </w:tcPr>
          <w:p w14:paraId="0A4DEE76" w14:textId="08FCEB75"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c>
          <w:tcPr>
            <w:tcW w:w="354" w:type="pct"/>
            <w:tcBorders>
              <w:top w:val="nil"/>
              <w:left w:val="nil"/>
              <w:bottom w:val="single" w:sz="4" w:space="0" w:color="auto"/>
              <w:right w:val="nil"/>
            </w:tcBorders>
            <w:noWrap/>
            <w:vAlign w:val="bottom"/>
            <w:hideMark/>
          </w:tcPr>
          <w:p w14:paraId="6AC1E634" w14:textId="0E796711"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c>
          <w:tcPr>
            <w:tcW w:w="354" w:type="pct"/>
            <w:tcBorders>
              <w:top w:val="nil"/>
              <w:left w:val="nil"/>
              <w:bottom w:val="single" w:sz="4" w:space="0" w:color="auto"/>
              <w:right w:val="nil"/>
            </w:tcBorders>
            <w:noWrap/>
            <w:vAlign w:val="bottom"/>
            <w:hideMark/>
          </w:tcPr>
          <w:p w14:paraId="2BA941B8" w14:textId="0B3B50C6"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c>
          <w:tcPr>
            <w:tcW w:w="354" w:type="pct"/>
            <w:tcBorders>
              <w:top w:val="nil"/>
              <w:left w:val="nil"/>
              <w:bottom w:val="single" w:sz="4" w:space="0" w:color="auto"/>
              <w:right w:val="nil"/>
            </w:tcBorders>
            <w:noWrap/>
            <w:vAlign w:val="bottom"/>
            <w:hideMark/>
          </w:tcPr>
          <w:p w14:paraId="174AE7BE" w14:textId="0F7637DF"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c>
          <w:tcPr>
            <w:tcW w:w="354" w:type="pct"/>
            <w:tcBorders>
              <w:top w:val="nil"/>
              <w:left w:val="nil"/>
              <w:bottom w:val="single" w:sz="4" w:space="0" w:color="auto"/>
              <w:right w:val="nil"/>
            </w:tcBorders>
            <w:noWrap/>
            <w:vAlign w:val="bottom"/>
            <w:hideMark/>
          </w:tcPr>
          <w:p w14:paraId="2FA92AD5" w14:textId="45DAAC6E"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c>
          <w:tcPr>
            <w:tcW w:w="354" w:type="pct"/>
            <w:tcBorders>
              <w:top w:val="nil"/>
              <w:left w:val="nil"/>
              <w:bottom w:val="single" w:sz="4" w:space="0" w:color="auto"/>
              <w:right w:val="nil"/>
            </w:tcBorders>
            <w:noWrap/>
            <w:vAlign w:val="bottom"/>
            <w:hideMark/>
          </w:tcPr>
          <w:p w14:paraId="07DCF9CF" w14:textId="6AB752D1"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c>
          <w:tcPr>
            <w:tcW w:w="354" w:type="pct"/>
            <w:tcBorders>
              <w:top w:val="nil"/>
              <w:left w:val="nil"/>
              <w:bottom w:val="single" w:sz="4" w:space="0" w:color="auto"/>
              <w:right w:val="nil"/>
            </w:tcBorders>
            <w:noWrap/>
            <w:vAlign w:val="bottom"/>
            <w:hideMark/>
          </w:tcPr>
          <w:p w14:paraId="4368382A" w14:textId="5DAE7136"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c>
          <w:tcPr>
            <w:tcW w:w="354" w:type="pct"/>
            <w:tcBorders>
              <w:top w:val="nil"/>
              <w:left w:val="nil"/>
              <w:bottom w:val="single" w:sz="4" w:space="0" w:color="auto"/>
              <w:right w:val="nil"/>
            </w:tcBorders>
            <w:noWrap/>
            <w:vAlign w:val="bottom"/>
            <w:hideMark/>
          </w:tcPr>
          <w:p w14:paraId="103F856B" w14:textId="357BCDD0"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c>
          <w:tcPr>
            <w:tcW w:w="354" w:type="pct"/>
            <w:tcBorders>
              <w:top w:val="nil"/>
              <w:left w:val="nil"/>
              <w:bottom w:val="single" w:sz="4" w:space="0" w:color="auto"/>
              <w:right w:val="nil"/>
            </w:tcBorders>
            <w:noWrap/>
            <w:vAlign w:val="bottom"/>
            <w:hideMark/>
          </w:tcPr>
          <w:p w14:paraId="6FEE0B65" w14:textId="58DE18AD"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c>
          <w:tcPr>
            <w:tcW w:w="432" w:type="pct"/>
            <w:tcBorders>
              <w:top w:val="nil"/>
              <w:left w:val="nil"/>
              <w:bottom w:val="single" w:sz="4" w:space="0" w:color="auto"/>
              <w:right w:val="nil"/>
            </w:tcBorders>
            <w:noWrap/>
            <w:vAlign w:val="bottom"/>
            <w:hideMark/>
          </w:tcPr>
          <w:p w14:paraId="1A38245E" w14:textId="63299009" w:rsidR="00AD5406" w:rsidRPr="00EA5506" w:rsidRDefault="00AD5406" w:rsidP="00AD5406">
            <w:pPr>
              <w:spacing w:before="0" w:after="0"/>
              <w:jc w:val="right"/>
              <w:rPr>
                <w:rFonts w:ascii="Arial" w:hAnsi="Arial" w:cs="Arial"/>
                <w:b/>
                <w:bCs/>
                <w:sz w:val="16"/>
                <w:szCs w:val="16"/>
              </w:rPr>
            </w:pPr>
            <w:r>
              <w:rPr>
                <w:rFonts w:ascii="Arial" w:hAnsi="Arial" w:cs="Arial"/>
                <w:b/>
                <w:bCs/>
                <w:sz w:val="16"/>
                <w:szCs w:val="16"/>
              </w:rPr>
              <w:t>527.3</w:t>
            </w:r>
          </w:p>
        </w:tc>
      </w:tr>
    </w:tbl>
    <w:p w14:paraId="02101B09" w14:textId="1EB42D64" w:rsidR="00FA5F98" w:rsidRPr="00F90FEE" w:rsidRDefault="00E35CE6" w:rsidP="00F90FEE">
      <w:pPr>
        <w:pStyle w:val="Heading3"/>
        <w:rPr>
          <w:i w:val="0"/>
          <w:iCs/>
          <w:szCs w:val="26"/>
        </w:rPr>
        <w:sectPr w:rsidR="00FA5F98" w:rsidRPr="00F90FEE" w:rsidSect="00D02C34">
          <w:pgSz w:w="16838" w:h="11906" w:orient="landscape" w:code="9"/>
          <w:pgMar w:top="1559" w:right="2268" w:bottom="992" w:left="1440" w:header="709" w:footer="782" w:gutter="0"/>
          <w:cols w:space="708"/>
          <w:docGrid w:linePitch="360"/>
        </w:sectPr>
      </w:pPr>
      <w:r>
        <w:br w:type="page"/>
      </w:r>
    </w:p>
    <w:p w14:paraId="76E7A377" w14:textId="7A9F9F7F" w:rsidR="009E4573" w:rsidRPr="0022670C" w:rsidRDefault="009E4573" w:rsidP="0022670C">
      <w:pPr>
        <w:pStyle w:val="Heading1"/>
        <w:numPr>
          <w:ilvl w:val="0"/>
          <w:numId w:val="28"/>
        </w:numPr>
        <w:spacing w:before="0" w:after="0"/>
      </w:pPr>
      <w:bookmarkStart w:id="61" w:name="_Toc210205644"/>
      <w:bookmarkStart w:id="62" w:name="_Toc211874598"/>
      <w:r w:rsidRPr="0022670C">
        <w:lastRenderedPageBreak/>
        <w:t>Financial performance indicators</w:t>
      </w:r>
      <w:bookmarkEnd w:id="61"/>
      <w:bookmarkEnd w:id="62"/>
      <w:r w:rsidR="0022670C">
        <w:br/>
      </w:r>
    </w:p>
    <w:p w14:paraId="4F191202" w14:textId="656563C6" w:rsidR="00696375" w:rsidRPr="0022670C" w:rsidRDefault="0022670C" w:rsidP="0022670C">
      <w:pPr>
        <w:pStyle w:val="Heading2"/>
      </w:pPr>
      <w:bookmarkStart w:id="63" w:name="_Toc210205645"/>
      <w:bookmarkStart w:id="64" w:name="_Toc211874599"/>
      <w:r>
        <w:t xml:space="preserve">7.1 </w:t>
      </w:r>
      <w:r w:rsidR="00C167E9" w:rsidRPr="0022670C">
        <w:t xml:space="preserve">Key performance </w:t>
      </w:r>
      <w:r w:rsidR="007E1DB0" w:rsidRPr="0022670C">
        <w:t>indicators</w:t>
      </w:r>
      <w:bookmarkEnd w:id="63"/>
      <w:bookmarkEnd w:id="64"/>
    </w:p>
    <w:p w14:paraId="4A4D895B" w14:textId="3913FE8C" w:rsidR="009E4573" w:rsidRPr="0022670C" w:rsidRDefault="004B7493" w:rsidP="009E4573">
      <w:pPr>
        <w:rPr>
          <w:lang w:eastAsia="en-US"/>
        </w:rPr>
      </w:pPr>
      <w:r w:rsidRPr="0022670C">
        <w:rPr>
          <w:lang w:eastAsia="en-US"/>
        </w:rPr>
        <w:t xml:space="preserve">The following table highlights Council’s current and projected performance across a range of </w:t>
      </w:r>
      <w:r w:rsidR="003A22E4" w:rsidRPr="0022670C">
        <w:rPr>
          <w:lang w:eastAsia="en-US"/>
        </w:rPr>
        <w:t>key financial performance indicators.  These indicators provide a useful analysis of Council’s financial position and performance and should be interpreted in the context of the organisation’s objectives and financial management principles.</w:t>
      </w:r>
    </w:p>
    <w:p w14:paraId="78C9481E" w14:textId="2F0FC1ED" w:rsidR="003A22E4" w:rsidRPr="0022670C" w:rsidRDefault="003A22E4" w:rsidP="009E4573">
      <w:pPr>
        <w:rPr>
          <w:lang w:eastAsia="en-US"/>
        </w:rPr>
      </w:pPr>
      <w:r w:rsidRPr="0022670C">
        <w:rPr>
          <w:lang w:eastAsia="en-US"/>
        </w:rPr>
        <w:t xml:space="preserve">The financial performance indicators below are the prescribed financial performance indicators contained in Part 3 </w:t>
      </w:r>
      <w:r w:rsidR="008D0420" w:rsidRPr="0022670C">
        <w:rPr>
          <w:lang w:eastAsia="en-US"/>
        </w:rPr>
        <w:t xml:space="preserve">of Schedule 3 of the </w:t>
      </w:r>
      <w:r w:rsidR="008D0420" w:rsidRPr="0022670C">
        <w:rPr>
          <w:i/>
          <w:iCs/>
          <w:lang w:eastAsia="en-US"/>
        </w:rPr>
        <w:t>Local Government (Planning and Reporting) Regulations 2020</w:t>
      </w:r>
      <w:r w:rsidR="008D0420" w:rsidRPr="0022670C">
        <w:rPr>
          <w:lang w:eastAsia="en-US"/>
        </w:rPr>
        <w:t xml:space="preserve">.  Results against these indicators will be reported in Council’s Performance Statement included in the Annual Report. </w:t>
      </w:r>
      <w:r w:rsidR="0022670C">
        <w:rPr>
          <w:lang w:eastAsia="en-US"/>
        </w:rPr>
        <w:br/>
      </w:r>
    </w:p>
    <w:tbl>
      <w:tblPr>
        <w:tblW w:w="15530" w:type="dxa"/>
        <w:tblInd w:w="-567" w:type="dxa"/>
        <w:tblLook w:val="04A0" w:firstRow="1" w:lastRow="0" w:firstColumn="1" w:lastColumn="0" w:noHBand="0" w:noVBand="1"/>
      </w:tblPr>
      <w:tblGrid>
        <w:gridCol w:w="2694"/>
        <w:gridCol w:w="2268"/>
        <w:gridCol w:w="1012"/>
        <w:gridCol w:w="958"/>
        <w:gridCol w:w="958"/>
        <w:gridCol w:w="958"/>
        <w:gridCol w:w="958"/>
        <w:gridCol w:w="958"/>
        <w:gridCol w:w="958"/>
        <w:gridCol w:w="958"/>
        <w:gridCol w:w="958"/>
        <w:gridCol w:w="958"/>
        <w:gridCol w:w="934"/>
      </w:tblGrid>
      <w:tr w:rsidR="00177598" w:rsidRPr="0022670C" w14:paraId="151B579C" w14:textId="77777777" w:rsidTr="00582675">
        <w:trPr>
          <w:trHeight w:val="250"/>
          <w:tblHeader/>
        </w:trPr>
        <w:tc>
          <w:tcPr>
            <w:tcW w:w="2694" w:type="dxa"/>
            <w:tcBorders>
              <w:top w:val="nil"/>
              <w:left w:val="nil"/>
              <w:bottom w:val="nil"/>
              <w:right w:val="nil"/>
            </w:tcBorders>
            <w:shd w:val="clear" w:color="000000" w:fill="002060"/>
            <w:vAlign w:val="center"/>
            <w:hideMark/>
          </w:tcPr>
          <w:p w14:paraId="53B47BBC"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2268" w:type="dxa"/>
            <w:tcBorders>
              <w:top w:val="nil"/>
              <w:left w:val="nil"/>
              <w:bottom w:val="nil"/>
              <w:right w:val="nil"/>
            </w:tcBorders>
            <w:shd w:val="clear" w:color="000000" w:fill="002060"/>
            <w:vAlign w:val="center"/>
            <w:hideMark/>
          </w:tcPr>
          <w:p w14:paraId="4DFBB30A"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634" w:type="dxa"/>
            <w:gridSpan w:val="10"/>
            <w:vMerge w:val="restart"/>
            <w:tcBorders>
              <w:top w:val="nil"/>
              <w:left w:val="nil"/>
              <w:bottom w:val="nil"/>
              <w:right w:val="nil"/>
            </w:tcBorders>
            <w:shd w:val="clear" w:color="000000" w:fill="002060"/>
            <w:vAlign w:val="center"/>
            <w:hideMark/>
          </w:tcPr>
          <w:p w14:paraId="4C105502"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Projections</w:t>
            </w:r>
          </w:p>
        </w:tc>
        <w:tc>
          <w:tcPr>
            <w:tcW w:w="934" w:type="dxa"/>
            <w:tcBorders>
              <w:top w:val="nil"/>
              <w:left w:val="nil"/>
              <w:bottom w:val="nil"/>
              <w:right w:val="nil"/>
            </w:tcBorders>
            <w:shd w:val="clear" w:color="000000" w:fill="002060"/>
            <w:vAlign w:val="center"/>
            <w:hideMark/>
          </w:tcPr>
          <w:p w14:paraId="299A076B" w14:textId="103E6DBD" w:rsidR="007368D0" w:rsidRPr="0022670C" w:rsidRDefault="007368D0" w:rsidP="00582675">
            <w:pPr>
              <w:spacing w:before="0" w:after="0"/>
              <w:jc w:val="center"/>
              <w:rPr>
                <w:rFonts w:ascii="Arial" w:hAnsi="Arial" w:cs="Arial"/>
                <w:b/>
                <w:bCs/>
                <w:color w:val="FFFFFF"/>
                <w:sz w:val="16"/>
                <w:szCs w:val="16"/>
              </w:rPr>
            </w:pPr>
          </w:p>
        </w:tc>
      </w:tr>
      <w:tr w:rsidR="00177598" w:rsidRPr="0022670C" w14:paraId="6631F4F7" w14:textId="77777777" w:rsidTr="00582675">
        <w:trPr>
          <w:trHeight w:val="250"/>
          <w:tblHeader/>
        </w:trPr>
        <w:tc>
          <w:tcPr>
            <w:tcW w:w="2694" w:type="dxa"/>
            <w:tcBorders>
              <w:top w:val="nil"/>
              <w:left w:val="nil"/>
              <w:bottom w:val="nil"/>
              <w:right w:val="nil"/>
            </w:tcBorders>
            <w:shd w:val="clear" w:color="000000" w:fill="002060"/>
            <w:vAlign w:val="center"/>
            <w:hideMark/>
          </w:tcPr>
          <w:p w14:paraId="54FCB6F0"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2268" w:type="dxa"/>
            <w:tcBorders>
              <w:top w:val="nil"/>
              <w:left w:val="nil"/>
              <w:bottom w:val="nil"/>
              <w:right w:val="nil"/>
            </w:tcBorders>
            <w:shd w:val="clear" w:color="000000" w:fill="002060"/>
            <w:vAlign w:val="center"/>
            <w:hideMark/>
          </w:tcPr>
          <w:p w14:paraId="7E030906"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634" w:type="dxa"/>
            <w:gridSpan w:val="10"/>
            <w:vMerge/>
            <w:tcBorders>
              <w:top w:val="nil"/>
              <w:left w:val="nil"/>
              <w:bottom w:val="nil"/>
              <w:right w:val="nil"/>
            </w:tcBorders>
            <w:vAlign w:val="center"/>
            <w:hideMark/>
          </w:tcPr>
          <w:p w14:paraId="557E2456" w14:textId="77777777" w:rsidR="007368D0" w:rsidRPr="0022670C" w:rsidRDefault="007368D0" w:rsidP="007368D0">
            <w:pPr>
              <w:spacing w:before="0" w:after="0"/>
              <w:rPr>
                <w:rFonts w:ascii="Arial" w:hAnsi="Arial" w:cs="Arial"/>
                <w:b/>
                <w:bCs/>
                <w:color w:val="FFFFFF"/>
                <w:sz w:val="16"/>
                <w:szCs w:val="16"/>
              </w:rPr>
            </w:pPr>
          </w:p>
        </w:tc>
        <w:tc>
          <w:tcPr>
            <w:tcW w:w="934" w:type="dxa"/>
            <w:tcBorders>
              <w:top w:val="nil"/>
              <w:left w:val="nil"/>
              <w:bottom w:val="nil"/>
              <w:right w:val="nil"/>
            </w:tcBorders>
            <w:shd w:val="clear" w:color="000000" w:fill="002060"/>
            <w:vAlign w:val="center"/>
            <w:hideMark/>
          </w:tcPr>
          <w:p w14:paraId="6344EC81" w14:textId="4604B7F0" w:rsidR="007368D0" w:rsidRPr="0022670C" w:rsidRDefault="007368D0" w:rsidP="00582675">
            <w:pPr>
              <w:spacing w:before="0" w:after="0"/>
              <w:jc w:val="center"/>
              <w:rPr>
                <w:rFonts w:ascii="Arial" w:hAnsi="Arial" w:cs="Arial"/>
                <w:b/>
                <w:bCs/>
                <w:color w:val="FFFFFF"/>
                <w:sz w:val="16"/>
                <w:szCs w:val="16"/>
              </w:rPr>
            </w:pPr>
          </w:p>
        </w:tc>
      </w:tr>
      <w:tr w:rsidR="006D2E67" w:rsidRPr="0022670C" w14:paraId="194FED5C" w14:textId="77777777" w:rsidTr="00582675">
        <w:trPr>
          <w:trHeight w:val="250"/>
          <w:tblHeader/>
        </w:trPr>
        <w:tc>
          <w:tcPr>
            <w:tcW w:w="2694" w:type="dxa"/>
            <w:tcBorders>
              <w:top w:val="nil"/>
              <w:left w:val="nil"/>
              <w:bottom w:val="nil"/>
              <w:right w:val="nil"/>
            </w:tcBorders>
            <w:shd w:val="clear" w:color="000000" w:fill="002060"/>
            <w:vAlign w:val="center"/>
            <w:hideMark/>
          </w:tcPr>
          <w:p w14:paraId="258F9B59"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Indicator</w:t>
            </w:r>
          </w:p>
        </w:tc>
        <w:tc>
          <w:tcPr>
            <w:tcW w:w="2268" w:type="dxa"/>
            <w:tcBorders>
              <w:top w:val="nil"/>
              <w:left w:val="nil"/>
              <w:bottom w:val="nil"/>
              <w:right w:val="nil"/>
            </w:tcBorders>
            <w:shd w:val="clear" w:color="000000" w:fill="002060"/>
            <w:vAlign w:val="center"/>
            <w:hideMark/>
          </w:tcPr>
          <w:p w14:paraId="1147633A"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Measure</w:t>
            </w:r>
          </w:p>
        </w:tc>
        <w:tc>
          <w:tcPr>
            <w:tcW w:w="1012" w:type="dxa"/>
            <w:tcBorders>
              <w:top w:val="nil"/>
              <w:left w:val="nil"/>
              <w:bottom w:val="nil"/>
              <w:right w:val="nil"/>
            </w:tcBorders>
            <w:shd w:val="clear" w:color="000000" w:fill="002060"/>
            <w:vAlign w:val="center"/>
            <w:hideMark/>
          </w:tcPr>
          <w:p w14:paraId="7AB65CE4"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2025/26</w:t>
            </w:r>
          </w:p>
        </w:tc>
        <w:tc>
          <w:tcPr>
            <w:tcW w:w="958" w:type="dxa"/>
            <w:tcBorders>
              <w:top w:val="nil"/>
              <w:left w:val="nil"/>
              <w:bottom w:val="nil"/>
              <w:right w:val="nil"/>
            </w:tcBorders>
            <w:shd w:val="clear" w:color="000000" w:fill="002060"/>
            <w:vAlign w:val="center"/>
            <w:hideMark/>
          </w:tcPr>
          <w:p w14:paraId="41169934"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2026/27</w:t>
            </w:r>
          </w:p>
        </w:tc>
        <w:tc>
          <w:tcPr>
            <w:tcW w:w="958" w:type="dxa"/>
            <w:tcBorders>
              <w:top w:val="nil"/>
              <w:left w:val="nil"/>
              <w:bottom w:val="nil"/>
              <w:right w:val="nil"/>
            </w:tcBorders>
            <w:shd w:val="clear" w:color="000000" w:fill="002060"/>
            <w:vAlign w:val="center"/>
            <w:hideMark/>
          </w:tcPr>
          <w:p w14:paraId="1B003BD5"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2027/28</w:t>
            </w:r>
          </w:p>
        </w:tc>
        <w:tc>
          <w:tcPr>
            <w:tcW w:w="958" w:type="dxa"/>
            <w:tcBorders>
              <w:top w:val="nil"/>
              <w:left w:val="nil"/>
              <w:bottom w:val="nil"/>
              <w:right w:val="nil"/>
            </w:tcBorders>
            <w:shd w:val="clear" w:color="000000" w:fill="002060"/>
            <w:vAlign w:val="center"/>
            <w:hideMark/>
          </w:tcPr>
          <w:p w14:paraId="730408FB"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2028/29</w:t>
            </w:r>
          </w:p>
        </w:tc>
        <w:tc>
          <w:tcPr>
            <w:tcW w:w="958" w:type="dxa"/>
            <w:tcBorders>
              <w:top w:val="nil"/>
              <w:left w:val="nil"/>
              <w:bottom w:val="nil"/>
              <w:right w:val="nil"/>
            </w:tcBorders>
            <w:shd w:val="clear" w:color="000000" w:fill="002060"/>
            <w:vAlign w:val="center"/>
            <w:hideMark/>
          </w:tcPr>
          <w:p w14:paraId="7CD984A2"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2029/30</w:t>
            </w:r>
          </w:p>
        </w:tc>
        <w:tc>
          <w:tcPr>
            <w:tcW w:w="958" w:type="dxa"/>
            <w:tcBorders>
              <w:top w:val="nil"/>
              <w:left w:val="nil"/>
              <w:bottom w:val="nil"/>
              <w:right w:val="nil"/>
            </w:tcBorders>
            <w:shd w:val="clear" w:color="000000" w:fill="002060"/>
            <w:vAlign w:val="center"/>
            <w:hideMark/>
          </w:tcPr>
          <w:p w14:paraId="3FC23A01"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2030/31</w:t>
            </w:r>
          </w:p>
        </w:tc>
        <w:tc>
          <w:tcPr>
            <w:tcW w:w="958" w:type="dxa"/>
            <w:tcBorders>
              <w:top w:val="nil"/>
              <w:left w:val="nil"/>
              <w:bottom w:val="nil"/>
              <w:right w:val="nil"/>
            </w:tcBorders>
            <w:shd w:val="clear" w:color="000000" w:fill="002060"/>
            <w:vAlign w:val="center"/>
            <w:hideMark/>
          </w:tcPr>
          <w:p w14:paraId="19381BA5"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2031/32</w:t>
            </w:r>
          </w:p>
        </w:tc>
        <w:tc>
          <w:tcPr>
            <w:tcW w:w="958" w:type="dxa"/>
            <w:tcBorders>
              <w:top w:val="nil"/>
              <w:left w:val="nil"/>
              <w:bottom w:val="nil"/>
              <w:right w:val="nil"/>
            </w:tcBorders>
            <w:shd w:val="clear" w:color="000000" w:fill="002060"/>
            <w:vAlign w:val="center"/>
            <w:hideMark/>
          </w:tcPr>
          <w:p w14:paraId="18895645"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2032/33</w:t>
            </w:r>
          </w:p>
        </w:tc>
        <w:tc>
          <w:tcPr>
            <w:tcW w:w="958" w:type="dxa"/>
            <w:tcBorders>
              <w:top w:val="nil"/>
              <w:left w:val="nil"/>
              <w:bottom w:val="nil"/>
              <w:right w:val="nil"/>
            </w:tcBorders>
            <w:shd w:val="clear" w:color="000000" w:fill="002060"/>
            <w:vAlign w:val="center"/>
            <w:hideMark/>
          </w:tcPr>
          <w:p w14:paraId="67BF59EC"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2033/34</w:t>
            </w:r>
          </w:p>
        </w:tc>
        <w:tc>
          <w:tcPr>
            <w:tcW w:w="958" w:type="dxa"/>
            <w:tcBorders>
              <w:top w:val="nil"/>
              <w:left w:val="nil"/>
              <w:bottom w:val="nil"/>
              <w:right w:val="nil"/>
            </w:tcBorders>
            <w:shd w:val="clear" w:color="000000" w:fill="002060"/>
            <w:vAlign w:val="center"/>
            <w:hideMark/>
          </w:tcPr>
          <w:p w14:paraId="32E9B02A"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2034/35</w:t>
            </w:r>
          </w:p>
        </w:tc>
        <w:tc>
          <w:tcPr>
            <w:tcW w:w="934" w:type="dxa"/>
            <w:tcBorders>
              <w:top w:val="nil"/>
              <w:left w:val="nil"/>
              <w:bottom w:val="nil"/>
              <w:right w:val="nil"/>
            </w:tcBorders>
            <w:shd w:val="clear" w:color="000000" w:fill="002060"/>
            <w:vAlign w:val="center"/>
            <w:hideMark/>
          </w:tcPr>
          <w:p w14:paraId="4A1817A5" w14:textId="77777777" w:rsidR="007368D0" w:rsidRPr="0022670C" w:rsidRDefault="007368D0" w:rsidP="00582675">
            <w:pPr>
              <w:spacing w:before="0" w:after="0"/>
              <w:jc w:val="center"/>
              <w:rPr>
                <w:rFonts w:ascii="Arial" w:hAnsi="Arial" w:cs="Arial"/>
                <w:b/>
                <w:bCs/>
                <w:color w:val="FFFFFF"/>
                <w:sz w:val="16"/>
                <w:szCs w:val="16"/>
              </w:rPr>
            </w:pPr>
            <w:r w:rsidRPr="0022670C">
              <w:rPr>
                <w:rFonts w:ascii="Arial" w:hAnsi="Arial" w:cs="Arial"/>
                <w:b/>
                <w:bCs/>
                <w:color w:val="FFFFFF"/>
                <w:sz w:val="16"/>
                <w:szCs w:val="16"/>
              </w:rPr>
              <w:t>Trend</w:t>
            </w:r>
          </w:p>
        </w:tc>
      </w:tr>
      <w:tr w:rsidR="006D2E67" w:rsidRPr="0022670C" w14:paraId="070487F1" w14:textId="77777777" w:rsidTr="00582675">
        <w:trPr>
          <w:trHeight w:val="250"/>
          <w:tblHeader/>
        </w:trPr>
        <w:tc>
          <w:tcPr>
            <w:tcW w:w="2694" w:type="dxa"/>
            <w:tcBorders>
              <w:top w:val="nil"/>
              <w:left w:val="nil"/>
              <w:bottom w:val="nil"/>
              <w:right w:val="nil"/>
            </w:tcBorders>
            <w:shd w:val="clear" w:color="000000" w:fill="002060"/>
            <w:vAlign w:val="center"/>
            <w:hideMark/>
          </w:tcPr>
          <w:p w14:paraId="2A51A2C9"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2268" w:type="dxa"/>
            <w:tcBorders>
              <w:top w:val="nil"/>
              <w:left w:val="nil"/>
              <w:bottom w:val="nil"/>
              <w:right w:val="nil"/>
            </w:tcBorders>
            <w:shd w:val="clear" w:color="000000" w:fill="002060"/>
            <w:vAlign w:val="center"/>
            <w:hideMark/>
          </w:tcPr>
          <w:p w14:paraId="18DED3FC"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1012" w:type="dxa"/>
            <w:tcBorders>
              <w:top w:val="nil"/>
              <w:left w:val="nil"/>
              <w:bottom w:val="nil"/>
              <w:right w:val="nil"/>
            </w:tcBorders>
            <w:shd w:val="clear" w:color="000000" w:fill="002060"/>
            <w:vAlign w:val="center"/>
            <w:hideMark/>
          </w:tcPr>
          <w:p w14:paraId="377731A8"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58" w:type="dxa"/>
            <w:tcBorders>
              <w:top w:val="nil"/>
              <w:left w:val="nil"/>
              <w:bottom w:val="nil"/>
              <w:right w:val="nil"/>
            </w:tcBorders>
            <w:shd w:val="clear" w:color="000000" w:fill="002060"/>
            <w:vAlign w:val="center"/>
            <w:hideMark/>
          </w:tcPr>
          <w:p w14:paraId="72B8BBF7"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58" w:type="dxa"/>
            <w:tcBorders>
              <w:top w:val="nil"/>
              <w:left w:val="nil"/>
              <w:bottom w:val="nil"/>
              <w:right w:val="nil"/>
            </w:tcBorders>
            <w:shd w:val="clear" w:color="000000" w:fill="002060"/>
            <w:vAlign w:val="center"/>
            <w:hideMark/>
          </w:tcPr>
          <w:p w14:paraId="340FECF1"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58" w:type="dxa"/>
            <w:tcBorders>
              <w:top w:val="nil"/>
              <w:left w:val="nil"/>
              <w:bottom w:val="nil"/>
              <w:right w:val="nil"/>
            </w:tcBorders>
            <w:shd w:val="clear" w:color="000000" w:fill="002060"/>
            <w:vAlign w:val="center"/>
            <w:hideMark/>
          </w:tcPr>
          <w:p w14:paraId="620196EA"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58" w:type="dxa"/>
            <w:tcBorders>
              <w:top w:val="nil"/>
              <w:left w:val="nil"/>
              <w:bottom w:val="nil"/>
              <w:right w:val="nil"/>
            </w:tcBorders>
            <w:shd w:val="clear" w:color="000000" w:fill="002060"/>
            <w:vAlign w:val="center"/>
            <w:hideMark/>
          </w:tcPr>
          <w:p w14:paraId="72078624"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58" w:type="dxa"/>
            <w:tcBorders>
              <w:top w:val="nil"/>
              <w:left w:val="nil"/>
              <w:bottom w:val="nil"/>
              <w:right w:val="nil"/>
            </w:tcBorders>
            <w:shd w:val="clear" w:color="000000" w:fill="002060"/>
            <w:vAlign w:val="center"/>
            <w:hideMark/>
          </w:tcPr>
          <w:p w14:paraId="25B20BF0"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58" w:type="dxa"/>
            <w:tcBorders>
              <w:top w:val="nil"/>
              <w:left w:val="nil"/>
              <w:bottom w:val="nil"/>
              <w:right w:val="nil"/>
            </w:tcBorders>
            <w:shd w:val="clear" w:color="000000" w:fill="002060"/>
            <w:vAlign w:val="center"/>
            <w:hideMark/>
          </w:tcPr>
          <w:p w14:paraId="3A80CF94"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58" w:type="dxa"/>
            <w:tcBorders>
              <w:top w:val="nil"/>
              <w:left w:val="nil"/>
              <w:bottom w:val="nil"/>
              <w:right w:val="nil"/>
            </w:tcBorders>
            <w:shd w:val="clear" w:color="000000" w:fill="002060"/>
            <w:vAlign w:val="center"/>
            <w:hideMark/>
          </w:tcPr>
          <w:p w14:paraId="7AA82EFD"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58" w:type="dxa"/>
            <w:tcBorders>
              <w:top w:val="nil"/>
              <w:left w:val="nil"/>
              <w:bottom w:val="nil"/>
              <w:right w:val="nil"/>
            </w:tcBorders>
            <w:shd w:val="clear" w:color="000000" w:fill="002060"/>
            <w:vAlign w:val="center"/>
            <w:hideMark/>
          </w:tcPr>
          <w:p w14:paraId="211F9207"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58" w:type="dxa"/>
            <w:tcBorders>
              <w:top w:val="nil"/>
              <w:left w:val="nil"/>
              <w:bottom w:val="nil"/>
              <w:right w:val="nil"/>
            </w:tcBorders>
            <w:shd w:val="clear" w:color="000000" w:fill="002060"/>
            <w:vAlign w:val="center"/>
            <w:hideMark/>
          </w:tcPr>
          <w:p w14:paraId="5331E298" w14:textId="77777777" w:rsidR="007368D0" w:rsidRPr="0022670C" w:rsidRDefault="007368D0" w:rsidP="007368D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934" w:type="dxa"/>
            <w:tcBorders>
              <w:top w:val="nil"/>
              <w:left w:val="nil"/>
              <w:bottom w:val="nil"/>
              <w:right w:val="nil"/>
            </w:tcBorders>
            <w:shd w:val="clear" w:color="000000" w:fill="002060"/>
            <w:vAlign w:val="center"/>
            <w:hideMark/>
          </w:tcPr>
          <w:p w14:paraId="3BCEC912" w14:textId="77777777" w:rsidR="007368D0" w:rsidRPr="0022670C" w:rsidRDefault="007368D0" w:rsidP="00582675">
            <w:pPr>
              <w:spacing w:before="0" w:after="0"/>
              <w:jc w:val="center"/>
              <w:rPr>
                <w:rFonts w:ascii="Arial" w:hAnsi="Arial" w:cs="Arial"/>
                <w:b/>
                <w:bCs/>
                <w:color w:val="FFFFFF"/>
                <w:sz w:val="16"/>
                <w:szCs w:val="16"/>
              </w:rPr>
            </w:pPr>
            <w:r w:rsidRPr="0022670C">
              <w:rPr>
                <w:rFonts w:ascii="Arial" w:hAnsi="Arial" w:cs="Arial"/>
                <w:b/>
                <w:bCs/>
                <w:color w:val="FFFFFF"/>
                <w:sz w:val="16"/>
                <w:szCs w:val="16"/>
              </w:rPr>
              <w:t>+/o/-</w:t>
            </w:r>
          </w:p>
        </w:tc>
      </w:tr>
      <w:tr w:rsidR="00060E33" w:rsidRPr="0022670C" w14:paraId="6C55DC67" w14:textId="77777777" w:rsidTr="00582675">
        <w:trPr>
          <w:trHeight w:val="250"/>
        </w:trPr>
        <w:tc>
          <w:tcPr>
            <w:tcW w:w="2694" w:type="dxa"/>
            <w:tcBorders>
              <w:top w:val="nil"/>
              <w:left w:val="nil"/>
              <w:bottom w:val="nil"/>
              <w:right w:val="nil"/>
            </w:tcBorders>
            <w:noWrap/>
            <w:vAlign w:val="center"/>
            <w:hideMark/>
          </w:tcPr>
          <w:p w14:paraId="53DFD834" w14:textId="77777777" w:rsidR="007368D0" w:rsidRPr="0022670C" w:rsidRDefault="007368D0" w:rsidP="007368D0">
            <w:pPr>
              <w:spacing w:before="0" w:after="0"/>
              <w:rPr>
                <w:rFonts w:ascii="Arial" w:hAnsi="Arial" w:cs="Arial"/>
                <w:b/>
                <w:bCs/>
                <w:color w:val="000000"/>
                <w:sz w:val="16"/>
                <w:szCs w:val="16"/>
              </w:rPr>
            </w:pPr>
            <w:r w:rsidRPr="0022670C">
              <w:rPr>
                <w:rFonts w:ascii="Arial" w:hAnsi="Arial" w:cs="Arial"/>
                <w:b/>
                <w:bCs/>
                <w:color w:val="000000"/>
                <w:sz w:val="16"/>
                <w:szCs w:val="16"/>
              </w:rPr>
              <w:t>Operating position</w:t>
            </w:r>
          </w:p>
        </w:tc>
        <w:tc>
          <w:tcPr>
            <w:tcW w:w="2268" w:type="dxa"/>
            <w:tcBorders>
              <w:top w:val="nil"/>
              <w:left w:val="nil"/>
              <w:bottom w:val="nil"/>
              <w:right w:val="nil"/>
            </w:tcBorders>
            <w:vAlign w:val="center"/>
            <w:hideMark/>
          </w:tcPr>
          <w:p w14:paraId="4D7630CF" w14:textId="77777777" w:rsidR="007368D0" w:rsidRPr="0022670C" w:rsidRDefault="007368D0" w:rsidP="007368D0">
            <w:pPr>
              <w:spacing w:before="0" w:after="0"/>
              <w:rPr>
                <w:rFonts w:ascii="Arial" w:hAnsi="Arial" w:cs="Arial"/>
                <w:b/>
                <w:bCs/>
                <w:color w:val="000000"/>
                <w:sz w:val="16"/>
                <w:szCs w:val="16"/>
              </w:rPr>
            </w:pPr>
          </w:p>
        </w:tc>
        <w:tc>
          <w:tcPr>
            <w:tcW w:w="1012" w:type="dxa"/>
            <w:tcBorders>
              <w:top w:val="nil"/>
              <w:left w:val="nil"/>
              <w:bottom w:val="nil"/>
              <w:right w:val="nil"/>
            </w:tcBorders>
            <w:noWrap/>
            <w:vAlign w:val="center"/>
            <w:hideMark/>
          </w:tcPr>
          <w:p w14:paraId="4A3B60F2" w14:textId="77777777" w:rsidR="007368D0" w:rsidRPr="0022670C" w:rsidRDefault="007368D0"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63030565" w14:textId="77777777" w:rsidR="007368D0" w:rsidRPr="0022670C" w:rsidRDefault="007368D0"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05F2D999" w14:textId="77777777" w:rsidR="007368D0" w:rsidRPr="0022670C" w:rsidRDefault="007368D0"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50927742" w14:textId="77777777" w:rsidR="007368D0" w:rsidRPr="0022670C" w:rsidRDefault="007368D0"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1DF5ED0E" w14:textId="77777777" w:rsidR="007368D0" w:rsidRPr="0022670C" w:rsidRDefault="007368D0"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E93EFE6" w14:textId="77777777" w:rsidR="007368D0" w:rsidRPr="0022670C" w:rsidRDefault="007368D0"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0C674524" w14:textId="77777777" w:rsidR="007368D0" w:rsidRPr="0022670C" w:rsidRDefault="007368D0"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0D42FD8" w14:textId="77777777" w:rsidR="007368D0" w:rsidRPr="0022670C" w:rsidRDefault="007368D0"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173C7366" w14:textId="77777777" w:rsidR="007368D0" w:rsidRPr="0022670C" w:rsidRDefault="007368D0"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0523C256" w14:textId="77777777" w:rsidR="007368D0" w:rsidRPr="0022670C" w:rsidRDefault="007368D0" w:rsidP="00582675">
            <w:pPr>
              <w:spacing w:before="0" w:after="0"/>
              <w:jc w:val="right"/>
              <w:rPr>
                <w:rFonts w:ascii="Arial" w:hAnsi="Arial" w:cs="Arial"/>
                <w:sz w:val="16"/>
                <w:szCs w:val="16"/>
              </w:rPr>
            </w:pPr>
          </w:p>
        </w:tc>
        <w:tc>
          <w:tcPr>
            <w:tcW w:w="934" w:type="dxa"/>
            <w:tcBorders>
              <w:top w:val="nil"/>
              <w:left w:val="nil"/>
              <w:bottom w:val="nil"/>
              <w:right w:val="nil"/>
            </w:tcBorders>
            <w:noWrap/>
            <w:vAlign w:val="center"/>
            <w:hideMark/>
          </w:tcPr>
          <w:p w14:paraId="47E30C26" w14:textId="77777777" w:rsidR="007368D0" w:rsidRPr="0022670C" w:rsidRDefault="007368D0" w:rsidP="00582675">
            <w:pPr>
              <w:spacing w:before="0" w:after="0"/>
              <w:jc w:val="center"/>
              <w:rPr>
                <w:rFonts w:ascii="Arial" w:hAnsi="Arial" w:cs="Arial"/>
                <w:sz w:val="16"/>
                <w:szCs w:val="16"/>
              </w:rPr>
            </w:pPr>
          </w:p>
        </w:tc>
      </w:tr>
      <w:tr w:rsidR="00582675" w:rsidRPr="0022670C" w14:paraId="0B47A686" w14:textId="77777777" w:rsidTr="00582675">
        <w:trPr>
          <w:trHeight w:val="750"/>
        </w:trPr>
        <w:tc>
          <w:tcPr>
            <w:tcW w:w="2694" w:type="dxa"/>
            <w:tcBorders>
              <w:top w:val="nil"/>
              <w:left w:val="nil"/>
              <w:bottom w:val="nil"/>
              <w:right w:val="nil"/>
            </w:tcBorders>
            <w:noWrap/>
            <w:vAlign w:val="center"/>
            <w:hideMark/>
          </w:tcPr>
          <w:p w14:paraId="34F54A03" w14:textId="77777777"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Adjusted underlying result</w:t>
            </w:r>
          </w:p>
        </w:tc>
        <w:tc>
          <w:tcPr>
            <w:tcW w:w="2268" w:type="dxa"/>
            <w:tcBorders>
              <w:top w:val="nil"/>
              <w:left w:val="nil"/>
              <w:bottom w:val="nil"/>
              <w:right w:val="nil"/>
            </w:tcBorders>
            <w:vAlign w:val="center"/>
            <w:hideMark/>
          </w:tcPr>
          <w:p w14:paraId="412532D3"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Adjusted underlying surplus (deficit / Adjusted underlying revenue</w:t>
            </w:r>
          </w:p>
        </w:tc>
        <w:tc>
          <w:tcPr>
            <w:tcW w:w="1012" w:type="dxa"/>
            <w:tcBorders>
              <w:top w:val="nil"/>
              <w:left w:val="nil"/>
              <w:bottom w:val="nil"/>
              <w:right w:val="nil"/>
            </w:tcBorders>
            <w:noWrap/>
            <w:vAlign w:val="center"/>
            <w:hideMark/>
          </w:tcPr>
          <w:p w14:paraId="4B1BAB68" w14:textId="2879573F"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0.0%</w:t>
            </w:r>
          </w:p>
        </w:tc>
        <w:tc>
          <w:tcPr>
            <w:tcW w:w="958" w:type="dxa"/>
            <w:tcBorders>
              <w:top w:val="nil"/>
              <w:left w:val="nil"/>
              <w:bottom w:val="nil"/>
              <w:right w:val="nil"/>
            </w:tcBorders>
            <w:noWrap/>
            <w:vAlign w:val="center"/>
            <w:hideMark/>
          </w:tcPr>
          <w:p w14:paraId="7F8B9E0D" w14:textId="067045B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-1.9%</w:t>
            </w:r>
          </w:p>
        </w:tc>
        <w:tc>
          <w:tcPr>
            <w:tcW w:w="958" w:type="dxa"/>
            <w:tcBorders>
              <w:top w:val="nil"/>
              <w:left w:val="nil"/>
              <w:bottom w:val="nil"/>
              <w:right w:val="nil"/>
            </w:tcBorders>
            <w:noWrap/>
            <w:vAlign w:val="center"/>
            <w:hideMark/>
          </w:tcPr>
          <w:p w14:paraId="2A3B60CB" w14:textId="7B5092C1"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0.1%</w:t>
            </w:r>
          </w:p>
        </w:tc>
        <w:tc>
          <w:tcPr>
            <w:tcW w:w="958" w:type="dxa"/>
            <w:tcBorders>
              <w:top w:val="nil"/>
              <w:left w:val="nil"/>
              <w:bottom w:val="nil"/>
              <w:right w:val="nil"/>
            </w:tcBorders>
            <w:noWrap/>
            <w:vAlign w:val="center"/>
            <w:hideMark/>
          </w:tcPr>
          <w:p w14:paraId="42FD2031" w14:textId="6F0C2BB9"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0.1%</w:t>
            </w:r>
          </w:p>
        </w:tc>
        <w:tc>
          <w:tcPr>
            <w:tcW w:w="958" w:type="dxa"/>
            <w:tcBorders>
              <w:top w:val="nil"/>
              <w:left w:val="nil"/>
              <w:bottom w:val="nil"/>
              <w:right w:val="nil"/>
            </w:tcBorders>
            <w:noWrap/>
            <w:vAlign w:val="center"/>
            <w:hideMark/>
          </w:tcPr>
          <w:p w14:paraId="03C8C67B" w14:textId="44E42EE4"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-0.4%</w:t>
            </w:r>
          </w:p>
        </w:tc>
        <w:tc>
          <w:tcPr>
            <w:tcW w:w="958" w:type="dxa"/>
            <w:tcBorders>
              <w:top w:val="nil"/>
              <w:left w:val="nil"/>
              <w:bottom w:val="nil"/>
              <w:right w:val="nil"/>
            </w:tcBorders>
            <w:noWrap/>
            <w:vAlign w:val="center"/>
            <w:hideMark/>
          </w:tcPr>
          <w:p w14:paraId="48730585" w14:textId="53953371"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-0.1%</w:t>
            </w:r>
          </w:p>
        </w:tc>
        <w:tc>
          <w:tcPr>
            <w:tcW w:w="958" w:type="dxa"/>
            <w:tcBorders>
              <w:top w:val="nil"/>
              <w:left w:val="nil"/>
              <w:bottom w:val="nil"/>
              <w:right w:val="nil"/>
            </w:tcBorders>
            <w:noWrap/>
            <w:vAlign w:val="center"/>
            <w:hideMark/>
          </w:tcPr>
          <w:p w14:paraId="7FA798ED" w14:textId="34689BDF"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0.2%</w:t>
            </w:r>
          </w:p>
        </w:tc>
        <w:tc>
          <w:tcPr>
            <w:tcW w:w="958" w:type="dxa"/>
            <w:tcBorders>
              <w:top w:val="nil"/>
              <w:left w:val="nil"/>
              <w:bottom w:val="nil"/>
              <w:right w:val="nil"/>
            </w:tcBorders>
            <w:noWrap/>
            <w:vAlign w:val="center"/>
            <w:hideMark/>
          </w:tcPr>
          <w:p w14:paraId="5BA2C597" w14:textId="5BF302E7"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0.0%</w:t>
            </w:r>
          </w:p>
        </w:tc>
        <w:tc>
          <w:tcPr>
            <w:tcW w:w="958" w:type="dxa"/>
            <w:tcBorders>
              <w:top w:val="nil"/>
              <w:left w:val="nil"/>
              <w:bottom w:val="nil"/>
              <w:right w:val="nil"/>
            </w:tcBorders>
            <w:noWrap/>
            <w:vAlign w:val="center"/>
            <w:hideMark/>
          </w:tcPr>
          <w:p w14:paraId="0E8317B0" w14:textId="23C53E3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0.1%</w:t>
            </w:r>
          </w:p>
        </w:tc>
        <w:tc>
          <w:tcPr>
            <w:tcW w:w="958" w:type="dxa"/>
            <w:tcBorders>
              <w:top w:val="nil"/>
              <w:left w:val="nil"/>
              <w:bottom w:val="nil"/>
              <w:right w:val="nil"/>
            </w:tcBorders>
            <w:noWrap/>
            <w:vAlign w:val="center"/>
            <w:hideMark/>
          </w:tcPr>
          <w:p w14:paraId="563068A5" w14:textId="6B363447"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0.1%</w:t>
            </w:r>
          </w:p>
        </w:tc>
        <w:tc>
          <w:tcPr>
            <w:tcW w:w="934" w:type="dxa"/>
            <w:tcBorders>
              <w:top w:val="nil"/>
              <w:left w:val="nil"/>
              <w:bottom w:val="nil"/>
              <w:right w:val="nil"/>
            </w:tcBorders>
            <w:noWrap/>
            <w:vAlign w:val="center"/>
            <w:hideMark/>
          </w:tcPr>
          <w:p w14:paraId="1A2B5424" w14:textId="59C2A34B"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o</w:t>
            </w:r>
          </w:p>
        </w:tc>
      </w:tr>
      <w:tr w:rsidR="00582675" w:rsidRPr="0022670C" w14:paraId="506B1BAC" w14:textId="77777777" w:rsidTr="00582675">
        <w:trPr>
          <w:trHeight w:val="250"/>
        </w:trPr>
        <w:tc>
          <w:tcPr>
            <w:tcW w:w="2694" w:type="dxa"/>
            <w:tcBorders>
              <w:top w:val="nil"/>
              <w:left w:val="nil"/>
              <w:bottom w:val="nil"/>
              <w:right w:val="nil"/>
            </w:tcBorders>
            <w:noWrap/>
            <w:vAlign w:val="center"/>
            <w:hideMark/>
          </w:tcPr>
          <w:p w14:paraId="56CC140E" w14:textId="77777777" w:rsidR="00582675" w:rsidRPr="0022670C" w:rsidRDefault="00582675" w:rsidP="00582675">
            <w:pPr>
              <w:spacing w:before="0" w:after="0"/>
              <w:rPr>
                <w:rFonts w:ascii="Arial" w:hAnsi="Arial" w:cs="Arial"/>
                <w:b/>
                <w:bCs/>
                <w:color w:val="000000"/>
                <w:sz w:val="16"/>
                <w:szCs w:val="16"/>
              </w:rPr>
            </w:pPr>
            <w:r w:rsidRPr="0022670C">
              <w:rPr>
                <w:rFonts w:ascii="Arial" w:hAnsi="Arial" w:cs="Arial"/>
                <w:b/>
                <w:bCs/>
                <w:color w:val="000000"/>
                <w:sz w:val="16"/>
                <w:szCs w:val="16"/>
              </w:rPr>
              <w:t>Liquidity</w:t>
            </w:r>
          </w:p>
        </w:tc>
        <w:tc>
          <w:tcPr>
            <w:tcW w:w="2268" w:type="dxa"/>
            <w:tcBorders>
              <w:top w:val="nil"/>
              <w:left w:val="nil"/>
              <w:bottom w:val="nil"/>
              <w:right w:val="nil"/>
            </w:tcBorders>
            <w:vAlign w:val="center"/>
            <w:hideMark/>
          </w:tcPr>
          <w:p w14:paraId="6E2A51D2" w14:textId="77777777" w:rsidR="00582675" w:rsidRPr="0022670C" w:rsidRDefault="00582675" w:rsidP="00582675">
            <w:pPr>
              <w:spacing w:before="0" w:after="0"/>
              <w:rPr>
                <w:rFonts w:ascii="Arial" w:hAnsi="Arial" w:cs="Arial"/>
                <w:b/>
                <w:bCs/>
                <w:color w:val="000000"/>
                <w:sz w:val="16"/>
                <w:szCs w:val="16"/>
              </w:rPr>
            </w:pPr>
          </w:p>
        </w:tc>
        <w:tc>
          <w:tcPr>
            <w:tcW w:w="1012" w:type="dxa"/>
            <w:tcBorders>
              <w:top w:val="nil"/>
              <w:left w:val="nil"/>
              <w:bottom w:val="nil"/>
              <w:right w:val="nil"/>
            </w:tcBorders>
            <w:noWrap/>
            <w:vAlign w:val="center"/>
            <w:hideMark/>
          </w:tcPr>
          <w:p w14:paraId="6891E557"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401824C7"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947CEE4"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52D8F08C"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6790FE1A"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40712415"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4F81FE0A"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48FB9941"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733215C"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F93C2F3" w14:textId="77777777" w:rsidR="00582675" w:rsidRPr="0022670C" w:rsidRDefault="00582675" w:rsidP="00582675">
            <w:pPr>
              <w:spacing w:before="0" w:after="0"/>
              <w:jc w:val="right"/>
              <w:rPr>
                <w:rFonts w:ascii="Arial" w:hAnsi="Arial" w:cs="Arial"/>
                <w:sz w:val="16"/>
                <w:szCs w:val="16"/>
              </w:rPr>
            </w:pPr>
          </w:p>
        </w:tc>
        <w:tc>
          <w:tcPr>
            <w:tcW w:w="934" w:type="dxa"/>
            <w:tcBorders>
              <w:top w:val="nil"/>
              <w:left w:val="nil"/>
              <w:bottom w:val="nil"/>
              <w:right w:val="nil"/>
            </w:tcBorders>
            <w:noWrap/>
            <w:vAlign w:val="center"/>
            <w:hideMark/>
          </w:tcPr>
          <w:p w14:paraId="62AAE048" w14:textId="77777777" w:rsidR="00582675" w:rsidRPr="0022670C" w:rsidRDefault="00582675" w:rsidP="00582675">
            <w:pPr>
              <w:spacing w:before="0" w:after="0"/>
              <w:jc w:val="center"/>
              <w:rPr>
                <w:rFonts w:ascii="Arial" w:hAnsi="Arial" w:cs="Arial"/>
                <w:sz w:val="16"/>
                <w:szCs w:val="16"/>
              </w:rPr>
            </w:pPr>
          </w:p>
        </w:tc>
      </w:tr>
      <w:tr w:rsidR="00582675" w:rsidRPr="0022670C" w14:paraId="093A88A7" w14:textId="77777777" w:rsidTr="00582675">
        <w:trPr>
          <w:trHeight w:val="500"/>
        </w:trPr>
        <w:tc>
          <w:tcPr>
            <w:tcW w:w="2694" w:type="dxa"/>
            <w:tcBorders>
              <w:top w:val="nil"/>
              <w:left w:val="nil"/>
              <w:bottom w:val="nil"/>
              <w:right w:val="nil"/>
            </w:tcBorders>
            <w:noWrap/>
            <w:vAlign w:val="center"/>
            <w:hideMark/>
          </w:tcPr>
          <w:p w14:paraId="38117671" w14:textId="40E862F9"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 xml:space="preserve">Working capital </w:t>
            </w:r>
          </w:p>
        </w:tc>
        <w:tc>
          <w:tcPr>
            <w:tcW w:w="2268" w:type="dxa"/>
            <w:tcBorders>
              <w:top w:val="nil"/>
              <w:left w:val="nil"/>
              <w:bottom w:val="nil"/>
              <w:right w:val="nil"/>
            </w:tcBorders>
            <w:vAlign w:val="center"/>
            <w:hideMark/>
          </w:tcPr>
          <w:p w14:paraId="10F9A88B"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Current assets / Current liabilities</w:t>
            </w:r>
          </w:p>
        </w:tc>
        <w:tc>
          <w:tcPr>
            <w:tcW w:w="1012" w:type="dxa"/>
            <w:tcBorders>
              <w:top w:val="nil"/>
              <w:left w:val="nil"/>
              <w:bottom w:val="nil"/>
              <w:right w:val="nil"/>
            </w:tcBorders>
            <w:noWrap/>
            <w:vAlign w:val="center"/>
            <w:hideMark/>
          </w:tcPr>
          <w:p w14:paraId="54C387A7" w14:textId="6FDA76D1"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322.1%</w:t>
            </w:r>
          </w:p>
        </w:tc>
        <w:tc>
          <w:tcPr>
            <w:tcW w:w="958" w:type="dxa"/>
            <w:tcBorders>
              <w:top w:val="nil"/>
              <w:left w:val="nil"/>
              <w:bottom w:val="nil"/>
              <w:right w:val="nil"/>
            </w:tcBorders>
            <w:noWrap/>
            <w:vAlign w:val="center"/>
            <w:hideMark/>
          </w:tcPr>
          <w:p w14:paraId="6C38037B" w14:textId="31B4ADEA"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435.2%</w:t>
            </w:r>
          </w:p>
        </w:tc>
        <w:tc>
          <w:tcPr>
            <w:tcW w:w="958" w:type="dxa"/>
            <w:tcBorders>
              <w:top w:val="nil"/>
              <w:left w:val="nil"/>
              <w:bottom w:val="nil"/>
              <w:right w:val="nil"/>
            </w:tcBorders>
            <w:noWrap/>
            <w:vAlign w:val="center"/>
            <w:hideMark/>
          </w:tcPr>
          <w:p w14:paraId="3BEA8284" w14:textId="14B85B16"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473.0%</w:t>
            </w:r>
          </w:p>
        </w:tc>
        <w:tc>
          <w:tcPr>
            <w:tcW w:w="958" w:type="dxa"/>
            <w:tcBorders>
              <w:top w:val="nil"/>
              <w:left w:val="nil"/>
              <w:bottom w:val="nil"/>
              <w:right w:val="nil"/>
            </w:tcBorders>
            <w:noWrap/>
            <w:vAlign w:val="center"/>
            <w:hideMark/>
          </w:tcPr>
          <w:p w14:paraId="2E9DCD1C" w14:textId="1643916C"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519.6%</w:t>
            </w:r>
          </w:p>
        </w:tc>
        <w:tc>
          <w:tcPr>
            <w:tcW w:w="958" w:type="dxa"/>
            <w:tcBorders>
              <w:top w:val="nil"/>
              <w:left w:val="nil"/>
              <w:bottom w:val="nil"/>
              <w:right w:val="nil"/>
            </w:tcBorders>
            <w:noWrap/>
            <w:vAlign w:val="center"/>
            <w:hideMark/>
          </w:tcPr>
          <w:p w14:paraId="76D265C3" w14:textId="4B3D7FE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494.5%</w:t>
            </w:r>
          </w:p>
        </w:tc>
        <w:tc>
          <w:tcPr>
            <w:tcW w:w="958" w:type="dxa"/>
            <w:tcBorders>
              <w:top w:val="nil"/>
              <w:left w:val="nil"/>
              <w:bottom w:val="nil"/>
              <w:right w:val="nil"/>
            </w:tcBorders>
            <w:noWrap/>
            <w:vAlign w:val="center"/>
            <w:hideMark/>
          </w:tcPr>
          <w:p w14:paraId="0096EBB2" w14:textId="64688B2F"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475.4%</w:t>
            </w:r>
          </w:p>
        </w:tc>
        <w:tc>
          <w:tcPr>
            <w:tcW w:w="958" w:type="dxa"/>
            <w:tcBorders>
              <w:top w:val="nil"/>
              <w:left w:val="nil"/>
              <w:bottom w:val="nil"/>
              <w:right w:val="nil"/>
            </w:tcBorders>
            <w:noWrap/>
            <w:vAlign w:val="center"/>
            <w:hideMark/>
          </w:tcPr>
          <w:p w14:paraId="38DCB6E6" w14:textId="24429CA4"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434.8%</w:t>
            </w:r>
          </w:p>
        </w:tc>
        <w:tc>
          <w:tcPr>
            <w:tcW w:w="958" w:type="dxa"/>
            <w:tcBorders>
              <w:top w:val="nil"/>
              <w:left w:val="nil"/>
              <w:bottom w:val="nil"/>
              <w:right w:val="nil"/>
            </w:tcBorders>
            <w:noWrap/>
            <w:vAlign w:val="center"/>
            <w:hideMark/>
          </w:tcPr>
          <w:p w14:paraId="066167FB" w14:textId="0B3FDEE1"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400.1%</w:t>
            </w:r>
          </w:p>
        </w:tc>
        <w:tc>
          <w:tcPr>
            <w:tcW w:w="958" w:type="dxa"/>
            <w:tcBorders>
              <w:top w:val="nil"/>
              <w:left w:val="nil"/>
              <w:bottom w:val="nil"/>
              <w:right w:val="nil"/>
            </w:tcBorders>
            <w:noWrap/>
            <w:vAlign w:val="center"/>
            <w:hideMark/>
          </w:tcPr>
          <w:p w14:paraId="61DEBFA1" w14:textId="7E9FA879"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372.7%</w:t>
            </w:r>
          </w:p>
        </w:tc>
        <w:tc>
          <w:tcPr>
            <w:tcW w:w="958" w:type="dxa"/>
            <w:tcBorders>
              <w:top w:val="nil"/>
              <w:left w:val="nil"/>
              <w:bottom w:val="nil"/>
              <w:right w:val="nil"/>
            </w:tcBorders>
            <w:noWrap/>
            <w:vAlign w:val="center"/>
            <w:hideMark/>
          </w:tcPr>
          <w:p w14:paraId="396A6D36" w14:textId="3824696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332.0%</w:t>
            </w:r>
          </w:p>
        </w:tc>
        <w:tc>
          <w:tcPr>
            <w:tcW w:w="934" w:type="dxa"/>
            <w:tcBorders>
              <w:top w:val="nil"/>
              <w:left w:val="nil"/>
              <w:bottom w:val="nil"/>
              <w:right w:val="nil"/>
            </w:tcBorders>
            <w:noWrap/>
            <w:vAlign w:val="center"/>
            <w:hideMark/>
          </w:tcPr>
          <w:p w14:paraId="42EC95C5" w14:textId="77777777"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w:t>
            </w:r>
          </w:p>
        </w:tc>
      </w:tr>
      <w:tr w:rsidR="00582675" w:rsidRPr="0022670C" w14:paraId="1CA73D43" w14:textId="77777777" w:rsidTr="00582675">
        <w:trPr>
          <w:trHeight w:val="500"/>
        </w:trPr>
        <w:tc>
          <w:tcPr>
            <w:tcW w:w="2694" w:type="dxa"/>
            <w:tcBorders>
              <w:top w:val="nil"/>
              <w:left w:val="nil"/>
              <w:bottom w:val="nil"/>
              <w:right w:val="nil"/>
            </w:tcBorders>
            <w:noWrap/>
            <w:vAlign w:val="center"/>
            <w:hideMark/>
          </w:tcPr>
          <w:p w14:paraId="2599193B" w14:textId="11F7F952"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Unrestricted cash</w:t>
            </w:r>
          </w:p>
        </w:tc>
        <w:tc>
          <w:tcPr>
            <w:tcW w:w="2268" w:type="dxa"/>
            <w:tcBorders>
              <w:top w:val="nil"/>
              <w:left w:val="nil"/>
              <w:bottom w:val="nil"/>
              <w:right w:val="nil"/>
            </w:tcBorders>
            <w:vAlign w:val="center"/>
            <w:hideMark/>
          </w:tcPr>
          <w:p w14:paraId="7D69A680"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Unrestricted cash / Current liabilities</w:t>
            </w:r>
          </w:p>
        </w:tc>
        <w:tc>
          <w:tcPr>
            <w:tcW w:w="1012" w:type="dxa"/>
            <w:tcBorders>
              <w:top w:val="nil"/>
              <w:left w:val="nil"/>
              <w:bottom w:val="nil"/>
              <w:right w:val="nil"/>
            </w:tcBorders>
            <w:noWrap/>
            <w:vAlign w:val="center"/>
            <w:hideMark/>
          </w:tcPr>
          <w:p w14:paraId="592573EF" w14:textId="54A77838"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15.5%</w:t>
            </w:r>
          </w:p>
        </w:tc>
        <w:tc>
          <w:tcPr>
            <w:tcW w:w="958" w:type="dxa"/>
            <w:tcBorders>
              <w:top w:val="nil"/>
              <w:left w:val="nil"/>
              <w:bottom w:val="nil"/>
              <w:right w:val="nil"/>
            </w:tcBorders>
            <w:noWrap/>
            <w:vAlign w:val="center"/>
            <w:hideMark/>
          </w:tcPr>
          <w:p w14:paraId="0CDD8659" w14:textId="3AFDC74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30.6%</w:t>
            </w:r>
          </w:p>
        </w:tc>
        <w:tc>
          <w:tcPr>
            <w:tcW w:w="958" w:type="dxa"/>
            <w:tcBorders>
              <w:top w:val="nil"/>
              <w:left w:val="nil"/>
              <w:bottom w:val="nil"/>
              <w:right w:val="nil"/>
            </w:tcBorders>
            <w:noWrap/>
            <w:vAlign w:val="center"/>
            <w:hideMark/>
          </w:tcPr>
          <w:p w14:paraId="2977B4BD" w14:textId="28FFBEDA"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33.2%</w:t>
            </w:r>
          </w:p>
        </w:tc>
        <w:tc>
          <w:tcPr>
            <w:tcW w:w="958" w:type="dxa"/>
            <w:tcBorders>
              <w:top w:val="nil"/>
              <w:left w:val="nil"/>
              <w:bottom w:val="nil"/>
              <w:right w:val="nil"/>
            </w:tcBorders>
            <w:noWrap/>
            <w:vAlign w:val="center"/>
            <w:hideMark/>
          </w:tcPr>
          <w:p w14:paraId="705D772C" w14:textId="7BBE6897"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28.0%</w:t>
            </w:r>
          </w:p>
        </w:tc>
        <w:tc>
          <w:tcPr>
            <w:tcW w:w="958" w:type="dxa"/>
            <w:tcBorders>
              <w:top w:val="nil"/>
              <w:left w:val="nil"/>
              <w:bottom w:val="nil"/>
              <w:right w:val="nil"/>
            </w:tcBorders>
            <w:noWrap/>
            <w:vAlign w:val="center"/>
            <w:hideMark/>
          </w:tcPr>
          <w:p w14:paraId="4CB1BBE2" w14:textId="11039AA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50.5%</w:t>
            </w:r>
          </w:p>
        </w:tc>
        <w:tc>
          <w:tcPr>
            <w:tcW w:w="958" w:type="dxa"/>
            <w:tcBorders>
              <w:top w:val="nil"/>
              <w:left w:val="nil"/>
              <w:bottom w:val="nil"/>
              <w:right w:val="nil"/>
            </w:tcBorders>
            <w:noWrap/>
            <w:vAlign w:val="center"/>
            <w:hideMark/>
          </w:tcPr>
          <w:p w14:paraId="5981B254" w14:textId="1591119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51.5%</w:t>
            </w:r>
          </w:p>
        </w:tc>
        <w:tc>
          <w:tcPr>
            <w:tcW w:w="958" w:type="dxa"/>
            <w:tcBorders>
              <w:top w:val="nil"/>
              <w:left w:val="nil"/>
              <w:bottom w:val="nil"/>
              <w:right w:val="nil"/>
            </w:tcBorders>
            <w:noWrap/>
            <w:vAlign w:val="center"/>
            <w:hideMark/>
          </w:tcPr>
          <w:p w14:paraId="5FA32990" w14:textId="06E45FA6"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57.7%</w:t>
            </w:r>
          </w:p>
        </w:tc>
        <w:tc>
          <w:tcPr>
            <w:tcW w:w="958" w:type="dxa"/>
            <w:tcBorders>
              <w:top w:val="nil"/>
              <w:left w:val="nil"/>
              <w:bottom w:val="nil"/>
              <w:right w:val="nil"/>
            </w:tcBorders>
            <w:noWrap/>
            <w:vAlign w:val="center"/>
            <w:hideMark/>
          </w:tcPr>
          <w:p w14:paraId="117E6C7B" w14:textId="6F629058"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58.5%</w:t>
            </w:r>
          </w:p>
        </w:tc>
        <w:tc>
          <w:tcPr>
            <w:tcW w:w="958" w:type="dxa"/>
            <w:tcBorders>
              <w:top w:val="nil"/>
              <w:left w:val="nil"/>
              <w:bottom w:val="nil"/>
              <w:right w:val="nil"/>
            </w:tcBorders>
            <w:noWrap/>
            <w:vAlign w:val="center"/>
            <w:hideMark/>
          </w:tcPr>
          <w:p w14:paraId="3A146521" w14:textId="7D6497EF"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56.5%</w:t>
            </w:r>
          </w:p>
        </w:tc>
        <w:tc>
          <w:tcPr>
            <w:tcW w:w="958" w:type="dxa"/>
            <w:tcBorders>
              <w:top w:val="nil"/>
              <w:left w:val="nil"/>
              <w:bottom w:val="nil"/>
              <w:right w:val="nil"/>
            </w:tcBorders>
            <w:noWrap/>
            <w:vAlign w:val="center"/>
            <w:hideMark/>
          </w:tcPr>
          <w:p w14:paraId="3B78708A" w14:textId="1BC6B466"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63.6%</w:t>
            </w:r>
          </w:p>
        </w:tc>
        <w:tc>
          <w:tcPr>
            <w:tcW w:w="934" w:type="dxa"/>
            <w:tcBorders>
              <w:top w:val="nil"/>
              <w:left w:val="nil"/>
              <w:bottom w:val="nil"/>
              <w:right w:val="nil"/>
            </w:tcBorders>
            <w:noWrap/>
            <w:vAlign w:val="center"/>
            <w:hideMark/>
          </w:tcPr>
          <w:p w14:paraId="168237E6" w14:textId="77777777"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w:t>
            </w:r>
          </w:p>
        </w:tc>
      </w:tr>
      <w:tr w:rsidR="00582675" w:rsidRPr="0022670C" w14:paraId="1AFD6C7B" w14:textId="77777777" w:rsidTr="00582675">
        <w:trPr>
          <w:trHeight w:val="250"/>
        </w:trPr>
        <w:tc>
          <w:tcPr>
            <w:tcW w:w="2694" w:type="dxa"/>
            <w:tcBorders>
              <w:top w:val="nil"/>
              <w:left w:val="nil"/>
              <w:bottom w:val="nil"/>
              <w:right w:val="nil"/>
            </w:tcBorders>
            <w:noWrap/>
            <w:vAlign w:val="center"/>
            <w:hideMark/>
          </w:tcPr>
          <w:p w14:paraId="56E5EA7C" w14:textId="77777777" w:rsidR="00582675" w:rsidRPr="0022670C" w:rsidRDefault="00582675" w:rsidP="00582675">
            <w:pPr>
              <w:spacing w:before="0" w:after="0"/>
              <w:rPr>
                <w:rFonts w:ascii="Arial" w:hAnsi="Arial" w:cs="Arial"/>
                <w:b/>
                <w:bCs/>
                <w:color w:val="000000"/>
                <w:sz w:val="16"/>
                <w:szCs w:val="16"/>
              </w:rPr>
            </w:pPr>
            <w:r w:rsidRPr="0022670C">
              <w:rPr>
                <w:rFonts w:ascii="Arial" w:hAnsi="Arial" w:cs="Arial"/>
                <w:b/>
                <w:bCs/>
                <w:color w:val="000000"/>
                <w:sz w:val="16"/>
                <w:szCs w:val="16"/>
              </w:rPr>
              <w:t>Obligations</w:t>
            </w:r>
          </w:p>
        </w:tc>
        <w:tc>
          <w:tcPr>
            <w:tcW w:w="2268" w:type="dxa"/>
            <w:tcBorders>
              <w:top w:val="nil"/>
              <w:left w:val="nil"/>
              <w:bottom w:val="nil"/>
              <w:right w:val="nil"/>
            </w:tcBorders>
            <w:vAlign w:val="center"/>
            <w:hideMark/>
          </w:tcPr>
          <w:p w14:paraId="4D618B43" w14:textId="77777777" w:rsidR="00582675" w:rsidRPr="0022670C" w:rsidRDefault="00582675" w:rsidP="00582675">
            <w:pPr>
              <w:spacing w:before="0" w:after="0"/>
              <w:rPr>
                <w:rFonts w:ascii="Arial" w:hAnsi="Arial" w:cs="Arial"/>
                <w:b/>
                <w:bCs/>
                <w:color w:val="000000"/>
                <w:sz w:val="16"/>
                <w:szCs w:val="16"/>
              </w:rPr>
            </w:pPr>
          </w:p>
        </w:tc>
        <w:tc>
          <w:tcPr>
            <w:tcW w:w="1012" w:type="dxa"/>
            <w:tcBorders>
              <w:top w:val="nil"/>
              <w:left w:val="nil"/>
              <w:bottom w:val="nil"/>
              <w:right w:val="nil"/>
            </w:tcBorders>
            <w:noWrap/>
            <w:vAlign w:val="center"/>
            <w:hideMark/>
          </w:tcPr>
          <w:p w14:paraId="3228589D"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50DC5F9E"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314D0F69"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454EEE8"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95E2A39"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2C86B4EF"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46D801C7"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67C8F7AC"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23D26D29"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5AB2720B" w14:textId="77777777" w:rsidR="00582675" w:rsidRPr="0022670C" w:rsidRDefault="00582675" w:rsidP="00582675">
            <w:pPr>
              <w:spacing w:before="0" w:after="0"/>
              <w:jc w:val="right"/>
              <w:rPr>
                <w:rFonts w:ascii="Arial" w:hAnsi="Arial" w:cs="Arial"/>
                <w:sz w:val="16"/>
                <w:szCs w:val="16"/>
              </w:rPr>
            </w:pPr>
          </w:p>
        </w:tc>
        <w:tc>
          <w:tcPr>
            <w:tcW w:w="934" w:type="dxa"/>
            <w:tcBorders>
              <w:top w:val="nil"/>
              <w:left w:val="nil"/>
              <w:bottom w:val="nil"/>
              <w:right w:val="nil"/>
            </w:tcBorders>
            <w:noWrap/>
            <w:vAlign w:val="center"/>
            <w:hideMark/>
          </w:tcPr>
          <w:p w14:paraId="0ACDFA06" w14:textId="77777777" w:rsidR="00582675" w:rsidRPr="0022670C" w:rsidRDefault="00582675" w:rsidP="00582675">
            <w:pPr>
              <w:spacing w:before="0" w:after="0"/>
              <w:jc w:val="center"/>
              <w:rPr>
                <w:rFonts w:ascii="Arial" w:hAnsi="Arial" w:cs="Arial"/>
                <w:sz w:val="16"/>
                <w:szCs w:val="16"/>
              </w:rPr>
            </w:pPr>
          </w:p>
        </w:tc>
      </w:tr>
      <w:tr w:rsidR="00582675" w:rsidRPr="0022670C" w14:paraId="3D65ADD6" w14:textId="77777777" w:rsidTr="00582675">
        <w:trPr>
          <w:trHeight w:val="500"/>
        </w:trPr>
        <w:tc>
          <w:tcPr>
            <w:tcW w:w="2694" w:type="dxa"/>
            <w:tcBorders>
              <w:top w:val="nil"/>
              <w:left w:val="nil"/>
              <w:bottom w:val="nil"/>
              <w:right w:val="nil"/>
            </w:tcBorders>
            <w:noWrap/>
            <w:vAlign w:val="center"/>
            <w:hideMark/>
          </w:tcPr>
          <w:p w14:paraId="07377C49" w14:textId="799DC205"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Loans and borrowings</w:t>
            </w:r>
          </w:p>
        </w:tc>
        <w:tc>
          <w:tcPr>
            <w:tcW w:w="2268" w:type="dxa"/>
            <w:tcBorders>
              <w:top w:val="nil"/>
              <w:left w:val="nil"/>
              <w:bottom w:val="nil"/>
              <w:right w:val="nil"/>
            </w:tcBorders>
            <w:vAlign w:val="center"/>
            <w:hideMark/>
          </w:tcPr>
          <w:p w14:paraId="76A7A893"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Interest bearing loans and borrowings / Rate revenue</w:t>
            </w:r>
          </w:p>
        </w:tc>
        <w:tc>
          <w:tcPr>
            <w:tcW w:w="1012" w:type="dxa"/>
            <w:tcBorders>
              <w:top w:val="nil"/>
              <w:left w:val="nil"/>
              <w:bottom w:val="nil"/>
              <w:right w:val="nil"/>
            </w:tcBorders>
            <w:noWrap/>
            <w:vAlign w:val="center"/>
            <w:hideMark/>
          </w:tcPr>
          <w:p w14:paraId="18FB081D" w14:textId="6A7E28DC"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14.3%</w:t>
            </w:r>
          </w:p>
        </w:tc>
        <w:tc>
          <w:tcPr>
            <w:tcW w:w="958" w:type="dxa"/>
            <w:tcBorders>
              <w:top w:val="nil"/>
              <w:left w:val="nil"/>
              <w:bottom w:val="nil"/>
              <w:right w:val="nil"/>
            </w:tcBorders>
            <w:noWrap/>
            <w:vAlign w:val="center"/>
            <w:hideMark/>
          </w:tcPr>
          <w:p w14:paraId="71730BFC" w14:textId="634D1E46"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25.1%</w:t>
            </w:r>
          </w:p>
        </w:tc>
        <w:tc>
          <w:tcPr>
            <w:tcW w:w="958" w:type="dxa"/>
            <w:tcBorders>
              <w:top w:val="nil"/>
              <w:left w:val="nil"/>
              <w:bottom w:val="nil"/>
              <w:right w:val="nil"/>
            </w:tcBorders>
            <w:noWrap/>
            <w:vAlign w:val="center"/>
            <w:hideMark/>
          </w:tcPr>
          <w:p w14:paraId="659FBF60" w14:textId="345ED885"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37.3%</w:t>
            </w:r>
          </w:p>
        </w:tc>
        <w:tc>
          <w:tcPr>
            <w:tcW w:w="958" w:type="dxa"/>
            <w:tcBorders>
              <w:top w:val="nil"/>
              <w:left w:val="nil"/>
              <w:bottom w:val="nil"/>
              <w:right w:val="nil"/>
            </w:tcBorders>
            <w:noWrap/>
            <w:vAlign w:val="center"/>
            <w:hideMark/>
          </w:tcPr>
          <w:p w14:paraId="3C7DB764" w14:textId="1FD76D7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46.2%</w:t>
            </w:r>
          </w:p>
        </w:tc>
        <w:tc>
          <w:tcPr>
            <w:tcW w:w="958" w:type="dxa"/>
            <w:tcBorders>
              <w:top w:val="nil"/>
              <w:left w:val="nil"/>
              <w:bottom w:val="nil"/>
              <w:right w:val="nil"/>
            </w:tcBorders>
            <w:noWrap/>
            <w:vAlign w:val="center"/>
            <w:hideMark/>
          </w:tcPr>
          <w:p w14:paraId="3DF15849" w14:textId="02C150A5"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54.3%</w:t>
            </w:r>
          </w:p>
        </w:tc>
        <w:tc>
          <w:tcPr>
            <w:tcW w:w="958" w:type="dxa"/>
            <w:tcBorders>
              <w:top w:val="nil"/>
              <w:left w:val="nil"/>
              <w:bottom w:val="nil"/>
              <w:right w:val="nil"/>
            </w:tcBorders>
            <w:noWrap/>
            <w:vAlign w:val="center"/>
            <w:hideMark/>
          </w:tcPr>
          <w:p w14:paraId="6ED4C401" w14:textId="16093714"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49.8%</w:t>
            </w:r>
          </w:p>
        </w:tc>
        <w:tc>
          <w:tcPr>
            <w:tcW w:w="958" w:type="dxa"/>
            <w:tcBorders>
              <w:top w:val="nil"/>
              <w:left w:val="nil"/>
              <w:bottom w:val="nil"/>
              <w:right w:val="nil"/>
            </w:tcBorders>
            <w:noWrap/>
            <w:vAlign w:val="center"/>
            <w:hideMark/>
          </w:tcPr>
          <w:p w14:paraId="7370523F" w14:textId="6706705E"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45.1%</w:t>
            </w:r>
          </w:p>
        </w:tc>
        <w:tc>
          <w:tcPr>
            <w:tcW w:w="958" w:type="dxa"/>
            <w:tcBorders>
              <w:top w:val="nil"/>
              <w:left w:val="nil"/>
              <w:bottom w:val="nil"/>
              <w:right w:val="nil"/>
            </w:tcBorders>
            <w:noWrap/>
            <w:vAlign w:val="center"/>
            <w:hideMark/>
          </w:tcPr>
          <w:p w14:paraId="37102CB4" w14:textId="2B2A5C71"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40.2%</w:t>
            </w:r>
          </w:p>
        </w:tc>
        <w:tc>
          <w:tcPr>
            <w:tcW w:w="958" w:type="dxa"/>
            <w:tcBorders>
              <w:top w:val="nil"/>
              <w:left w:val="nil"/>
              <w:bottom w:val="nil"/>
              <w:right w:val="nil"/>
            </w:tcBorders>
            <w:noWrap/>
            <w:vAlign w:val="center"/>
            <w:hideMark/>
          </w:tcPr>
          <w:p w14:paraId="028FCBF0" w14:textId="2CC278D1"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35.0%</w:t>
            </w:r>
          </w:p>
        </w:tc>
        <w:tc>
          <w:tcPr>
            <w:tcW w:w="958" w:type="dxa"/>
            <w:tcBorders>
              <w:top w:val="nil"/>
              <w:left w:val="nil"/>
              <w:bottom w:val="nil"/>
              <w:right w:val="nil"/>
            </w:tcBorders>
            <w:noWrap/>
            <w:vAlign w:val="center"/>
            <w:hideMark/>
          </w:tcPr>
          <w:p w14:paraId="618F61CB" w14:textId="432E7DEF"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29.6%</w:t>
            </w:r>
          </w:p>
        </w:tc>
        <w:tc>
          <w:tcPr>
            <w:tcW w:w="934" w:type="dxa"/>
            <w:tcBorders>
              <w:top w:val="nil"/>
              <w:left w:val="nil"/>
              <w:bottom w:val="nil"/>
              <w:right w:val="nil"/>
            </w:tcBorders>
            <w:noWrap/>
            <w:vAlign w:val="center"/>
            <w:hideMark/>
          </w:tcPr>
          <w:p w14:paraId="54A79E03" w14:textId="77777777"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w:t>
            </w:r>
          </w:p>
        </w:tc>
      </w:tr>
      <w:tr w:rsidR="00582675" w:rsidRPr="0022670C" w14:paraId="681812D4" w14:textId="77777777" w:rsidTr="00582675">
        <w:trPr>
          <w:trHeight w:val="1000"/>
        </w:trPr>
        <w:tc>
          <w:tcPr>
            <w:tcW w:w="2694" w:type="dxa"/>
            <w:tcBorders>
              <w:top w:val="nil"/>
              <w:left w:val="nil"/>
              <w:bottom w:val="nil"/>
              <w:right w:val="nil"/>
            </w:tcBorders>
            <w:noWrap/>
            <w:vAlign w:val="center"/>
            <w:hideMark/>
          </w:tcPr>
          <w:p w14:paraId="00CAAEEE" w14:textId="34292650"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 xml:space="preserve">Loans and borrowings payments </w:t>
            </w:r>
          </w:p>
        </w:tc>
        <w:tc>
          <w:tcPr>
            <w:tcW w:w="2268" w:type="dxa"/>
            <w:tcBorders>
              <w:top w:val="nil"/>
              <w:left w:val="nil"/>
              <w:bottom w:val="nil"/>
              <w:right w:val="nil"/>
            </w:tcBorders>
            <w:vAlign w:val="center"/>
            <w:hideMark/>
          </w:tcPr>
          <w:p w14:paraId="7AA59F2C"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Interest and principal repayments on interest bearing loans and borrowings / Rate revenue</w:t>
            </w:r>
          </w:p>
        </w:tc>
        <w:tc>
          <w:tcPr>
            <w:tcW w:w="1012" w:type="dxa"/>
            <w:tcBorders>
              <w:top w:val="nil"/>
              <w:left w:val="nil"/>
              <w:bottom w:val="nil"/>
              <w:right w:val="nil"/>
            </w:tcBorders>
            <w:noWrap/>
            <w:vAlign w:val="center"/>
            <w:hideMark/>
          </w:tcPr>
          <w:p w14:paraId="3ED85C76" w14:textId="093839A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9.8%</w:t>
            </w:r>
          </w:p>
        </w:tc>
        <w:tc>
          <w:tcPr>
            <w:tcW w:w="958" w:type="dxa"/>
            <w:tcBorders>
              <w:top w:val="nil"/>
              <w:left w:val="nil"/>
              <w:bottom w:val="nil"/>
              <w:right w:val="nil"/>
            </w:tcBorders>
            <w:noWrap/>
            <w:vAlign w:val="center"/>
            <w:hideMark/>
          </w:tcPr>
          <w:p w14:paraId="0D5FFB74" w14:textId="7A20E290"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1.8%</w:t>
            </w:r>
          </w:p>
        </w:tc>
        <w:tc>
          <w:tcPr>
            <w:tcW w:w="958" w:type="dxa"/>
            <w:tcBorders>
              <w:top w:val="nil"/>
              <w:left w:val="nil"/>
              <w:bottom w:val="nil"/>
              <w:right w:val="nil"/>
            </w:tcBorders>
            <w:noWrap/>
            <w:vAlign w:val="center"/>
            <w:hideMark/>
          </w:tcPr>
          <w:p w14:paraId="363E49CA" w14:textId="60065EB3"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3.3%</w:t>
            </w:r>
          </w:p>
        </w:tc>
        <w:tc>
          <w:tcPr>
            <w:tcW w:w="958" w:type="dxa"/>
            <w:tcBorders>
              <w:top w:val="nil"/>
              <w:left w:val="nil"/>
              <w:bottom w:val="nil"/>
              <w:right w:val="nil"/>
            </w:tcBorders>
            <w:noWrap/>
            <w:vAlign w:val="center"/>
            <w:hideMark/>
          </w:tcPr>
          <w:p w14:paraId="0EA18A26" w14:textId="1A25D68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5.1%</w:t>
            </w:r>
          </w:p>
        </w:tc>
        <w:tc>
          <w:tcPr>
            <w:tcW w:w="958" w:type="dxa"/>
            <w:tcBorders>
              <w:top w:val="nil"/>
              <w:left w:val="nil"/>
              <w:bottom w:val="nil"/>
              <w:right w:val="nil"/>
            </w:tcBorders>
            <w:noWrap/>
            <w:vAlign w:val="center"/>
            <w:hideMark/>
          </w:tcPr>
          <w:p w14:paraId="663D9D62" w14:textId="1E4BDB4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6.5%</w:t>
            </w:r>
          </w:p>
        </w:tc>
        <w:tc>
          <w:tcPr>
            <w:tcW w:w="958" w:type="dxa"/>
            <w:tcBorders>
              <w:top w:val="nil"/>
              <w:left w:val="nil"/>
              <w:bottom w:val="nil"/>
              <w:right w:val="nil"/>
            </w:tcBorders>
            <w:noWrap/>
            <w:vAlign w:val="center"/>
            <w:hideMark/>
          </w:tcPr>
          <w:p w14:paraId="64CBA0AD" w14:textId="403FEF83"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7.9%</w:t>
            </w:r>
          </w:p>
        </w:tc>
        <w:tc>
          <w:tcPr>
            <w:tcW w:w="958" w:type="dxa"/>
            <w:tcBorders>
              <w:top w:val="nil"/>
              <w:left w:val="nil"/>
              <w:bottom w:val="nil"/>
              <w:right w:val="nil"/>
            </w:tcBorders>
            <w:noWrap/>
            <w:vAlign w:val="center"/>
            <w:hideMark/>
          </w:tcPr>
          <w:p w14:paraId="72DFF226" w14:textId="3E086CB0"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8.0%</w:t>
            </w:r>
          </w:p>
        </w:tc>
        <w:tc>
          <w:tcPr>
            <w:tcW w:w="958" w:type="dxa"/>
            <w:tcBorders>
              <w:top w:val="nil"/>
              <w:left w:val="nil"/>
              <w:bottom w:val="nil"/>
              <w:right w:val="nil"/>
            </w:tcBorders>
            <w:noWrap/>
            <w:vAlign w:val="center"/>
            <w:hideMark/>
          </w:tcPr>
          <w:p w14:paraId="14598BD3" w14:textId="4864C58E"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8.1%</w:t>
            </w:r>
          </w:p>
        </w:tc>
        <w:tc>
          <w:tcPr>
            <w:tcW w:w="958" w:type="dxa"/>
            <w:tcBorders>
              <w:top w:val="nil"/>
              <w:left w:val="nil"/>
              <w:bottom w:val="nil"/>
              <w:right w:val="nil"/>
            </w:tcBorders>
            <w:noWrap/>
            <w:vAlign w:val="center"/>
            <w:hideMark/>
          </w:tcPr>
          <w:p w14:paraId="4A55E668" w14:textId="3F4F0D64"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8.1%</w:t>
            </w:r>
          </w:p>
        </w:tc>
        <w:tc>
          <w:tcPr>
            <w:tcW w:w="958" w:type="dxa"/>
            <w:tcBorders>
              <w:top w:val="nil"/>
              <w:left w:val="nil"/>
              <w:bottom w:val="nil"/>
              <w:right w:val="nil"/>
            </w:tcBorders>
            <w:noWrap/>
            <w:vAlign w:val="center"/>
            <w:hideMark/>
          </w:tcPr>
          <w:p w14:paraId="5C750BEE" w14:textId="594545D0"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8.2%</w:t>
            </w:r>
          </w:p>
        </w:tc>
        <w:tc>
          <w:tcPr>
            <w:tcW w:w="934" w:type="dxa"/>
            <w:tcBorders>
              <w:top w:val="nil"/>
              <w:left w:val="nil"/>
              <w:bottom w:val="nil"/>
              <w:right w:val="nil"/>
            </w:tcBorders>
            <w:noWrap/>
            <w:vAlign w:val="center"/>
            <w:hideMark/>
          </w:tcPr>
          <w:p w14:paraId="115795BC" w14:textId="77777777"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o</w:t>
            </w:r>
          </w:p>
        </w:tc>
      </w:tr>
      <w:tr w:rsidR="00582675" w:rsidRPr="0022670C" w14:paraId="158995B4" w14:textId="77777777" w:rsidTr="00582675">
        <w:trPr>
          <w:trHeight w:val="500"/>
        </w:trPr>
        <w:tc>
          <w:tcPr>
            <w:tcW w:w="2694" w:type="dxa"/>
            <w:tcBorders>
              <w:top w:val="nil"/>
              <w:left w:val="nil"/>
              <w:bottom w:val="nil"/>
              <w:right w:val="nil"/>
            </w:tcBorders>
            <w:noWrap/>
            <w:vAlign w:val="center"/>
            <w:hideMark/>
          </w:tcPr>
          <w:p w14:paraId="7E973E6E" w14:textId="29AFA581"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lastRenderedPageBreak/>
              <w:t xml:space="preserve">Indebtedness </w:t>
            </w:r>
          </w:p>
        </w:tc>
        <w:tc>
          <w:tcPr>
            <w:tcW w:w="2268" w:type="dxa"/>
            <w:tcBorders>
              <w:top w:val="nil"/>
              <w:left w:val="nil"/>
              <w:bottom w:val="nil"/>
              <w:right w:val="nil"/>
            </w:tcBorders>
            <w:vAlign w:val="center"/>
            <w:hideMark/>
          </w:tcPr>
          <w:p w14:paraId="0B4305FD"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Non-current liabilities / Own source revenue</w:t>
            </w:r>
          </w:p>
        </w:tc>
        <w:tc>
          <w:tcPr>
            <w:tcW w:w="1012" w:type="dxa"/>
            <w:tcBorders>
              <w:top w:val="nil"/>
              <w:left w:val="nil"/>
              <w:bottom w:val="nil"/>
              <w:right w:val="nil"/>
            </w:tcBorders>
            <w:noWrap/>
            <w:vAlign w:val="center"/>
            <w:hideMark/>
          </w:tcPr>
          <w:p w14:paraId="2549707C" w14:textId="387A071C"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17.5%</w:t>
            </w:r>
          </w:p>
        </w:tc>
        <w:tc>
          <w:tcPr>
            <w:tcW w:w="958" w:type="dxa"/>
            <w:tcBorders>
              <w:top w:val="nil"/>
              <w:left w:val="nil"/>
              <w:bottom w:val="nil"/>
              <w:right w:val="nil"/>
            </w:tcBorders>
            <w:noWrap/>
            <w:vAlign w:val="center"/>
            <w:hideMark/>
          </w:tcPr>
          <w:p w14:paraId="0D6D1A05" w14:textId="1DFBB70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25.5%</w:t>
            </w:r>
          </w:p>
        </w:tc>
        <w:tc>
          <w:tcPr>
            <w:tcW w:w="958" w:type="dxa"/>
            <w:tcBorders>
              <w:top w:val="nil"/>
              <w:left w:val="nil"/>
              <w:bottom w:val="nil"/>
              <w:right w:val="nil"/>
            </w:tcBorders>
            <w:noWrap/>
            <w:vAlign w:val="center"/>
            <w:hideMark/>
          </w:tcPr>
          <w:p w14:paraId="2D8BE48B" w14:textId="7C262228"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34.6%</w:t>
            </w:r>
          </w:p>
        </w:tc>
        <w:tc>
          <w:tcPr>
            <w:tcW w:w="958" w:type="dxa"/>
            <w:tcBorders>
              <w:top w:val="nil"/>
              <w:left w:val="nil"/>
              <w:bottom w:val="nil"/>
              <w:right w:val="nil"/>
            </w:tcBorders>
            <w:noWrap/>
            <w:vAlign w:val="center"/>
            <w:hideMark/>
          </w:tcPr>
          <w:p w14:paraId="6ACB8135" w14:textId="42B3EBB3"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41.0%</w:t>
            </w:r>
          </w:p>
        </w:tc>
        <w:tc>
          <w:tcPr>
            <w:tcW w:w="958" w:type="dxa"/>
            <w:tcBorders>
              <w:top w:val="nil"/>
              <w:left w:val="nil"/>
              <w:bottom w:val="nil"/>
              <w:right w:val="nil"/>
            </w:tcBorders>
            <w:noWrap/>
            <w:vAlign w:val="center"/>
            <w:hideMark/>
          </w:tcPr>
          <w:p w14:paraId="1C28D0DB" w14:textId="6272516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47.1%</w:t>
            </w:r>
          </w:p>
        </w:tc>
        <w:tc>
          <w:tcPr>
            <w:tcW w:w="958" w:type="dxa"/>
            <w:tcBorders>
              <w:top w:val="nil"/>
              <w:left w:val="nil"/>
              <w:bottom w:val="nil"/>
              <w:right w:val="nil"/>
            </w:tcBorders>
            <w:noWrap/>
            <w:vAlign w:val="center"/>
            <w:hideMark/>
          </w:tcPr>
          <w:p w14:paraId="64E12C1C" w14:textId="2CBAEAF0"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43.0%</w:t>
            </w:r>
          </w:p>
        </w:tc>
        <w:tc>
          <w:tcPr>
            <w:tcW w:w="958" w:type="dxa"/>
            <w:tcBorders>
              <w:top w:val="nil"/>
              <w:left w:val="nil"/>
              <w:bottom w:val="nil"/>
              <w:right w:val="nil"/>
            </w:tcBorders>
            <w:noWrap/>
            <w:vAlign w:val="center"/>
            <w:hideMark/>
          </w:tcPr>
          <w:p w14:paraId="2D66241C" w14:textId="6BC142D4"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38.6%</w:t>
            </w:r>
          </w:p>
        </w:tc>
        <w:tc>
          <w:tcPr>
            <w:tcW w:w="958" w:type="dxa"/>
            <w:tcBorders>
              <w:top w:val="nil"/>
              <w:left w:val="nil"/>
              <w:bottom w:val="nil"/>
              <w:right w:val="nil"/>
            </w:tcBorders>
            <w:noWrap/>
            <w:vAlign w:val="center"/>
            <w:hideMark/>
          </w:tcPr>
          <w:p w14:paraId="42841C44" w14:textId="23AF144E"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34.0%</w:t>
            </w:r>
          </w:p>
        </w:tc>
        <w:tc>
          <w:tcPr>
            <w:tcW w:w="958" w:type="dxa"/>
            <w:tcBorders>
              <w:top w:val="nil"/>
              <w:left w:val="nil"/>
              <w:bottom w:val="nil"/>
              <w:right w:val="nil"/>
            </w:tcBorders>
            <w:noWrap/>
            <w:vAlign w:val="center"/>
            <w:hideMark/>
          </w:tcPr>
          <w:p w14:paraId="613D2B3A" w14:textId="47BA7CC8"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29.1%</w:t>
            </w:r>
          </w:p>
        </w:tc>
        <w:tc>
          <w:tcPr>
            <w:tcW w:w="958" w:type="dxa"/>
            <w:tcBorders>
              <w:top w:val="nil"/>
              <w:left w:val="nil"/>
              <w:bottom w:val="nil"/>
              <w:right w:val="nil"/>
            </w:tcBorders>
            <w:noWrap/>
            <w:vAlign w:val="center"/>
            <w:hideMark/>
          </w:tcPr>
          <w:p w14:paraId="02B037B3" w14:textId="573646C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24.1%</w:t>
            </w:r>
          </w:p>
        </w:tc>
        <w:tc>
          <w:tcPr>
            <w:tcW w:w="934" w:type="dxa"/>
            <w:tcBorders>
              <w:top w:val="nil"/>
              <w:left w:val="nil"/>
              <w:bottom w:val="nil"/>
              <w:right w:val="nil"/>
            </w:tcBorders>
            <w:noWrap/>
            <w:vAlign w:val="center"/>
            <w:hideMark/>
          </w:tcPr>
          <w:p w14:paraId="3D558985" w14:textId="77777777"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w:t>
            </w:r>
          </w:p>
        </w:tc>
      </w:tr>
      <w:tr w:rsidR="00582675" w:rsidRPr="0022670C" w14:paraId="52DDA89C" w14:textId="77777777" w:rsidTr="00582675">
        <w:trPr>
          <w:trHeight w:val="500"/>
        </w:trPr>
        <w:tc>
          <w:tcPr>
            <w:tcW w:w="2694" w:type="dxa"/>
            <w:tcBorders>
              <w:top w:val="nil"/>
              <w:left w:val="nil"/>
              <w:bottom w:val="nil"/>
              <w:right w:val="nil"/>
            </w:tcBorders>
            <w:noWrap/>
            <w:vAlign w:val="center"/>
            <w:hideMark/>
          </w:tcPr>
          <w:p w14:paraId="5A40D176" w14:textId="3435D111"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Asset renewal and upgrade</w:t>
            </w:r>
          </w:p>
        </w:tc>
        <w:tc>
          <w:tcPr>
            <w:tcW w:w="2268" w:type="dxa"/>
            <w:tcBorders>
              <w:top w:val="nil"/>
              <w:left w:val="nil"/>
              <w:bottom w:val="nil"/>
              <w:right w:val="nil"/>
            </w:tcBorders>
            <w:vAlign w:val="center"/>
            <w:hideMark/>
          </w:tcPr>
          <w:p w14:paraId="03B0891E"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Asset renewal and upgrade / Depreciation</w:t>
            </w:r>
          </w:p>
        </w:tc>
        <w:tc>
          <w:tcPr>
            <w:tcW w:w="1012" w:type="dxa"/>
            <w:tcBorders>
              <w:top w:val="nil"/>
              <w:left w:val="nil"/>
              <w:bottom w:val="nil"/>
              <w:right w:val="nil"/>
            </w:tcBorders>
            <w:noWrap/>
            <w:vAlign w:val="center"/>
            <w:hideMark/>
          </w:tcPr>
          <w:p w14:paraId="2688F0EF" w14:textId="2A2DE12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129.4%</w:t>
            </w:r>
          </w:p>
        </w:tc>
        <w:tc>
          <w:tcPr>
            <w:tcW w:w="958" w:type="dxa"/>
            <w:tcBorders>
              <w:top w:val="nil"/>
              <w:left w:val="nil"/>
              <w:bottom w:val="nil"/>
              <w:right w:val="nil"/>
            </w:tcBorders>
            <w:noWrap/>
            <w:vAlign w:val="center"/>
            <w:hideMark/>
          </w:tcPr>
          <w:p w14:paraId="6E8FBAAB" w14:textId="744C17A1"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170.6%</w:t>
            </w:r>
          </w:p>
        </w:tc>
        <w:tc>
          <w:tcPr>
            <w:tcW w:w="958" w:type="dxa"/>
            <w:tcBorders>
              <w:top w:val="nil"/>
              <w:left w:val="nil"/>
              <w:bottom w:val="nil"/>
              <w:right w:val="nil"/>
            </w:tcBorders>
            <w:noWrap/>
            <w:vAlign w:val="center"/>
            <w:hideMark/>
          </w:tcPr>
          <w:p w14:paraId="1AF914A8" w14:textId="1D82250E"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161.1%</w:t>
            </w:r>
          </w:p>
        </w:tc>
        <w:tc>
          <w:tcPr>
            <w:tcW w:w="958" w:type="dxa"/>
            <w:tcBorders>
              <w:top w:val="nil"/>
              <w:left w:val="nil"/>
              <w:bottom w:val="nil"/>
              <w:right w:val="nil"/>
            </w:tcBorders>
            <w:noWrap/>
            <w:vAlign w:val="center"/>
            <w:hideMark/>
          </w:tcPr>
          <w:p w14:paraId="609A1F1C" w14:textId="7DD1A8E7"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138.9%</w:t>
            </w:r>
          </w:p>
        </w:tc>
        <w:tc>
          <w:tcPr>
            <w:tcW w:w="958" w:type="dxa"/>
            <w:tcBorders>
              <w:top w:val="nil"/>
              <w:left w:val="nil"/>
              <w:bottom w:val="nil"/>
              <w:right w:val="nil"/>
            </w:tcBorders>
            <w:noWrap/>
            <w:vAlign w:val="center"/>
            <w:hideMark/>
          </w:tcPr>
          <w:p w14:paraId="13A86A37" w14:textId="771DA8F1"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150.6%</w:t>
            </w:r>
          </w:p>
        </w:tc>
        <w:tc>
          <w:tcPr>
            <w:tcW w:w="958" w:type="dxa"/>
            <w:tcBorders>
              <w:top w:val="nil"/>
              <w:left w:val="nil"/>
              <w:bottom w:val="nil"/>
              <w:right w:val="nil"/>
            </w:tcBorders>
            <w:noWrap/>
            <w:vAlign w:val="center"/>
            <w:hideMark/>
          </w:tcPr>
          <w:p w14:paraId="3EFF68D1" w14:textId="05B7DBDF"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127.7%</w:t>
            </w:r>
          </w:p>
        </w:tc>
        <w:tc>
          <w:tcPr>
            <w:tcW w:w="958" w:type="dxa"/>
            <w:tcBorders>
              <w:top w:val="nil"/>
              <w:left w:val="nil"/>
              <w:bottom w:val="nil"/>
              <w:right w:val="nil"/>
            </w:tcBorders>
            <w:noWrap/>
            <w:vAlign w:val="center"/>
            <w:hideMark/>
          </w:tcPr>
          <w:p w14:paraId="6764F38A" w14:textId="6FCC23B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124.1%</w:t>
            </w:r>
          </w:p>
        </w:tc>
        <w:tc>
          <w:tcPr>
            <w:tcW w:w="958" w:type="dxa"/>
            <w:tcBorders>
              <w:top w:val="nil"/>
              <w:left w:val="nil"/>
              <w:bottom w:val="nil"/>
              <w:right w:val="nil"/>
            </w:tcBorders>
            <w:noWrap/>
            <w:vAlign w:val="center"/>
            <w:hideMark/>
          </w:tcPr>
          <w:p w14:paraId="26DFD844" w14:textId="73E2688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122.2%</w:t>
            </w:r>
          </w:p>
        </w:tc>
        <w:tc>
          <w:tcPr>
            <w:tcW w:w="958" w:type="dxa"/>
            <w:tcBorders>
              <w:top w:val="nil"/>
              <w:left w:val="nil"/>
              <w:bottom w:val="nil"/>
              <w:right w:val="nil"/>
            </w:tcBorders>
            <w:noWrap/>
            <w:vAlign w:val="center"/>
            <w:hideMark/>
          </w:tcPr>
          <w:p w14:paraId="74786817" w14:textId="41653E3F"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118.7%</w:t>
            </w:r>
          </w:p>
        </w:tc>
        <w:tc>
          <w:tcPr>
            <w:tcW w:w="958" w:type="dxa"/>
            <w:tcBorders>
              <w:top w:val="nil"/>
              <w:left w:val="nil"/>
              <w:bottom w:val="nil"/>
              <w:right w:val="nil"/>
            </w:tcBorders>
            <w:noWrap/>
            <w:vAlign w:val="center"/>
            <w:hideMark/>
          </w:tcPr>
          <w:p w14:paraId="4A3E2DD2" w14:textId="1A0B668C"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114.7%</w:t>
            </w:r>
          </w:p>
        </w:tc>
        <w:tc>
          <w:tcPr>
            <w:tcW w:w="934" w:type="dxa"/>
            <w:tcBorders>
              <w:top w:val="nil"/>
              <w:left w:val="nil"/>
              <w:bottom w:val="nil"/>
              <w:right w:val="nil"/>
            </w:tcBorders>
            <w:noWrap/>
            <w:vAlign w:val="center"/>
            <w:hideMark/>
          </w:tcPr>
          <w:p w14:paraId="4E70A7AE" w14:textId="77777777"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w:t>
            </w:r>
          </w:p>
        </w:tc>
      </w:tr>
      <w:tr w:rsidR="00582675" w:rsidRPr="0022670C" w14:paraId="2B9458E9" w14:textId="77777777" w:rsidTr="00582675">
        <w:trPr>
          <w:trHeight w:val="250"/>
        </w:trPr>
        <w:tc>
          <w:tcPr>
            <w:tcW w:w="2694" w:type="dxa"/>
            <w:tcBorders>
              <w:top w:val="nil"/>
              <w:left w:val="nil"/>
              <w:bottom w:val="nil"/>
              <w:right w:val="nil"/>
            </w:tcBorders>
            <w:noWrap/>
            <w:vAlign w:val="center"/>
            <w:hideMark/>
          </w:tcPr>
          <w:p w14:paraId="1C9A3FD1" w14:textId="77777777" w:rsidR="00582675" w:rsidRPr="0022670C" w:rsidRDefault="00582675" w:rsidP="00582675">
            <w:pPr>
              <w:spacing w:before="0" w:after="0"/>
              <w:rPr>
                <w:rFonts w:ascii="Arial" w:hAnsi="Arial" w:cs="Arial"/>
                <w:b/>
                <w:bCs/>
                <w:color w:val="000000"/>
                <w:sz w:val="16"/>
                <w:szCs w:val="16"/>
              </w:rPr>
            </w:pPr>
            <w:r w:rsidRPr="0022670C">
              <w:rPr>
                <w:rFonts w:ascii="Arial" w:hAnsi="Arial" w:cs="Arial"/>
                <w:b/>
                <w:bCs/>
                <w:color w:val="000000"/>
                <w:sz w:val="16"/>
                <w:szCs w:val="16"/>
              </w:rPr>
              <w:t>Stability</w:t>
            </w:r>
          </w:p>
        </w:tc>
        <w:tc>
          <w:tcPr>
            <w:tcW w:w="2268" w:type="dxa"/>
            <w:tcBorders>
              <w:top w:val="nil"/>
              <w:left w:val="nil"/>
              <w:bottom w:val="nil"/>
              <w:right w:val="nil"/>
            </w:tcBorders>
            <w:vAlign w:val="center"/>
            <w:hideMark/>
          </w:tcPr>
          <w:p w14:paraId="648EF1EA" w14:textId="77777777" w:rsidR="00582675" w:rsidRPr="0022670C" w:rsidRDefault="00582675" w:rsidP="00582675">
            <w:pPr>
              <w:spacing w:before="0" w:after="0"/>
              <w:rPr>
                <w:rFonts w:ascii="Arial" w:hAnsi="Arial" w:cs="Arial"/>
                <w:b/>
                <w:bCs/>
                <w:color w:val="000000"/>
                <w:sz w:val="16"/>
                <w:szCs w:val="16"/>
              </w:rPr>
            </w:pPr>
          </w:p>
        </w:tc>
        <w:tc>
          <w:tcPr>
            <w:tcW w:w="1012" w:type="dxa"/>
            <w:tcBorders>
              <w:top w:val="nil"/>
              <w:left w:val="nil"/>
              <w:bottom w:val="nil"/>
              <w:right w:val="nil"/>
            </w:tcBorders>
            <w:noWrap/>
            <w:vAlign w:val="center"/>
            <w:hideMark/>
          </w:tcPr>
          <w:p w14:paraId="5AE398AA"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686498DB"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649075C"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6AAC53A6"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011F1A0"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B6F7DA9"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F34A404"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218535C0"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0E6BC9D0"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5829F9D7" w14:textId="77777777" w:rsidR="00582675" w:rsidRPr="0022670C" w:rsidRDefault="00582675" w:rsidP="00582675">
            <w:pPr>
              <w:spacing w:before="0" w:after="0"/>
              <w:jc w:val="right"/>
              <w:rPr>
                <w:rFonts w:ascii="Arial" w:hAnsi="Arial" w:cs="Arial"/>
                <w:sz w:val="16"/>
                <w:szCs w:val="16"/>
              </w:rPr>
            </w:pPr>
          </w:p>
        </w:tc>
        <w:tc>
          <w:tcPr>
            <w:tcW w:w="934" w:type="dxa"/>
            <w:tcBorders>
              <w:top w:val="nil"/>
              <w:left w:val="nil"/>
              <w:bottom w:val="nil"/>
              <w:right w:val="nil"/>
            </w:tcBorders>
            <w:noWrap/>
            <w:vAlign w:val="center"/>
            <w:hideMark/>
          </w:tcPr>
          <w:p w14:paraId="5D629FAB" w14:textId="77777777" w:rsidR="00582675" w:rsidRPr="0022670C" w:rsidRDefault="00582675" w:rsidP="00582675">
            <w:pPr>
              <w:spacing w:before="0" w:after="0"/>
              <w:jc w:val="center"/>
              <w:rPr>
                <w:rFonts w:ascii="Arial" w:hAnsi="Arial" w:cs="Arial"/>
                <w:sz w:val="16"/>
                <w:szCs w:val="16"/>
              </w:rPr>
            </w:pPr>
          </w:p>
        </w:tc>
      </w:tr>
      <w:tr w:rsidR="00582675" w:rsidRPr="0022670C" w14:paraId="2032A579" w14:textId="77777777" w:rsidTr="00582675">
        <w:trPr>
          <w:trHeight w:val="500"/>
        </w:trPr>
        <w:tc>
          <w:tcPr>
            <w:tcW w:w="2694" w:type="dxa"/>
            <w:tcBorders>
              <w:top w:val="nil"/>
              <w:left w:val="nil"/>
              <w:bottom w:val="nil"/>
              <w:right w:val="nil"/>
            </w:tcBorders>
            <w:noWrap/>
            <w:vAlign w:val="center"/>
            <w:hideMark/>
          </w:tcPr>
          <w:p w14:paraId="7523AACC" w14:textId="5FE1E2F0"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Rates concentration</w:t>
            </w:r>
          </w:p>
        </w:tc>
        <w:tc>
          <w:tcPr>
            <w:tcW w:w="2268" w:type="dxa"/>
            <w:tcBorders>
              <w:top w:val="nil"/>
              <w:left w:val="nil"/>
              <w:bottom w:val="nil"/>
              <w:right w:val="nil"/>
            </w:tcBorders>
            <w:vAlign w:val="center"/>
            <w:hideMark/>
          </w:tcPr>
          <w:p w14:paraId="745C513D"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Rate revenue / Adjusted underlying revenue</w:t>
            </w:r>
          </w:p>
        </w:tc>
        <w:tc>
          <w:tcPr>
            <w:tcW w:w="1012" w:type="dxa"/>
            <w:tcBorders>
              <w:top w:val="nil"/>
              <w:left w:val="nil"/>
              <w:bottom w:val="nil"/>
              <w:right w:val="nil"/>
            </w:tcBorders>
            <w:noWrap/>
            <w:vAlign w:val="center"/>
            <w:hideMark/>
          </w:tcPr>
          <w:p w14:paraId="14A57831" w14:textId="6FACC6E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70.2%</w:t>
            </w:r>
          </w:p>
        </w:tc>
        <w:tc>
          <w:tcPr>
            <w:tcW w:w="958" w:type="dxa"/>
            <w:tcBorders>
              <w:top w:val="nil"/>
              <w:left w:val="nil"/>
              <w:bottom w:val="nil"/>
              <w:right w:val="nil"/>
            </w:tcBorders>
            <w:noWrap/>
            <w:vAlign w:val="center"/>
            <w:hideMark/>
          </w:tcPr>
          <w:p w14:paraId="2B0099FD" w14:textId="172E1230"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75.8%</w:t>
            </w:r>
          </w:p>
        </w:tc>
        <w:tc>
          <w:tcPr>
            <w:tcW w:w="958" w:type="dxa"/>
            <w:tcBorders>
              <w:top w:val="nil"/>
              <w:left w:val="nil"/>
              <w:bottom w:val="nil"/>
              <w:right w:val="nil"/>
            </w:tcBorders>
            <w:noWrap/>
            <w:vAlign w:val="center"/>
            <w:hideMark/>
          </w:tcPr>
          <w:p w14:paraId="51203C80" w14:textId="0CD9D49A"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76.2%</w:t>
            </w:r>
          </w:p>
        </w:tc>
        <w:tc>
          <w:tcPr>
            <w:tcW w:w="958" w:type="dxa"/>
            <w:tcBorders>
              <w:top w:val="nil"/>
              <w:left w:val="nil"/>
              <w:bottom w:val="nil"/>
              <w:right w:val="nil"/>
            </w:tcBorders>
            <w:noWrap/>
            <w:vAlign w:val="center"/>
            <w:hideMark/>
          </w:tcPr>
          <w:p w14:paraId="5CBDE02D" w14:textId="5B4B9EBE"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76.7%</w:t>
            </w:r>
          </w:p>
        </w:tc>
        <w:tc>
          <w:tcPr>
            <w:tcW w:w="958" w:type="dxa"/>
            <w:tcBorders>
              <w:top w:val="nil"/>
              <w:left w:val="nil"/>
              <w:bottom w:val="nil"/>
              <w:right w:val="nil"/>
            </w:tcBorders>
            <w:noWrap/>
            <w:vAlign w:val="center"/>
            <w:hideMark/>
          </w:tcPr>
          <w:p w14:paraId="7B4E0AD7" w14:textId="7F816688"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77.3%</w:t>
            </w:r>
          </w:p>
        </w:tc>
        <w:tc>
          <w:tcPr>
            <w:tcW w:w="958" w:type="dxa"/>
            <w:tcBorders>
              <w:top w:val="nil"/>
              <w:left w:val="nil"/>
              <w:bottom w:val="nil"/>
              <w:right w:val="nil"/>
            </w:tcBorders>
            <w:noWrap/>
            <w:vAlign w:val="center"/>
            <w:hideMark/>
          </w:tcPr>
          <w:p w14:paraId="7C02DAE7" w14:textId="2877D218"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77.6%</w:t>
            </w:r>
          </w:p>
        </w:tc>
        <w:tc>
          <w:tcPr>
            <w:tcW w:w="958" w:type="dxa"/>
            <w:tcBorders>
              <w:top w:val="nil"/>
              <w:left w:val="nil"/>
              <w:bottom w:val="nil"/>
              <w:right w:val="nil"/>
            </w:tcBorders>
            <w:noWrap/>
            <w:vAlign w:val="center"/>
            <w:hideMark/>
          </w:tcPr>
          <w:p w14:paraId="1494D96A" w14:textId="4967FFA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77.9%</w:t>
            </w:r>
          </w:p>
        </w:tc>
        <w:tc>
          <w:tcPr>
            <w:tcW w:w="958" w:type="dxa"/>
            <w:tcBorders>
              <w:top w:val="nil"/>
              <w:left w:val="nil"/>
              <w:bottom w:val="nil"/>
              <w:right w:val="nil"/>
            </w:tcBorders>
            <w:noWrap/>
            <w:vAlign w:val="center"/>
            <w:hideMark/>
          </w:tcPr>
          <w:p w14:paraId="2D6576F9" w14:textId="56F812F7"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78.2%</w:t>
            </w:r>
          </w:p>
        </w:tc>
        <w:tc>
          <w:tcPr>
            <w:tcW w:w="958" w:type="dxa"/>
            <w:tcBorders>
              <w:top w:val="nil"/>
              <w:left w:val="nil"/>
              <w:bottom w:val="nil"/>
              <w:right w:val="nil"/>
            </w:tcBorders>
            <w:noWrap/>
            <w:vAlign w:val="center"/>
            <w:hideMark/>
          </w:tcPr>
          <w:p w14:paraId="28920287" w14:textId="3E5206E5"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78.6%</w:t>
            </w:r>
          </w:p>
        </w:tc>
        <w:tc>
          <w:tcPr>
            <w:tcW w:w="958" w:type="dxa"/>
            <w:tcBorders>
              <w:top w:val="nil"/>
              <w:left w:val="nil"/>
              <w:bottom w:val="nil"/>
              <w:right w:val="nil"/>
            </w:tcBorders>
            <w:noWrap/>
            <w:vAlign w:val="center"/>
            <w:hideMark/>
          </w:tcPr>
          <w:p w14:paraId="0477C73E" w14:textId="7031130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78.9%</w:t>
            </w:r>
          </w:p>
        </w:tc>
        <w:tc>
          <w:tcPr>
            <w:tcW w:w="934" w:type="dxa"/>
            <w:tcBorders>
              <w:top w:val="nil"/>
              <w:left w:val="nil"/>
              <w:bottom w:val="nil"/>
              <w:right w:val="nil"/>
            </w:tcBorders>
            <w:noWrap/>
            <w:vAlign w:val="center"/>
            <w:hideMark/>
          </w:tcPr>
          <w:p w14:paraId="022352F8" w14:textId="77777777"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o</w:t>
            </w:r>
          </w:p>
        </w:tc>
      </w:tr>
      <w:tr w:rsidR="00582675" w:rsidRPr="0022670C" w14:paraId="591D2B38" w14:textId="77777777" w:rsidTr="00582675">
        <w:trPr>
          <w:trHeight w:val="750"/>
        </w:trPr>
        <w:tc>
          <w:tcPr>
            <w:tcW w:w="2694" w:type="dxa"/>
            <w:tcBorders>
              <w:top w:val="nil"/>
              <w:left w:val="nil"/>
              <w:bottom w:val="nil"/>
              <w:right w:val="nil"/>
            </w:tcBorders>
            <w:noWrap/>
            <w:vAlign w:val="center"/>
            <w:hideMark/>
          </w:tcPr>
          <w:p w14:paraId="5202E155" w14:textId="64BF4051"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Rates effort</w:t>
            </w:r>
          </w:p>
        </w:tc>
        <w:tc>
          <w:tcPr>
            <w:tcW w:w="2268" w:type="dxa"/>
            <w:tcBorders>
              <w:top w:val="nil"/>
              <w:left w:val="nil"/>
              <w:bottom w:val="nil"/>
              <w:right w:val="nil"/>
            </w:tcBorders>
            <w:vAlign w:val="center"/>
            <w:hideMark/>
          </w:tcPr>
          <w:p w14:paraId="538B6A92"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Rate revenue / CIV of rateable properties in the municipality</w:t>
            </w:r>
          </w:p>
        </w:tc>
        <w:tc>
          <w:tcPr>
            <w:tcW w:w="1012" w:type="dxa"/>
            <w:tcBorders>
              <w:top w:val="nil"/>
              <w:left w:val="nil"/>
              <w:bottom w:val="nil"/>
              <w:right w:val="nil"/>
            </w:tcBorders>
            <w:noWrap/>
            <w:vAlign w:val="center"/>
            <w:hideMark/>
          </w:tcPr>
          <w:p w14:paraId="26844413" w14:textId="26F960C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58" w:type="dxa"/>
            <w:tcBorders>
              <w:top w:val="nil"/>
              <w:left w:val="nil"/>
              <w:bottom w:val="nil"/>
              <w:right w:val="nil"/>
            </w:tcBorders>
            <w:noWrap/>
            <w:vAlign w:val="center"/>
            <w:hideMark/>
          </w:tcPr>
          <w:p w14:paraId="3B3448FF" w14:textId="06D47EF0"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58" w:type="dxa"/>
            <w:tcBorders>
              <w:top w:val="nil"/>
              <w:left w:val="nil"/>
              <w:bottom w:val="nil"/>
              <w:right w:val="nil"/>
            </w:tcBorders>
            <w:noWrap/>
            <w:vAlign w:val="center"/>
            <w:hideMark/>
          </w:tcPr>
          <w:p w14:paraId="5FE12C09" w14:textId="77B2FB7C"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58" w:type="dxa"/>
            <w:tcBorders>
              <w:top w:val="nil"/>
              <w:left w:val="nil"/>
              <w:bottom w:val="nil"/>
              <w:right w:val="nil"/>
            </w:tcBorders>
            <w:noWrap/>
            <w:vAlign w:val="center"/>
            <w:hideMark/>
          </w:tcPr>
          <w:p w14:paraId="5C634775" w14:textId="0661A10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58" w:type="dxa"/>
            <w:tcBorders>
              <w:top w:val="nil"/>
              <w:left w:val="nil"/>
              <w:bottom w:val="nil"/>
              <w:right w:val="nil"/>
            </w:tcBorders>
            <w:noWrap/>
            <w:vAlign w:val="center"/>
            <w:hideMark/>
          </w:tcPr>
          <w:p w14:paraId="67B94CD0" w14:textId="1215A848"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58" w:type="dxa"/>
            <w:tcBorders>
              <w:top w:val="nil"/>
              <w:left w:val="nil"/>
              <w:bottom w:val="nil"/>
              <w:right w:val="nil"/>
            </w:tcBorders>
            <w:noWrap/>
            <w:vAlign w:val="center"/>
            <w:hideMark/>
          </w:tcPr>
          <w:p w14:paraId="4AC4A453" w14:textId="78ABB95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58" w:type="dxa"/>
            <w:tcBorders>
              <w:top w:val="nil"/>
              <w:left w:val="nil"/>
              <w:bottom w:val="nil"/>
              <w:right w:val="nil"/>
            </w:tcBorders>
            <w:noWrap/>
            <w:vAlign w:val="center"/>
            <w:hideMark/>
          </w:tcPr>
          <w:p w14:paraId="74E0D90B" w14:textId="72D8914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58" w:type="dxa"/>
            <w:tcBorders>
              <w:top w:val="nil"/>
              <w:left w:val="nil"/>
              <w:bottom w:val="nil"/>
              <w:right w:val="nil"/>
            </w:tcBorders>
            <w:noWrap/>
            <w:vAlign w:val="center"/>
            <w:hideMark/>
          </w:tcPr>
          <w:p w14:paraId="70F3737A" w14:textId="13960304"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58" w:type="dxa"/>
            <w:tcBorders>
              <w:top w:val="nil"/>
              <w:left w:val="nil"/>
              <w:bottom w:val="nil"/>
              <w:right w:val="nil"/>
            </w:tcBorders>
            <w:noWrap/>
            <w:vAlign w:val="center"/>
            <w:hideMark/>
          </w:tcPr>
          <w:p w14:paraId="46A21285" w14:textId="487FD9C9"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58" w:type="dxa"/>
            <w:tcBorders>
              <w:top w:val="nil"/>
              <w:left w:val="nil"/>
              <w:bottom w:val="nil"/>
              <w:right w:val="nil"/>
            </w:tcBorders>
            <w:noWrap/>
            <w:vAlign w:val="center"/>
            <w:hideMark/>
          </w:tcPr>
          <w:p w14:paraId="52AD5441" w14:textId="10D446BC"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0.3%</w:t>
            </w:r>
          </w:p>
        </w:tc>
        <w:tc>
          <w:tcPr>
            <w:tcW w:w="934" w:type="dxa"/>
            <w:tcBorders>
              <w:top w:val="nil"/>
              <w:left w:val="nil"/>
              <w:bottom w:val="nil"/>
              <w:right w:val="nil"/>
            </w:tcBorders>
            <w:noWrap/>
            <w:vAlign w:val="center"/>
            <w:hideMark/>
          </w:tcPr>
          <w:p w14:paraId="5E861695" w14:textId="77777777"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o</w:t>
            </w:r>
          </w:p>
        </w:tc>
      </w:tr>
      <w:tr w:rsidR="00582675" w:rsidRPr="0022670C" w14:paraId="74165558" w14:textId="77777777" w:rsidTr="00582675">
        <w:trPr>
          <w:trHeight w:val="250"/>
        </w:trPr>
        <w:tc>
          <w:tcPr>
            <w:tcW w:w="2694" w:type="dxa"/>
            <w:tcBorders>
              <w:top w:val="nil"/>
              <w:left w:val="nil"/>
              <w:bottom w:val="nil"/>
              <w:right w:val="nil"/>
            </w:tcBorders>
            <w:noWrap/>
            <w:vAlign w:val="center"/>
            <w:hideMark/>
          </w:tcPr>
          <w:p w14:paraId="4F0FDC0F" w14:textId="77777777" w:rsidR="00582675" w:rsidRPr="0022670C" w:rsidRDefault="00582675" w:rsidP="00582675">
            <w:pPr>
              <w:spacing w:before="0" w:after="0"/>
              <w:rPr>
                <w:rFonts w:ascii="Arial" w:hAnsi="Arial" w:cs="Arial"/>
                <w:b/>
                <w:bCs/>
                <w:color w:val="000000"/>
                <w:sz w:val="16"/>
                <w:szCs w:val="16"/>
              </w:rPr>
            </w:pPr>
            <w:r w:rsidRPr="0022670C">
              <w:rPr>
                <w:rFonts w:ascii="Arial" w:hAnsi="Arial" w:cs="Arial"/>
                <w:b/>
                <w:bCs/>
                <w:color w:val="000000"/>
                <w:sz w:val="16"/>
                <w:szCs w:val="16"/>
              </w:rPr>
              <w:t>Efficiency</w:t>
            </w:r>
          </w:p>
        </w:tc>
        <w:tc>
          <w:tcPr>
            <w:tcW w:w="2268" w:type="dxa"/>
            <w:tcBorders>
              <w:top w:val="nil"/>
              <w:left w:val="nil"/>
              <w:bottom w:val="nil"/>
              <w:right w:val="nil"/>
            </w:tcBorders>
            <w:vAlign w:val="center"/>
            <w:hideMark/>
          </w:tcPr>
          <w:p w14:paraId="2E7A07B0" w14:textId="77777777" w:rsidR="00582675" w:rsidRPr="0022670C" w:rsidRDefault="00582675" w:rsidP="00582675">
            <w:pPr>
              <w:spacing w:before="0" w:after="0"/>
              <w:rPr>
                <w:rFonts w:ascii="Arial" w:hAnsi="Arial" w:cs="Arial"/>
                <w:b/>
                <w:bCs/>
                <w:color w:val="000000"/>
                <w:sz w:val="16"/>
                <w:szCs w:val="16"/>
              </w:rPr>
            </w:pPr>
          </w:p>
        </w:tc>
        <w:tc>
          <w:tcPr>
            <w:tcW w:w="1012" w:type="dxa"/>
            <w:tcBorders>
              <w:top w:val="nil"/>
              <w:left w:val="nil"/>
              <w:bottom w:val="nil"/>
              <w:right w:val="nil"/>
            </w:tcBorders>
            <w:noWrap/>
            <w:vAlign w:val="center"/>
            <w:hideMark/>
          </w:tcPr>
          <w:p w14:paraId="1A85B56B"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168D927B"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50392C89"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3C6E51EC"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6F498F84"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413B169"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328A1017"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75982170"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6847B2C8" w14:textId="77777777" w:rsidR="00582675" w:rsidRPr="0022670C" w:rsidRDefault="00582675" w:rsidP="00582675">
            <w:pPr>
              <w:spacing w:before="0" w:after="0"/>
              <w:jc w:val="right"/>
              <w:rPr>
                <w:rFonts w:ascii="Arial" w:hAnsi="Arial" w:cs="Arial"/>
                <w:sz w:val="16"/>
                <w:szCs w:val="16"/>
              </w:rPr>
            </w:pPr>
          </w:p>
        </w:tc>
        <w:tc>
          <w:tcPr>
            <w:tcW w:w="958" w:type="dxa"/>
            <w:tcBorders>
              <w:top w:val="nil"/>
              <w:left w:val="nil"/>
              <w:bottom w:val="nil"/>
              <w:right w:val="nil"/>
            </w:tcBorders>
            <w:noWrap/>
            <w:vAlign w:val="center"/>
            <w:hideMark/>
          </w:tcPr>
          <w:p w14:paraId="21A28E7B" w14:textId="77777777" w:rsidR="00582675" w:rsidRPr="0022670C" w:rsidRDefault="00582675" w:rsidP="00582675">
            <w:pPr>
              <w:spacing w:before="0" w:after="0"/>
              <w:jc w:val="right"/>
              <w:rPr>
                <w:rFonts w:ascii="Arial" w:hAnsi="Arial" w:cs="Arial"/>
                <w:sz w:val="16"/>
                <w:szCs w:val="16"/>
              </w:rPr>
            </w:pPr>
          </w:p>
        </w:tc>
        <w:tc>
          <w:tcPr>
            <w:tcW w:w="934" w:type="dxa"/>
            <w:tcBorders>
              <w:top w:val="nil"/>
              <w:left w:val="nil"/>
              <w:bottom w:val="nil"/>
              <w:right w:val="nil"/>
            </w:tcBorders>
            <w:noWrap/>
            <w:vAlign w:val="center"/>
            <w:hideMark/>
          </w:tcPr>
          <w:p w14:paraId="7440C6C4" w14:textId="77777777" w:rsidR="00582675" w:rsidRPr="0022670C" w:rsidRDefault="00582675" w:rsidP="00582675">
            <w:pPr>
              <w:spacing w:before="0" w:after="0"/>
              <w:jc w:val="center"/>
              <w:rPr>
                <w:rFonts w:ascii="Arial" w:hAnsi="Arial" w:cs="Arial"/>
                <w:sz w:val="16"/>
                <w:szCs w:val="16"/>
              </w:rPr>
            </w:pPr>
          </w:p>
        </w:tc>
      </w:tr>
      <w:tr w:rsidR="00582675" w:rsidRPr="0022670C" w14:paraId="7F0B5BD7" w14:textId="77777777" w:rsidTr="00582675">
        <w:trPr>
          <w:trHeight w:val="500"/>
        </w:trPr>
        <w:tc>
          <w:tcPr>
            <w:tcW w:w="2694" w:type="dxa"/>
            <w:tcBorders>
              <w:top w:val="nil"/>
              <w:left w:val="nil"/>
              <w:bottom w:val="nil"/>
              <w:right w:val="nil"/>
            </w:tcBorders>
            <w:noWrap/>
            <w:vAlign w:val="center"/>
            <w:hideMark/>
          </w:tcPr>
          <w:p w14:paraId="17D512D2" w14:textId="3869859D"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Expenditure level</w:t>
            </w:r>
          </w:p>
        </w:tc>
        <w:tc>
          <w:tcPr>
            <w:tcW w:w="2268" w:type="dxa"/>
            <w:tcBorders>
              <w:top w:val="nil"/>
              <w:left w:val="nil"/>
              <w:bottom w:val="nil"/>
              <w:right w:val="nil"/>
            </w:tcBorders>
            <w:vAlign w:val="center"/>
            <w:hideMark/>
          </w:tcPr>
          <w:p w14:paraId="643FD3E2"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Total expenditure / No of property assessments</w:t>
            </w:r>
          </w:p>
        </w:tc>
        <w:tc>
          <w:tcPr>
            <w:tcW w:w="1012" w:type="dxa"/>
            <w:tcBorders>
              <w:top w:val="nil"/>
              <w:left w:val="nil"/>
              <w:bottom w:val="nil"/>
              <w:right w:val="nil"/>
            </w:tcBorders>
            <w:noWrap/>
            <w:vAlign w:val="center"/>
            <w:hideMark/>
          </w:tcPr>
          <w:p w14:paraId="7FB07DE2" w14:textId="34EEDA27"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3,332.18 </w:t>
            </w:r>
          </w:p>
        </w:tc>
        <w:tc>
          <w:tcPr>
            <w:tcW w:w="958" w:type="dxa"/>
            <w:tcBorders>
              <w:top w:val="nil"/>
              <w:left w:val="nil"/>
              <w:bottom w:val="nil"/>
              <w:right w:val="nil"/>
            </w:tcBorders>
            <w:noWrap/>
            <w:vAlign w:val="center"/>
            <w:hideMark/>
          </w:tcPr>
          <w:p w14:paraId="30DA3FD0" w14:textId="400A5D14"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3,277.45 </w:t>
            </w:r>
          </w:p>
        </w:tc>
        <w:tc>
          <w:tcPr>
            <w:tcW w:w="958" w:type="dxa"/>
            <w:tcBorders>
              <w:top w:val="nil"/>
              <w:left w:val="nil"/>
              <w:bottom w:val="nil"/>
              <w:right w:val="nil"/>
            </w:tcBorders>
            <w:noWrap/>
            <w:vAlign w:val="center"/>
            <w:hideMark/>
          </w:tcPr>
          <w:p w14:paraId="3FCEDA04" w14:textId="1898DCB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3,256.90 </w:t>
            </w:r>
          </w:p>
        </w:tc>
        <w:tc>
          <w:tcPr>
            <w:tcW w:w="958" w:type="dxa"/>
            <w:tcBorders>
              <w:top w:val="nil"/>
              <w:left w:val="nil"/>
              <w:bottom w:val="nil"/>
              <w:right w:val="nil"/>
            </w:tcBorders>
            <w:noWrap/>
            <w:vAlign w:val="center"/>
            <w:hideMark/>
          </w:tcPr>
          <w:p w14:paraId="7D8EA1EB" w14:textId="526143BB"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3,302.24 </w:t>
            </w:r>
          </w:p>
        </w:tc>
        <w:tc>
          <w:tcPr>
            <w:tcW w:w="958" w:type="dxa"/>
            <w:tcBorders>
              <w:top w:val="nil"/>
              <w:left w:val="nil"/>
              <w:bottom w:val="nil"/>
              <w:right w:val="nil"/>
            </w:tcBorders>
            <w:noWrap/>
            <w:vAlign w:val="center"/>
            <w:hideMark/>
          </w:tcPr>
          <w:p w14:paraId="63E6A5BC" w14:textId="045996F3"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3,366.73 </w:t>
            </w:r>
          </w:p>
        </w:tc>
        <w:tc>
          <w:tcPr>
            <w:tcW w:w="958" w:type="dxa"/>
            <w:tcBorders>
              <w:top w:val="nil"/>
              <w:left w:val="nil"/>
              <w:bottom w:val="nil"/>
              <w:right w:val="nil"/>
            </w:tcBorders>
            <w:noWrap/>
            <w:vAlign w:val="center"/>
            <w:hideMark/>
          </w:tcPr>
          <w:p w14:paraId="227116C2" w14:textId="3F1C048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3,378.23 </w:t>
            </w:r>
          </w:p>
        </w:tc>
        <w:tc>
          <w:tcPr>
            <w:tcW w:w="958" w:type="dxa"/>
            <w:tcBorders>
              <w:top w:val="nil"/>
              <w:left w:val="nil"/>
              <w:bottom w:val="nil"/>
              <w:right w:val="nil"/>
            </w:tcBorders>
            <w:noWrap/>
            <w:vAlign w:val="center"/>
            <w:hideMark/>
          </w:tcPr>
          <w:p w14:paraId="6782D4CF" w14:textId="7B0BDB16"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3,387.83 </w:t>
            </w:r>
          </w:p>
        </w:tc>
        <w:tc>
          <w:tcPr>
            <w:tcW w:w="958" w:type="dxa"/>
            <w:tcBorders>
              <w:top w:val="nil"/>
              <w:left w:val="nil"/>
              <w:bottom w:val="nil"/>
              <w:right w:val="nil"/>
            </w:tcBorders>
            <w:noWrap/>
            <w:vAlign w:val="center"/>
            <w:hideMark/>
          </w:tcPr>
          <w:p w14:paraId="212AFC37" w14:textId="1AA53D2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3,418.12 </w:t>
            </w:r>
          </w:p>
        </w:tc>
        <w:tc>
          <w:tcPr>
            <w:tcW w:w="958" w:type="dxa"/>
            <w:tcBorders>
              <w:top w:val="nil"/>
              <w:left w:val="nil"/>
              <w:bottom w:val="nil"/>
              <w:right w:val="nil"/>
            </w:tcBorders>
            <w:noWrap/>
            <w:vAlign w:val="center"/>
            <w:hideMark/>
          </w:tcPr>
          <w:p w14:paraId="091A9CDB" w14:textId="428BAE05"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3,434.71 </w:t>
            </w:r>
          </w:p>
        </w:tc>
        <w:tc>
          <w:tcPr>
            <w:tcW w:w="958" w:type="dxa"/>
            <w:tcBorders>
              <w:top w:val="nil"/>
              <w:left w:val="nil"/>
              <w:bottom w:val="nil"/>
              <w:right w:val="nil"/>
            </w:tcBorders>
            <w:noWrap/>
            <w:vAlign w:val="center"/>
            <w:hideMark/>
          </w:tcPr>
          <w:p w14:paraId="5D002CFD" w14:textId="25A3498F"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3,457.53 </w:t>
            </w:r>
          </w:p>
        </w:tc>
        <w:tc>
          <w:tcPr>
            <w:tcW w:w="934" w:type="dxa"/>
            <w:tcBorders>
              <w:top w:val="nil"/>
              <w:left w:val="nil"/>
              <w:bottom w:val="nil"/>
              <w:right w:val="nil"/>
            </w:tcBorders>
            <w:noWrap/>
            <w:vAlign w:val="center"/>
            <w:hideMark/>
          </w:tcPr>
          <w:p w14:paraId="6ACABEEC" w14:textId="77777777" w:rsidR="00582675" w:rsidRPr="0022670C" w:rsidRDefault="00582675" w:rsidP="00582675">
            <w:pPr>
              <w:spacing w:before="0" w:after="0"/>
              <w:jc w:val="center"/>
              <w:rPr>
                <w:rFonts w:ascii="Arial" w:hAnsi="Arial" w:cs="Arial"/>
                <w:sz w:val="16"/>
                <w:szCs w:val="16"/>
              </w:rPr>
            </w:pPr>
            <w:r w:rsidRPr="0022670C">
              <w:rPr>
                <w:rFonts w:ascii="Arial" w:hAnsi="Arial" w:cs="Arial"/>
                <w:sz w:val="16"/>
                <w:szCs w:val="16"/>
              </w:rPr>
              <w:t>+</w:t>
            </w:r>
          </w:p>
        </w:tc>
      </w:tr>
      <w:tr w:rsidR="00582675" w:rsidRPr="007368D0" w14:paraId="6B36C83D" w14:textId="77777777" w:rsidTr="00582675">
        <w:trPr>
          <w:trHeight w:val="500"/>
        </w:trPr>
        <w:tc>
          <w:tcPr>
            <w:tcW w:w="2694" w:type="dxa"/>
            <w:tcBorders>
              <w:top w:val="nil"/>
              <w:left w:val="nil"/>
              <w:bottom w:val="nil"/>
              <w:right w:val="nil"/>
            </w:tcBorders>
            <w:noWrap/>
            <w:vAlign w:val="center"/>
            <w:hideMark/>
          </w:tcPr>
          <w:p w14:paraId="71CF4DE6" w14:textId="48820923" w:rsidR="00582675" w:rsidRPr="0022670C" w:rsidRDefault="00582675" w:rsidP="00582675">
            <w:pPr>
              <w:spacing w:before="0" w:after="0"/>
              <w:ind w:firstLineChars="100" w:firstLine="160"/>
              <w:rPr>
                <w:rFonts w:ascii="Arial" w:hAnsi="Arial" w:cs="Arial"/>
                <w:sz w:val="16"/>
                <w:szCs w:val="16"/>
              </w:rPr>
            </w:pPr>
            <w:r w:rsidRPr="0022670C">
              <w:rPr>
                <w:rFonts w:ascii="Arial" w:hAnsi="Arial" w:cs="Arial"/>
                <w:sz w:val="16"/>
                <w:szCs w:val="16"/>
              </w:rPr>
              <w:t>Revenue level</w:t>
            </w:r>
          </w:p>
        </w:tc>
        <w:tc>
          <w:tcPr>
            <w:tcW w:w="2268" w:type="dxa"/>
            <w:tcBorders>
              <w:top w:val="nil"/>
              <w:left w:val="nil"/>
              <w:bottom w:val="nil"/>
              <w:right w:val="nil"/>
            </w:tcBorders>
            <w:vAlign w:val="center"/>
            <w:hideMark/>
          </w:tcPr>
          <w:p w14:paraId="38EC6811" w14:textId="77777777" w:rsidR="00582675" w:rsidRPr="0022670C" w:rsidRDefault="00582675" w:rsidP="00582675">
            <w:pPr>
              <w:spacing w:before="0" w:after="0"/>
              <w:rPr>
                <w:rFonts w:ascii="Arial" w:hAnsi="Arial" w:cs="Arial"/>
                <w:sz w:val="16"/>
                <w:szCs w:val="16"/>
              </w:rPr>
            </w:pPr>
            <w:r w:rsidRPr="0022670C">
              <w:rPr>
                <w:rFonts w:ascii="Arial" w:hAnsi="Arial" w:cs="Arial"/>
                <w:sz w:val="16"/>
                <w:szCs w:val="16"/>
              </w:rPr>
              <w:t>Total rate revenue / No of property assessments</w:t>
            </w:r>
          </w:p>
        </w:tc>
        <w:tc>
          <w:tcPr>
            <w:tcW w:w="1012" w:type="dxa"/>
            <w:tcBorders>
              <w:top w:val="nil"/>
              <w:left w:val="nil"/>
              <w:bottom w:val="nil"/>
              <w:right w:val="nil"/>
            </w:tcBorders>
            <w:noWrap/>
            <w:vAlign w:val="center"/>
            <w:hideMark/>
          </w:tcPr>
          <w:p w14:paraId="60612339" w14:textId="19C746A9"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2,371.40 </w:t>
            </w:r>
          </w:p>
        </w:tc>
        <w:tc>
          <w:tcPr>
            <w:tcW w:w="958" w:type="dxa"/>
            <w:tcBorders>
              <w:top w:val="nil"/>
              <w:left w:val="nil"/>
              <w:bottom w:val="nil"/>
              <w:right w:val="nil"/>
            </w:tcBorders>
            <w:noWrap/>
            <w:vAlign w:val="center"/>
            <w:hideMark/>
          </w:tcPr>
          <w:p w14:paraId="099133C0" w14:textId="32290AA5"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2,462.33 </w:t>
            </w:r>
          </w:p>
        </w:tc>
        <w:tc>
          <w:tcPr>
            <w:tcW w:w="958" w:type="dxa"/>
            <w:tcBorders>
              <w:top w:val="nil"/>
              <w:left w:val="nil"/>
              <w:bottom w:val="nil"/>
              <w:right w:val="nil"/>
            </w:tcBorders>
            <w:noWrap/>
            <w:vAlign w:val="center"/>
            <w:hideMark/>
          </w:tcPr>
          <w:p w14:paraId="227B11C3" w14:textId="2BFC9C58"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2,511.59 </w:t>
            </w:r>
          </w:p>
        </w:tc>
        <w:tc>
          <w:tcPr>
            <w:tcW w:w="958" w:type="dxa"/>
            <w:tcBorders>
              <w:top w:val="nil"/>
              <w:left w:val="nil"/>
              <w:bottom w:val="nil"/>
              <w:right w:val="nil"/>
            </w:tcBorders>
            <w:noWrap/>
            <w:vAlign w:val="center"/>
            <w:hideMark/>
          </w:tcPr>
          <w:p w14:paraId="6665247A" w14:textId="3BC4AB87"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2,562.86 </w:t>
            </w:r>
          </w:p>
        </w:tc>
        <w:tc>
          <w:tcPr>
            <w:tcW w:w="958" w:type="dxa"/>
            <w:tcBorders>
              <w:top w:val="nil"/>
              <w:left w:val="nil"/>
              <w:bottom w:val="nil"/>
              <w:right w:val="nil"/>
            </w:tcBorders>
            <w:noWrap/>
            <w:vAlign w:val="center"/>
            <w:hideMark/>
          </w:tcPr>
          <w:p w14:paraId="513556D4" w14:textId="15A5E1D3"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2,616.29 </w:t>
            </w:r>
          </w:p>
        </w:tc>
        <w:tc>
          <w:tcPr>
            <w:tcW w:w="958" w:type="dxa"/>
            <w:tcBorders>
              <w:top w:val="nil"/>
              <w:left w:val="nil"/>
              <w:bottom w:val="nil"/>
              <w:right w:val="nil"/>
            </w:tcBorders>
            <w:noWrap/>
            <w:vAlign w:val="center"/>
            <w:hideMark/>
          </w:tcPr>
          <w:p w14:paraId="0650DC2F" w14:textId="6710A6DD"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2,644.17 </w:t>
            </w:r>
          </w:p>
        </w:tc>
        <w:tc>
          <w:tcPr>
            <w:tcW w:w="958" w:type="dxa"/>
            <w:tcBorders>
              <w:top w:val="nil"/>
              <w:left w:val="nil"/>
              <w:bottom w:val="nil"/>
              <w:right w:val="nil"/>
            </w:tcBorders>
            <w:noWrap/>
            <w:vAlign w:val="center"/>
            <w:hideMark/>
          </w:tcPr>
          <w:p w14:paraId="671BB064" w14:textId="613A4882"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2,671.92 </w:t>
            </w:r>
          </w:p>
        </w:tc>
        <w:tc>
          <w:tcPr>
            <w:tcW w:w="958" w:type="dxa"/>
            <w:tcBorders>
              <w:top w:val="nil"/>
              <w:left w:val="nil"/>
              <w:bottom w:val="nil"/>
              <w:right w:val="nil"/>
            </w:tcBorders>
            <w:noWrap/>
            <w:vAlign w:val="center"/>
            <w:hideMark/>
          </w:tcPr>
          <w:p w14:paraId="2C4AEACF" w14:textId="58DDE0C5"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2,699.45 </w:t>
            </w:r>
          </w:p>
        </w:tc>
        <w:tc>
          <w:tcPr>
            <w:tcW w:w="958" w:type="dxa"/>
            <w:tcBorders>
              <w:top w:val="nil"/>
              <w:left w:val="nil"/>
              <w:bottom w:val="nil"/>
              <w:right w:val="nil"/>
            </w:tcBorders>
            <w:noWrap/>
            <w:vAlign w:val="center"/>
            <w:hideMark/>
          </w:tcPr>
          <w:p w14:paraId="511ED20D" w14:textId="77D6AE76"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2,726.70 </w:t>
            </w:r>
          </w:p>
        </w:tc>
        <w:tc>
          <w:tcPr>
            <w:tcW w:w="958" w:type="dxa"/>
            <w:tcBorders>
              <w:top w:val="nil"/>
              <w:left w:val="nil"/>
              <w:bottom w:val="nil"/>
              <w:right w:val="nil"/>
            </w:tcBorders>
            <w:noWrap/>
            <w:vAlign w:val="center"/>
            <w:hideMark/>
          </w:tcPr>
          <w:p w14:paraId="266D282C" w14:textId="6748827E" w:rsidR="00582675" w:rsidRPr="0022670C" w:rsidRDefault="00582675" w:rsidP="00582675">
            <w:pPr>
              <w:spacing w:before="0" w:after="0"/>
              <w:jc w:val="right"/>
              <w:rPr>
                <w:rFonts w:ascii="Arial" w:hAnsi="Arial" w:cs="Arial"/>
                <w:sz w:val="16"/>
                <w:szCs w:val="16"/>
              </w:rPr>
            </w:pPr>
            <w:r w:rsidRPr="0022670C">
              <w:rPr>
                <w:rFonts w:ascii="Arial" w:hAnsi="Arial" w:cs="Arial"/>
                <w:sz w:val="16"/>
                <w:szCs w:val="16"/>
              </w:rPr>
              <w:t xml:space="preserve">     2,753.55 </w:t>
            </w:r>
          </w:p>
        </w:tc>
        <w:tc>
          <w:tcPr>
            <w:tcW w:w="934" w:type="dxa"/>
            <w:tcBorders>
              <w:top w:val="nil"/>
              <w:left w:val="nil"/>
              <w:bottom w:val="nil"/>
              <w:right w:val="nil"/>
            </w:tcBorders>
            <w:noWrap/>
            <w:vAlign w:val="center"/>
            <w:hideMark/>
          </w:tcPr>
          <w:p w14:paraId="44AAE598" w14:textId="77777777" w:rsidR="00582675" w:rsidRPr="007368D0" w:rsidRDefault="00582675" w:rsidP="00582675">
            <w:pPr>
              <w:spacing w:before="0" w:after="0"/>
              <w:jc w:val="center"/>
              <w:rPr>
                <w:rFonts w:ascii="Arial" w:hAnsi="Arial" w:cs="Arial"/>
                <w:sz w:val="16"/>
                <w:szCs w:val="16"/>
              </w:rPr>
            </w:pPr>
            <w:r w:rsidRPr="0022670C">
              <w:rPr>
                <w:rFonts w:ascii="Arial" w:hAnsi="Arial" w:cs="Arial"/>
                <w:sz w:val="16"/>
                <w:szCs w:val="16"/>
              </w:rPr>
              <w:t>+</w:t>
            </w:r>
          </w:p>
        </w:tc>
      </w:tr>
    </w:tbl>
    <w:p w14:paraId="012A4980" w14:textId="65CD42E3" w:rsidR="002133EC" w:rsidRDefault="002133EC" w:rsidP="00AE792B">
      <w:pPr>
        <w:rPr>
          <w:color w:val="FF0000"/>
          <w:lang w:eastAsia="en-US"/>
        </w:rPr>
      </w:pPr>
    </w:p>
    <w:p w14:paraId="7F08AF16" w14:textId="77777777" w:rsidR="00D02C34" w:rsidRDefault="00D02C34">
      <w:pPr>
        <w:rPr>
          <w:rFonts w:ascii="Franklin Gothic Demi" w:eastAsiaTheme="majorEastAsia" w:hAnsi="Franklin Gothic Demi" w:cstheme="majorBidi"/>
          <w:i/>
          <w:sz w:val="28"/>
          <w:lang w:eastAsia="en-US"/>
        </w:rPr>
      </w:pPr>
      <w:r>
        <w:br w:type="page"/>
      </w:r>
    </w:p>
    <w:p w14:paraId="0B31CA12" w14:textId="77777777" w:rsidR="00D02C34" w:rsidRDefault="00D02C34" w:rsidP="0022670C">
      <w:pPr>
        <w:pStyle w:val="Heading3"/>
        <w:numPr>
          <w:ilvl w:val="1"/>
          <w:numId w:val="28"/>
        </w:numPr>
        <w:ind w:left="426"/>
        <w:sectPr w:rsidR="00D02C34" w:rsidSect="00D02C34">
          <w:pgSz w:w="16838" w:h="11906" w:orient="landscape" w:code="9"/>
          <w:pgMar w:top="1559" w:right="2268" w:bottom="992" w:left="1440" w:header="709" w:footer="782" w:gutter="0"/>
          <w:cols w:space="708"/>
          <w:docGrid w:linePitch="360"/>
        </w:sectPr>
      </w:pPr>
    </w:p>
    <w:p w14:paraId="4942ACB6" w14:textId="1DBBBB5A" w:rsidR="0050273E" w:rsidRPr="0022670C" w:rsidRDefault="0022670C" w:rsidP="0022670C">
      <w:pPr>
        <w:pStyle w:val="Heading1"/>
      </w:pPr>
      <w:bookmarkStart w:id="65" w:name="_Toc210205646"/>
      <w:bookmarkStart w:id="66" w:name="_Toc211874600"/>
      <w:r>
        <w:lastRenderedPageBreak/>
        <w:t>8</w:t>
      </w:r>
      <w:r w:rsidRPr="0022670C">
        <w:t xml:space="preserve">. </w:t>
      </w:r>
      <w:r w:rsidR="00BB4081" w:rsidRPr="0022670C">
        <w:t>Notes to indicators</w:t>
      </w:r>
      <w:bookmarkEnd w:id="65"/>
      <w:bookmarkEnd w:id="66"/>
    </w:p>
    <w:p w14:paraId="6CDF240B" w14:textId="77777777" w:rsidR="0022670C" w:rsidRPr="0022670C" w:rsidRDefault="0022670C" w:rsidP="0022670C">
      <w:pPr>
        <w:spacing w:before="0" w:after="0"/>
        <w:rPr>
          <w:lang w:eastAsia="en-US"/>
        </w:rPr>
      </w:pPr>
    </w:p>
    <w:p w14:paraId="5134D53D" w14:textId="110A6EC6" w:rsidR="007E1DB0" w:rsidRPr="0022670C" w:rsidRDefault="00664D58" w:rsidP="00664D58">
      <w:pPr>
        <w:pStyle w:val="Heading4"/>
        <w:rPr>
          <w:color w:val="auto"/>
          <w:lang w:eastAsia="en-US"/>
        </w:rPr>
      </w:pPr>
      <w:r w:rsidRPr="0022670C">
        <w:rPr>
          <w:color w:val="auto"/>
          <w:lang w:eastAsia="en-US"/>
        </w:rPr>
        <w:t>Adjusted underlying result</w:t>
      </w:r>
    </w:p>
    <w:p w14:paraId="6C48CE33" w14:textId="67EA0ADC" w:rsidR="00664D58" w:rsidRPr="0022670C" w:rsidRDefault="00C43611" w:rsidP="00664D58">
      <w:pPr>
        <w:rPr>
          <w:lang w:eastAsia="en-US"/>
        </w:rPr>
      </w:pPr>
      <w:r w:rsidRPr="0022670C">
        <w:rPr>
          <w:lang w:eastAsia="en-US"/>
        </w:rPr>
        <w:t xml:space="preserve">An indicator of the sustainable operating result required to enable Council to continue to provide </w:t>
      </w:r>
      <w:r w:rsidR="00A017B9" w:rsidRPr="0022670C">
        <w:rPr>
          <w:lang w:eastAsia="en-US"/>
        </w:rPr>
        <w:t>core services and meet its objectives.  A key goal of the Financial Plan is to maintain an adjusted underlying surplus</w:t>
      </w:r>
      <w:r w:rsidR="00C32C60" w:rsidRPr="0022670C">
        <w:rPr>
          <w:lang w:eastAsia="en-US"/>
        </w:rPr>
        <w:t xml:space="preserve">. </w:t>
      </w:r>
    </w:p>
    <w:p w14:paraId="24386123" w14:textId="4713D415" w:rsidR="00A017B9" w:rsidRPr="0022670C" w:rsidRDefault="0074146A" w:rsidP="00664D58">
      <w:pPr>
        <w:rPr>
          <w:lang w:eastAsia="en-US"/>
        </w:rPr>
      </w:pPr>
      <w:r w:rsidRPr="0022670C">
        <w:rPr>
          <w:lang w:eastAsia="en-US"/>
        </w:rPr>
        <w:t xml:space="preserve">The </w:t>
      </w:r>
      <w:r w:rsidR="00B23500" w:rsidRPr="0022670C">
        <w:rPr>
          <w:lang w:eastAsia="en-US"/>
        </w:rPr>
        <w:t xml:space="preserve">underlying result is projected to improve from its current deficit position and steadily </w:t>
      </w:r>
      <w:r w:rsidR="00E10F80" w:rsidRPr="0022670C">
        <w:rPr>
          <w:lang w:eastAsia="en-US"/>
        </w:rPr>
        <w:t xml:space="preserve">move to </w:t>
      </w:r>
      <w:r w:rsidR="00DE7EA9" w:rsidRPr="0022670C">
        <w:rPr>
          <w:lang w:eastAsia="en-US"/>
        </w:rPr>
        <w:t xml:space="preserve">and remain at </w:t>
      </w:r>
      <w:r w:rsidR="00E10F80" w:rsidRPr="0022670C">
        <w:rPr>
          <w:lang w:eastAsia="en-US"/>
        </w:rPr>
        <w:t xml:space="preserve">medium risk for the life of the Plan. </w:t>
      </w:r>
    </w:p>
    <w:p w14:paraId="1F60A3A3" w14:textId="7CD31B3E" w:rsidR="00E10F80" w:rsidRPr="0022670C" w:rsidRDefault="00E10F80" w:rsidP="00E10F80">
      <w:pPr>
        <w:pStyle w:val="Heading4"/>
        <w:rPr>
          <w:color w:val="auto"/>
          <w:lang w:eastAsia="en-US"/>
        </w:rPr>
      </w:pPr>
      <w:r w:rsidRPr="0022670C">
        <w:rPr>
          <w:color w:val="auto"/>
          <w:lang w:eastAsia="en-US"/>
        </w:rPr>
        <w:t>Working capital</w:t>
      </w:r>
    </w:p>
    <w:p w14:paraId="40FE5C90" w14:textId="1C567899" w:rsidR="00E10F80" w:rsidRPr="0022670C" w:rsidRDefault="002F119E" w:rsidP="00E10F80">
      <w:pPr>
        <w:rPr>
          <w:lang w:eastAsia="en-US"/>
        </w:rPr>
      </w:pPr>
      <w:r w:rsidRPr="0022670C">
        <w:rPr>
          <w:lang w:eastAsia="en-US"/>
        </w:rPr>
        <w:t xml:space="preserve">This is a general measure of Council’s liquidity and its ability to meet its commitments as and when they fall due.  </w:t>
      </w:r>
      <w:r w:rsidR="009C0376" w:rsidRPr="0022670C">
        <w:rPr>
          <w:lang w:eastAsia="en-US"/>
        </w:rPr>
        <w:t xml:space="preserve">A working capital ratio of above 1 (100%) indicates that Council </w:t>
      </w:r>
      <w:r w:rsidR="00A31E62" w:rsidRPr="0022670C">
        <w:rPr>
          <w:lang w:eastAsia="en-US"/>
        </w:rPr>
        <w:t>can</w:t>
      </w:r>
      <w:r w:rsidR="009C0376" w:rsidRPr="0022670C">
        <w:rPr>
          <w:lang w:eastAsia="en-US"/>
        </w:rPr>
        <w:t xml:space="preserve"> adequately meet </w:t>
      </w:r>
      <w:r w:rsidR="00577130" w:rsidRPr="0022670C">
        <w:rPr>
          <w:lang w:eastAsia="en-US"/>
        </w:rPr>
        <w:t>all</w:t>
      </w:r>
      <w:r w:rsidR="009C0376" w:rsidRPr="0022670C">
        <w:rPr>
          <w:lang w:eastAsia="en-US"/>
        </w:rPr>
        <w:t xml:space="preserve"> its </w:t>
      </w:r>
      <w:r w:rsidR="00577130" w:rsidRPr="0022670C">
        <w:rPr>
          <w:lang w:eastAsia="en-US"/>
        </w:rPr>
        <w:t>short-term</w:t>
      </w:r>
      <w:r w:rsidR="009C0376" w:rsidRPr="0022670C">
        <w:rPr>
          <w:lang w:eastAsia="en-US"/>
        </w:rPr>
        <w:t xml:space="preserve"> expenses.</w:t>
      </w:r>
    </w:p>
    <w:p w14:paraId="78B00D0D" w14:textId="2F9DA652" w:rsidR="009C0376" w:rsidRPr="0022670C" w:rsidRDefault="009C0376" w:rsidP="00E10F80">
      <w:pPr>
        <w:rPr>
          <w:lang w:eastAsia="en-US"/>
        </w:rPr>
      </w:pPr>
      <w:r w:rsidRPr="0022670C">
        <w:rPr>
          <w:lang w:eastAsia="en-US"/>
        </w:rPr>
        <w:t xml:space="preserve">Council’s working capital position remains strong over the life of the Financial Plan. </w:t>
      </w:r>
    </w:p>
    <w:p w14:paraId="28002A9B" w14:textId="7A5F8F64" w:rsidR="00694803" w:rsidRPr="0022670C" w:rsidRDefault="00694803" w:rsidP="00694803">
      <w:pPr>
        <w:pStyle w:val="Heading4"/>
        <w:rPr>
          <w:color w:val="auto"/>
          <w:lang w:eastAsia="en-US"/>
        </w:rPr>
      </w:pPr>
      <w:r w:rsidRPr="0022670C">
        <w:rPr>
          <w:color w:val="auto"/>
          <w:lang w:eastAsia="en-US"/>
        </w:rPr>
        <w:t>Unrestricted cash</w:t>
      </w:r>
    </w:p>
    <w:p w14:paraId="6EEEFEE9" w14:textId="502EFC5B" w:rsidR="00694803" w:rsidRPr="0022670C" w:rsidRDefault="00FC54C2" w:rsidP="00694803">
      <w:pPr>
        <w:rPr>
          <w:lang w:eastAsia="en-US"/>
        </w:rPr>
      </w:pPr>
      <w:r w:rsidRPr="0022670C">
        <w:rPr>
          <w:lang w:eastAsia="en-US"/>
        </w:rPr>
        <w:t xml:space="preserve">Unrestricted cash </w:t>
      </w:r>
      <w:r w:rsidR="0000516D" w:rsidRPr="0022670C">
        <w:rPr>
          <w:lang w:eastAsia="en-US"/>
        </w:rPr>
        <w:t>relates to funds that are readily available and is not tied to any particular purpose and is primarily used for meeting liquidity needs and to fund unanticipated items.</w:t>
      </w:r>
    </w:p>
    <w:p w14:paraId="76107167" w14:textId="40673F33" w:rsidR="00EF4713" w:rsidRPr="0022670C" w:rsidRDefault="00EF4713" w:rsidP="00694803">
      <w:pPr>
        <w:rPr>
          <w:lang w:eastAsia="en-US"/>
        </w:rPr>
      </w:pPr>
      <w:r w:rsidRPr="0022670C">
        <w:rPr>
          <w:lang w:eastAsia="en-US"/>
        </w:rPr>
        <w:t xml:space="preserve">Council is forecast to build cash holdings </w:t>
      </w:r>
      <w:r w:rsidR="003208B7" w:rsidRPr="0022670C">
        <w:rPr>
          <w:lang w:eastAsia="en-US"/>
        </w:rPr>
        <w:t>to a greater level in the medium term and will be proactive in delivering best value services while improving this indicator.</w:t>
      </w:r>
    </w:p>
    <w:p w14:paraId="690B33BA" w14:textId="197BCB33" w:rsidR="00B95700" w:rsidRPr="0022670C" w:rsidRDefault="00B95700" w:rsidP="00B95700">
      <w:pPr>
        <w:pStyle w:val="Heading4"/>
        <w:rPr>
          <w:color w:val="auto"/>
          <w:lang w:eastAsia="en-US"/>
        </w:rPr>
      </w:pPr>
      <w:r w:rsidRPr="0022670C">
        <w:rPr>
          <w:color w:val="auto"/>
          <w:lang w:eastAsia="en-US"/>
        </w:rPr>
        <w:t>Loans and borrowings</w:t>
      </w:r>
    </w:p>
    <w:p w14:paraId="52F6EE82" w14:textId="37DDCBB7" w:rsidR="00B95700" w:rsidRPr="0022670C" w:rsidRDefault="009169D1" w:rsidP="00B95700">
      <w:pPr>
        <w:rPr>
          <w:lang w:eastAsia="en-US"/>
        </w:rPr>
      </w:pPr>
      <w:r w:rsidRPr="0022670C">
        <w:rPr>
          <w:lang w:eastAsia="en-US"/>
        </w:rPr>
        <w:t>This ratio measures the proportion of Council’s rates revenue that is allocated to repay loans and borrowings</w:t>
      </w:r>
      <w:r w:rsidR="0039169E" w:rsidRPr="0022670C">
        <w:rPr>
          <w:lang w:eastAsia="en-US"/>
        </w:rPr>
        <w:t xml:space="preserve">.  Council’s current plan includes borrowings for capital </w:t>
      </w:r>
      <w:proofErr w:type="gramStart"/>
      <w:r w:rsidR="0039169E" w:rsidRPr="0022670C">
        <w:rPr>
          <w:lang w:eastAsia="en-US"/>
        </w:rPr>
        <w:t>expenditure</w:t>
      </w:r>
      <w:proofErr w:type="gramEnd"/>
      <w:r w:rsidR="0039169E" w:rsidRPr="0022670C">
        <w:rPr>
          <w:lang w:eastAsia="en-US"/>
        </w:rPr>
        <w:t xml:space="preserve"> </w:t>
      </w:r>
      <w:r w:rsidR="00E53F72" w:rsidRPr="0022670C">
        <w:rPr>
          <w:lang w:eastAsia="en-US"/>
        </w:rPr>
        <w:t xml:space="preserve">and the indebtedness ratio will increase over the forecast period, with the trend indicating </w:t>
      </w:r>
      <w:r w:rsidR="00F00072" w:rsidRPr="0022670C">
        <w:rPr>
          <w:lang w:eastAsia="en-US"/>
        </w:rPr>
        <w:t xml:space="preserve">Council’s reliance on debt against its annual rate revenue.  This will be refined each year as borrowing requirements become clearer and are </w:t>
      </w:r>
      <w:r w:rsidR="00080EE3" w:rsidRPr="0022670C">
        <w:rPr>
          <w:lang w:eastAsia="en-US"/>
        </w:rPr>
        <w:t>used</w:t>
      </w:r>
      <w:r w:rsidR="00F00072" w:rsidRPr="0022670C">
        <w:rPr>
          <w:lang w:eastAsia="en-US"/>
        </w:rPr>
        <w:t xml:space="preserve"> to deliver infrastructure </w:t>
      </w:r>
      <w:r w:rsidR="00C44DB1" w:rsidRPr="0022670C">
        <w:rPr>
          <w:lang w:eastAsia="en-US"/>
        </w:rPr>
        <w:t>to the community.</w:t>
      </w:r>
    </w:p>
    <w:p w14:paraId="09299242" w14:textId="65FA5183" w:rsidR="00C44DB1" w:rsidRPr="0022670C" w:rsidRDefault="00C44DB1" w:rsidP="00C44DB1">
      <w:pPr>
        <w:pStyle w:val="Heading4"/>
        <w:rPr>
          <w:color w:val="auto"/>
          <w:lang w:eastAsia="en-US"/>
        </w:rPr>
      </w:pPr>
      <w:r w:rsidRPr="0022670C">
        <w:rPr>
          <w:color w:val="auto"/>
          <w:lang w:eastAsia="en-US"/>
        </w:rPr>
        <w:t>Asset renewal</w:t>
      </w:r>
    </w:p>
    <w:p w14:paraId="190398CC" w14:textId="16DFB868" w:rsidR="00C44DB1" w:rsidRPr="0022670C" w:rsidRDefault="000F73C5" w:rsidP="00C44DB1">
      <w:pPr>
        <w:rPr>
          <w:lang w:eastAsia="en-US"/>
        </w:rPr>
      </w:pPr>
      <w:r w:rsidRPr="0022670C">
        <w:rPr>
          <w:lang w:eastAsia="en-US"/>
        </w:rPr>
        <w:t xml:space="preserve">This indicates </w:t>
      </w:r>
      <w:r w:rsidR="00F66D6D" w:rsidRPr="0022670C">
        <w:rPr>
          <w:lang w:eastAsia="en-US"/>
        </w:rPr>
        <w:t>the extent of Council’s renewals against its depreciation charge</w:t>
      </w:r>
      <w:r w:rsidR="004C5316" w:rsidRPr="0022670C">
        <w:rPr>
          <w:lang w:eastAsia="en-US"/>
        </w:rPr>
        <w:t xml:space="preserve">.  Council will continue to balance the risk and need for new, renewal and upgrade works, and ensure renewal projects are prioritised </w:t>
      </w:r>
      <w:r w:rsidR="002F5867" w:rsidRPr="0022670C">
        <w:rPr>
          <w:lang w:eastAsia="en-US"/>
        </w:rPr>
        <w:t>to ensure funds are directed where needed the most.</w:t>
      </w:r>
      <w:r w:rsidR="00BA11E5" w:rsidRPr="0022670C">
        <w:rPr>
          <w:lang w:eastAsia="en-US"/>
        </w:rPr>
        <w:t xml:space="preserve">  The impacts of not achieving sufficient asset renewal will be monitored closely. </w:t>
      </w:r>
    </w:p>
    <w:p w14:paraId="54FD32C2" w14:textId="10E9CCBB" w:rsidR="002F5867" w:rsidRPr="0022670C" w:rsidRDefault="002F5867" w:rsidP="002F5867">
      <w:pPr>
        <w:pStyle w:val="Heading4"/>
        <w:rPr>
          <w:color w:val="auto"/>
          <w:lang w:eastAsia="en-US"/>
        </w:rPr>
      </w:pPr>
      <w:r w:rsidRPr="0022670C">
        <w:rPr>
          <w:color w:val="auto"/>
          <w:lang w:eastAsia="en-US"/>
        </w:rPr>
        <w:t>Rates concentration</w:t>
      </w:r>
    </w:p>
    <w:p w14:paraId="1E5C6E5C" w14:textId="31C95554" w:rsidR="002F5867" w:rsidRPr="0022670C" w:rsidRDefault="001D57D8" w:rsidP="002F5867">
      <w:pPr>
        <w:rPr>
          <w:lang w:eastAsia="en-US"/>
        </w:rPr>
      </w:pPr>
      <w:r w:rsidRPr="0022670C">
        <w:rPr>
          <w:lang w:eastAsia="en-US"/>
        </w:rPr>
        <w:t xml:space="preserve">This ratio reflects the extent of reliance on rates revenue to fund all of Council’s ongoing services. </w:t>
      </w:r>
      <w:r w:rsidR="00FA1AF3" w:rsidRPr="0022670C">
        <w:rPr>
          <w:lang w:eastAsia="en-US"/>
        </w:rPr>
        <w:t>The trend indicates that Council will continue to become reliant on rates revenue compared to all other revenue sources</w:t>
      </w:r>
      <w:r w:rsidR="008C646B" w:rsidRPr="0022670C">
        <w:rPr>
          <w:lang w:eastAsia="en-US"/>
        </w:rPr>
        <w:t>.</w:t>
      </w:r>
    </w:p>
    <w:p w14:paraId="5CF88252" w14:textId="191B92F1" w:rsidR="008C646B" w:rsidRPr="0022670C" w:rsidRDefault="00EB6A14" w:rsidP="00EB6A14">
      <w:pPr>
        <w:pStyle w:val="Heading4"/>
        <w:rPr>
          <w:color w:val="auto"/>
          <w:lang w:eastAsia="en-US"/>
        </w:rPr>
      </w:pPr>
      <w:r w:rsidRPr="0022670C">
        <w:rPr>
          <w:color w:val="auto"/>
          <w:lang w:eastAsia="en-US"/>
        </w:rPr>
        <w:t>Rates effort</w:t>
      </w:r>
    </w:p>
    <w:p w14:paraId="3BC65BA1" w14:textId="2A2A6FEC" w:rsidR="00EB6A14" w:rsidRPr="0022670C" w:rsidRDefault="00195481" w:rsidP="00EB6A14">
      <w:pPr>
        <w:rPr>
          <w:lang w:eastAsia="en-US"/>
        </w:rPr>
      </w:pPr>
      <w:r w:rsidRPr="0022670C">
        <w:rPr>
          <w:lang w:eastAsia="en-US"/>
        </w:rPr>
        <w:t>This is measured with rates revenue as a percentage of the capital improved value of rateable properties across the municipality</w:t>
      </w:r>
      <w:r w:rsidR="00F42149" w:rsidRPr="0022670C">
        <w:rPr>
          <w:lang w:eastAsia="en-US"/>
        </w:rPr>
        <w:t>.</w:t>
      </w:r>
    </w:p>
    <w:p w14:paraId="75B39A13" w14:textId="0676057C" w:rsidR="001C68C3" w:rsidRPr="0022670C" w:rsidRDefault="00A2684D" w:rsidP="001C68C3">
      <w:pPr>
        <w:pStyle w:val="Heading4"/>
        <w:rPr>
          <w:color w:val="auto"/>
          <w:lang w:eastAsia="en-US"/>
        </w:rPr>
      </w:pPr>
      <w:r w:rsidRPr="0022670C">
        <w:rPr>
          <w:color w:val="auto"/>
          <w:lang w:eastAsia="en-US"/>
        </w:rPr>
        <w:t>Efficiency</w:t>
      </w:r>
    </w:p>
    <w:p w14:paraId="08162C0A" w14:textId="33D5900F" w:rsidR="00A2684D" w:rsidRPr="0022670C" w:rsidRDefault="00A2684D" w:rsidP="00A2684D">
      <w:pPr>
        <w:rPr>
          <w:lang w:eastAsia="en-US"/>
        </w:rPr>
      </w:pPr>
      <w:r w:rsidRPr="0022670C">
        <w:rPr>
          <w:lang w:eastAsia="en-US"/>
        </w:rPr>
        <w:t xml:space="preserve">Measures the proportion of operating expenditure per property assessment and indicates if resources are planned to be used efficiently </w:t>
      </w:r>
      <w:r w:rsidR="00700301" w:rsidRPr="0022670C">
        <w:rPr>
          <w:lang w:eastAsia="en-US"/>
        </w:rPr>
        <w:t xml:space="preserve">in the delivery of services. </w:t>
      </w:r>
    </w:p>
    <w:p w14:paraId="2E8B89F3" w14:textId="77777777" w:rsidR="00FA5F98" w:rsidRPr="00551FBF" w:rsidRDefault="00FA5F98">
      <w:pPr>
        <w:rPr>
          <w:rFonts w:ascii="Franklin Gothic Demi" w:eastAsiaTheme="majorEastAsia" w:hAnsi="Franklin Gothic Demi" w:cstheme="majorBidi"/>
          <w:sz w:val="28"/>
          <w:szCs w:val="26"/>
          <w:highlight w:val="yellow"/>
          <w:lang w:eastAsia="en-US"/>
        </w:rPr>
      </w:pPr>
      <w:r w:rsidRPr="00551FBF">
        <w:rPr>
          <w:highlight w:val="yellow"/>
        </w:rPr>
        <w:br w:type="page"/>
      </w:r>
    </w:p>
    <w:p w14:paraId="3A37EB25" w14:textId="77777777" w:rsidR="00FA5F98" w:rsidRPr="00551FBF" w:rsidRDefault="00FA5F98" w:rsidP="0022670C">
      <w:pPr>
        <w:pStyle w:val="Heading2"/>
        <w:numPr>
          <w:ilvl w:val="0"/>
          <w:numId w:val="28"/>
        </w:numPr>
        <w:rPr>
          <w:highlight w:val="yellow"/>
        </w:rPr>
        <w:sectPr w:rsidR="00FA5F98" w:rsidRPr="00551FBF" w:rsidSect="00D02C34">
          <w:pgSz w:w="11906" w:h="16838" w:code="9"/>
          <w:pgMar w:top="2268" w:right="992" w:bottom="1440" w:left="1559" w:header="709" w:footer="782" w:gutter="0"/>
          <w:cols w:space="708"/>
          <w:docGrid w:linePitch="360"/>
        </w:sectPr>
      </w:pPr>
    </w:p>
    <w:p w14:paraId="6D3483B3" w14:textId="4FAF8FB0" w:rsidR="0050273E" w:rsidRPr="0022670C" w:rsidRDefault="0022670C" w:rsidP="0022670C">
      <w:pPr>
        <w:pStyle w:val="Heading1"/>
      </w:pPr>
      <w:bookmarkStart w:id="67" w:name="_Toc210205647"/>
      <w:bookmarkStart w:id="68" w:name="_Toc211874601"/>
      <w:r>
        <w:lastRenderedPageBreak/>
        <w:t>9</w:t>
      </w:r>
      <w:r w:rsidRPr="0022670C">
        <w:t xml:space="preserve">. </w:t>
      </w:r>
      <w:r w:rsidR="0050273E" w:rsidRPr="0022670C">
        <w:t>Strategies and plans</w:t>
      </w:r>
      <w:bookmarkEnd w:id="67"/>
      <w:bookmarkEnd w:id="68"/>
    </w:p>
    <w:p w14:paraId="1018F198" w14:textId="5948A262" w:rsidR="0050273E" w:rsidRPr="0022670C" w:rsidRDefault="00B3668A" w:rsidP="0050273E">
      <w:pPr>
        <w:rPr>
          <w:lang w:eastAsia="en-US"/>
        </w:rPr>
      </w:pPr>
      <w:r w:rsidRPr="0022670C">
        <w:rPr>
          <w:lang w:eastAsia="en-US"/>
        </w:rPr>
        <w:t>This section describes the strategies and plans that support the 10-year financial projections included with the Financial Plan.</w:t>
      </w:r>
    </w:p>
    <w:p w14:paraId="37E06AF4" w14:textId="77777777" w:rsidR="0022670C" w:rsidRPr="0022670C" w:rsidRDefault="0022670C" w:rsidP="0050273E">
      <w:pPr>
        <w:rPr>
          <w:lang w:eastAsia="en-US"/>
        </w:rPr>
      </w:pPr>
    </w:p>
    <w:p w14:paraId="2404217B" w14:textId="09A2ABC9" w:rsidR="00B3668A" w:rsidRPr="0022670C" w:rsidRDefault="0022670C" w:rsidP="0022670C">
      <w:pPr>
        <w:pStyle w:val="Heading2"/>
      </w:pPr>
      <w:bookmarkStart w:id="69" w:name="_Toc210205648"/>
      <w:bookmarkStart w:id="70" w:name="_Toc211874602"/>
      <w:r>
        <w:t xml:space="preserve">9.1 </w:t>
      </w:r>
      <w:r w:rsidR="009C38E9" w:rsidRPr="0022670C">
        <w:t>Borrowing strategy</w:t>
      </w:r>
      <w:bookmarkEnd w:id="69"/>
      <w:bookmarkEnd w:id="70"/>
    </w:p>
    <w:p w14:paraId="7D51630B" w14:textId="7018795B" w:rsidR="009C38E9" w:rsidRPr="0022670C" w:rsidRDefault="007569F8" w:rsidP="009C38E9">
      <w:pPr>
        <w:rPr>
          <w:lang w:eastAsia="en-US"/>
        </w:rPr>
      </w:pPr>
      <w:r w:rsidRPr="0022670C">
        <w:rPr>
          <w:lang w:eastAsia="en-US"/>
        </w:rPr>
        <w:t xml:space="preserve">In developing Council’s Financial Plan, borrowings have been identified </w:t>
      </w:r>
      <w:r w:rsidR="00061A48" w:rsidRPr="0022670C">
        <w:rPr>
          <w:lang w:eastAsia="en-US"/>
        </w:rPr>
        <w:t xml:space="preserve">as an important </w:t>
      </w:r>
      <w:r w:rsidR="00156E2A" w:rsidRPr="0022670C">
        <w:rPr>
          <w:lang w:eastAsia="en-US"/>
        </w:rPr>
        <w:t>source to support the investment in delivery of the Capital Works Program</w:t>
      </w:r>
      <w:r w:rsidR="00061A48" w:rsidRPr="0022670C">
        <w:rPr>
          <w:lang w:eastAsia="en-US"/>
        </w:rPr>
        <w:t xml:space="preserve">.  In </w:t>
      </w:r>
      <w:r w:rsidR="002B5197" w:rsidRPr="0022670C">
        <w:rPr>
          <w:lang w:eastAsia="en-US"/>
        </w:rPr>
        <w:t xml:space="preserve">conjunction with Council’s growth in population, Council is investing in intergenerational assets </w:t>
      </w:r>
      <w:r w:rsidR="009E5610" w:rsidRPr="0022670C">
        <w:rPr>
          <w:lang w:eastAsia="en-US"/>
        </w:rPr>
        <w:t xml:space="preserve">to facilitate this growth </w:t>
      </w:r>
      <w:r w:rsidR="00954CB4" w:rsidRPr="0022670C">
        <w:rPr>
          <w:lang w:eastAsia="en-US"/>
        </w:rPr>
        <w:t>using</w:t>
      </w:r>
      <w:r w:rsidR="009E5610" w:rsidRPr="0022670C">
        <w:rPr>
          <w:lang w:eastAsia="en-US"/>
        </w:rPr>
        <w:t xml:space="preserve"> a combination of existing resources along with borrowings.  Councill will take advantage </w:t>
      </w:r>
      <w:r w:rsidR="002E6A20" w:rsidRPr="0022670C">
        <w:rPr>
          <w:lang w:eastAsia="en-US"/>
        </w:rPr>
        <w:t>of the competitive offerings of the Treasury Corporation of Victoria (TCV)</w:t>
      </w:r>
      <w:r w:rsidR="00085151" w:rsidRPr="0022670C">
        <w:rPr>
          <w:lang w:eastAsia="en-US"/>
        </w:rPr>
        <w:t xml:space="preserve"> when and where required.  </w:t>
      </w:r>
    </w:p>
    <w:p w14:paraId="4B0CE99F" w14:textId="68FC0517" w:rsidR="00A948C5" w:rsidRPr="0022670C" w:rsidRDefault="00A948C5" w:rsidP="009C38E9">
      <w:r w:rsidRPr="0022670C">
        <w:rPr>
          <w:lang w:eastAsia="en-US"/>
        </w:rPr>
        <w:t xml:space="preserve">Council will review its debt position on an ongoing basis </w:t>
      </w:r>
      <w:r w:rsidR="00DC42A6" w:rsidRPr="0022670C">
        <w:rPr>
          <w:lang w:eastAsia="en-US"/>
        </w:rPr>
        <w:t xml:space="preserve">and drawdown borrowings as required, based on Council’s cash position and capital works program needs. </w:t>
      </w:r>
      <w:r w:rsidR="00B1370F" w:rsidRPr="0022670C">
        <w:rPr>
          <w:lang w:eastAsia="en-US"/>
        </w:rPr>
        <w:t xml:space="preserve"> Borrowings can be accommodated within the financial model without compromising the overall financial sustainability </w:t>
      </w:r>
      <w:r w:rsidR="00BB4230" w:rsidRPr="0022670C">
        <w:rPr>
          <w:lang w:eastAsia="en-US"/>
        </w:rPr>
        <w:t xml:space="preserve">of the organisation.  At forecast levels, Council’s borrowing profile remains low to medium risk over the period of the Financial Plan. </w:t>
      </w:r>
    </w:p>
    <w:p w14:paraId="24DC83D8" w14:textId="42937EBF" w:rsidR="001817C7" w:rsidRPr="0022670C" w:rsidRDefault="001817C7" w:rsidP="009C38E9">
      <w:pPr>
        <w:rPr>
          <w:lang w:eastAsia="en-US"/>
        </w:rPr>
      </w:pPr>
      <w:r w:rsidRPr="0022670C">
        <w:rPr>
          <w:lang w:eastAsia="en-US"/>
        </w:rPr>
        <w:t xml:space="preserve">Borrowings will not be </w:t>
      </w:r>
      <w:r w:rsidR="00954CB4" w:rsidRPr="0022670C">
        <w:rPr>
          <w:lang w:eastAsia="en-US"/>
        </w:rPr>
        <w:t>used</w:t>
      </w:r>
      <w:r w:rsidRPr="0022670C">
        <w:rPr>
          <w:lang w:eastAsia="en-US"/>
        </w:rPr>
        <w:t xml:space="preserve"> as an option to fund ongoing operational expenditure. </w:t>
      </w:r>
    </w:p>
    <w:p w14:paraId="4C95117D" w14:textId="4530B055" w:rsidR="00543DAE" w:rsidRPr="0022670C" w:rsidRDefault="00543DAE" w:rsidP="009C38E9">
      <w:pPr>
        <w:rPr>
          <w:lang w:eastAsia="en-US"/>
        </w:rPr>
      </w:pPr>
      <w:r w:rsidRPr="0022670C">
        <w:rPr>
          <w:lang w:eastAsia="en-US"/>
        </w:rPr>
        <w:t>The following table outlines Council’s projected borrowing balance, including new loans and loa</w:t>
      </w:r>
      <w:r w:rsidR="00CE5B2F" w:rsidRPr="0022670C">
        <w:rPr>
          <w:lang w:eastAsia="en-US"/>
        </w:rPr>
        <w:t>n repayments for the 10 years of the Financial Plan.</w:t>
      </w:r>
      <w:r w:rsidR="0022670C">
        <w:rPr>
          <w:lang w:eastAsia="en-US"/>
        </w:rPr>
        <w:br/>
      </w:r>
    </w:p>
    <w:tbl>
      <w:tblPr>
        <w:tblW w:w="5000" w:type="pct"/>
        <w:tblLook w:val="04A0" w:firstRow="1" w:lastRow="0" w:firstColumn="1" w:lastColumn="0" w:noHBand="0" w:noVBand="1"/>
      </w:tblPr>
      <w:tblGrid>
        <w:gridCol w:w="3095"/>
        <w:gridCol w:w="1195"/>
        <w:gridCol w:w="884"/>
        <w:gridCol w:w="884"/>
        <w:gridCol w:w="884"/>
        <w:gridCol w:w="884"/>
        <w:gridCol w:w="884"/>
        <w:gridCol w:w="884"/>
        <w:gridCol w:w="884"/>
        <w:gridCol w:w="884"/>
        <w:gridCol w:w="884"/>
        <w:gridCol w:w="884"/>
      </w:tblGrid>
      <w:tr w:rsidR="00376CDA" w:rsidRPr="0022670C" w14:paraId="16135104" w14:textId="77777777" w:rsidTr="00376CDA">
        <w:trPr>
          <w:trHeight w:val="250"/>
        </w:trPr>
        <w:tc>
          <w:tcPr>
            <w:tcW w:w="1239" w:type="pct"/>
            <w:tcBorders>
              <w:top w:val="nil"/>
              <w:left w:val="nil"/>
              <w:bottom w:val="nil"/>
              <w:right w:val="nil"/>
            </w:tcBorders>
            <w:shd w:val="clear" w:color="auto" w:fill="031F73" w:themeFill="text2"/>
            <w:vAlign w:val="center"/>
            <w:hideMark/>
          </w:tcPr>
          <w:p w14:paraId="054CFC05"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454" w:type="pct"/>
            <w:tcBorders>
              <w:top w:val="nil"/>
              <w:left w:val="nil"/>
              <w:bottom w:val="nil"/>
              <w:right w:val="nil"/>
            </w:tcBorders>
            <w:shd w:val="clear" w:color="auto" w:fill="031F73" w:themeFill="text2"/>
            <w:vAlign w:val="center"/>
            <w:hideMark/>
          </w:tcPr>
          <w:p w14:paraId="756D06B5"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3307" w:type="pct"/>
            <w:gridSpan w:val="10"/>
            <w:vMerge w:val="restart"/>
            <w:tcBorders>
              <w:top w:val="nil"/>
              <w:left w:val="nil"/>
              <w:bottom w:val="nil"/>
              <w:right w:val="nil"/>
            </w:tcBorders>
            <w:shd w:val="clear" w:color="auto" w:fill="031F73" w:themeFill="text2"/>
            <w:vAlign w:val="center"/>
            <w:hideMark/>
          </w:tcPr>
          <w:p w14:paraId="72A7451D"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Projections</w:t>
            </w:r>
          </w:p>
        </w:tc>
      </w:tr>
      <w:tr w:rsidR="00376CDA" w:rsidRPr="0022670C" w14:paraId="3BCF5D82" w14:textId="77777777" w:rsidTr="00376CDA">
        <w:trPr>
          <w:trHeight w:val="250"/>
        </w:trPr>
        <w:tc>
          <w:tcPr>
            <w:tcW w:w="1239" w:type="pct"/>
            <w:tcBorders>
              <w:top w:val="nil"/>
              <w:left w:val="nil"/>
              <w:bottom w:val="nil"/>
              <w:right w:val="nil"/>
            </w:tcBorders>
            <w:shd w:val="clear" w:color="auto" w:fill="031F73" w:themeFill="text2"/>
            <w:vAlign w:val="center"/>
            <w:hideMark/>
          </w:tcPr>
          <w:p w14:paraId="7E17B415"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454" w:type="pct"/>
            <w:tcBorders>
              <w:top w:val="nil"/>
              <w:left w:val="nil"/>
              <w:bottom w:val="nil"/>
              <w:right w:val="nil"/>
            </w:tcBorders>
            <w:shd w:val="clear" w:color="auto" w:fill="031F73" w:themeFill="text2"/>
            <w:vAlign w:val="center"/>
            <w:hideMark/>
          </w:tcPr>
          <w:p w14:paraId="6E647B38"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Actual</w:t>
            </w:r>
          </w:p>
        </w:tc>
        <w:tc>
          <w:tcPr>
            <w:tcW w:w="3307" w:type="pct"/>
            <w:gridSpan w:val="10"/>
            <w:vMerge/>
            <w:tcBorders>
              <w:top w:val="nil"/>
              <w:left w:val="nil"/>
              <w:bottom w:val="nil"/>
              <w:right w:val="nil"/>
            </w:tcBorders>
            <w:shd w:val="clear" w:color="auto" w:fill="031F73" w:themeFill="text2"/>
            <w:vAlign w:val="center"/>
            <w:hideMark/>
          </w:tcPr>
          <w:p w14:paraId="1FD7FB46" w14:textId="77777777" w:rsidR="00376CDA" w:rsidRPr="0022670C" w:rsidRDefault="00376CDA" w:rsidP="00376CDA">
            <w:pPr>
              <w:spacing w:before="0" w:after="0"/>
              <w:rPr>
                <w:rFonts w:ascii="Arial" w:hAnsi="Arial" w:cs="Arial"/>
                <w:b/>
                <w:bCs/>
                <w:color w:val="FFFFFF"/>
                <w:sz w:val="16"/>
                <w:szCs w:val="16"/>
              </w:rPr>
            </w:pPr>
          </w:p>
        </w:tc>
      </w:tr>
      <w:tr w:rsidR="00376CDA" w:rsidRPr="0022670C" w14:paraId="58C6D01C" w14:textId="77777777" w:rsidTr="00376CDA">
        <w:trPr>
          <w:trHeight w:val="250"/>
        </w:trPr>
        <w:tc>
          <w:tcPr>
            <w:tcW w:w="1239" w:type="pct"/>
            <w:tcBorders>
              <w:top w:val="nil"/>
              <w:left w:val="nil"/>
              <w:bottom w:val="nil"/>
              <w:right w:val="nil"/>
            </w:tcBorders>
            <w:shd w:val="clear" w:color="auto" w:fill="031F73" w:themeFill="text2"/>
            <w:vAlign w:val="center"/>
            <w:hideMark/>
          </w:tcPr>
          <w:p w14:paraId="1D431D18"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454" w:type="pct"/>
            <w:tcBorders>
              <w:top w:val="nil"/>
              <w:left w:val="nil"/>
              <w:bottom w:val="nil"/>
              <w:right w:val="nil"/>
            </w:tcBorders>
            <w:shd w:val="clear" w:color="auto" w:fill="031F73" w:themeFill="text2"/>
            <w:vAlign w:val="center"/>
            <w:hideMark/>
          </w:tcPr>
          <w:p w14:paraId="32BFE588"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2024/25</w:t>
            </w:r>
          </w:p>
        </w:tc>
        <w:tc>
          <w:tcPr>
            <w:tcW w:w="331" w:type="pct"/>
            <w:tcBorders>
              <w:top w:val="nil"/>
              <w:left w:val="nil"/>
              <w:bottom w:val="nil"/>
              <w:right w:val="nil"/>
            </w:tcBorders>
            <w:shd w:val="clear" w:color="auto" w:fill="031F73" w:themeFill="text2"/>
            <w:vAlign w:val="center"/>
            <w:hideMark/>
          </w:tcPr>
          <w:p w14:paraId="06D554A6"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2025/26</w:t>
            </w:r>
          </w:p>
        </w:tc>
        <w:tc>
          <w:tcPr>
            <w:tcW w:w="331" w:type="pct"/>
            <w:tcBorders>
              <w:top w:val="nil"/>
              <w:left w:val="nil"/>
              <w:bottom w:val="nil"/>
              <w:right w:val="nil"/>
            </w:tcBorders>
            <w:shd w:val="clear" w:color="auto" w:fill="031F73" w:themeFill="text2"/>
            <w:vAlign w:val="center"/>
            <w:hideMark/>
          </w:tcPr>
          <w:p w14:paraId="411D074C"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2026/27</w:t>
            </w:r>
          </w:p>
        </w:tc>
        <w:tc>
          <w:tcPr>
            <w:tcW w:w="331" w:type="pct"/>
            <w:tcBorders>
              <w:top w:val="nil"/>
              <w:left w:val="nil"/>
              <w:bottom w:val="nil"/>
              <w:right w:val="nil"/>
            </w:tcBorders>
            <w:shd w:val="clear" w:color="auto" w:fill="031F73" w:themeFill="text2"/>
            <w:vAlign w:val="center"/>
            <w:hideMark/>
          </w:tcPr>
          <w:p w14:paraId="11ADC1C8"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2027/28</w:t>
            </w:r>
          </w:p>
        </w:tc>
        <w:tc>
          <w:tcPr>
            <w:tcW w:w="331" w:type="pct"/>
            <w:tcBorders>
              <w:top w:val="nil"/>
              <w:left w:val="nil"/>
              <w:bottom w:val="nil"/>
              <w:right w:val="nil"/>
            </w:tcBorders>
            <w:shd w:val="clear" w:color="auto" w:fill="031F73" w:themeFill="text2"/>
            <w:vAlign w:val="center"/>
            <w:hideMark/>
          </w:tcPr>
          <w:p w14:paraId="51EFE0F5"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2028/29</w:t>
            </w:r>
          </w:p>
        </w:tc>
        <w:tc>
          <w:tcPr>
            <w:tcW w:w="331" w:type="pct"/>
            <w:tcBorders>
              <w:top w:val="nil"/>
              <w:left w:val="nil"/>
              <w:bottom w:val="nil"/>
              <w:right w:val="nil"/>
            </w:tcBorders>
            <w:shd w:val="clear" w:color="auto" w:fill="031F73" w:themeFill="text2"/>
            <w:vAlign w:val="center"/>
            <w:hideMark/>
          </w:tcPr>
          <w:p w14:paraId="7A9605E5"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2029/30</w:t>
            </w:r>
          </w:p>
        </w:tc>
        <w:tc>
          <w:tcPr>
            <w:tcW w:w="331" w:type="pct"/>
            <w:tcBorders>
              <w:top w:val="nil"/>
              <w:left w:val="nil"/>
              <w:bottom w:val="nil"/>
              <w:right w:val="nil"/>
            </w:tcBorders>
            <w:shd w:val="clear" w:color="auto" w:fill="031F73" w:themeFill="text2"/>
            <w:vAlign w:val="center"/>
            <w:hideMark/>
          </w:tcPr>
          <w:p w14:paraId="686D1BCC"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2030/31</w:t>
            </w:r>
          </w:p>
        </w:tc>
        <w:tc>
          <w:tcPr>
            <w:tcW w:w="331" w:type="pct"/>
            <w:tcBorders>
              <w:top w:val="nil"/>
              <w:left w:val="nil"/>
              <w:bottom w:val="nil"/>
              <w:right w:val="nil"/>
            </w:tcBorders>
            <w:shd w:val="clear" w:color="auto" w:fill="031F73" w:themeFill="text2"/>
            <w:vAlign w:val="center"/>
            <w:hideMark/>
          </w:tcPr>
          <w:p w14:paraId="3CD059D2"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2031/32</w:t>
            </w:r>
          </w:p>
        </w:tc>
        <w:tc>
          <w:tcPr>
            <w:tcW w:w="331" w:type="pct"/>
            <w:tcBorders>
              <w:top w:val="nil"/>
              <w:left w:val="nil"/>
              <w:bottom w:val="nil"/>
              <w:right w:val="nil"/>
            </w:tcBorders>
            <w:shd w:val="clear" w:color="auto" w:fill="031F73" w:themeFill="text2"/>
            <w:vAlign w:val="center"/>
            <w:hideMark/>
          </w:tcPr>
          <w:p w14:paraId="201298AB"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2032/33</w:t>
            </w:r>
          </w:p>
        </w:tc>
        <w:tc>
          <w:tcPr>
            <w:tcW w:w="331" w:type="pct"/>
            <w:tcBorders>
              <w:top w:val="nil"/>
              <w:left w:val="nil"/>
              <w:bottom w:val="nil"/>
              <w:right w:val="nil"/>
            </w:tcBorders>
            <w:shd w:val="clear" w:color="auto" w:fill="031F73" w:themeFill="text2"/>
            <w:vAlign w:val="center"/>
            <w:hideMark/>
          </w:tcPr>
          <w:p w14:paraId="0477A7A0"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2033/34</w:t>
            </w:r>
          </w:p>
        </w:tc>
        <w:tc>
          <w:tcPr>
            <w:tcW w:w="331" w:type="pct"/>
            <w:tcBorders>
              <w:top w:val="nil"/>
              <w:left w:val="nil"/>
              <w:bottom w:val="nil"/>
              <w:right w:val="nil"/>
            </w:tcBorders>
            <w:shd w:val="clear" w:color="auto" w:fill="031F73" w:themeFill="text2"/>
            <w:vAlign w:val="center"/>
            <w:hideMark/>
          </w:tcPr>
          <w:p w14:paraId="7D664DE2"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2034/35</w:t>
            </w:r>
          </w:p>
        </w:tc>
      </w:tr>
      <w:tr w:rsidR="00376CDA" w:rsidRPr="0022670C" w14:paraId="61DA14DB" w14:textId="77777777" w:rsidTr="00376CDA">
        <w:trPr>
          <w:trHeight w:val="250"/>
        </w:trPr>
        <w:tc>
          <w:tcPr>
            <w:tcW w:w="1239" w:type="pct"/>
            <w:tcBorders>
              <w:top w:val="nil"/>
              <w:left w:val="nil"/>
              <w:bottom w:val="nil"/>
              <w:right w:val="nil"/>
            </w:tcBorders>
            <w:shd w:val="clear" w:color="auto" w:fill="031F73" w:themeFill="text2"/>
            <w:vAlign w:val="center"/>
            <w:hideMark/>
          </w:tcPr>
          <w:p w14:paraId="5E2AA97F"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454" w:type="pct"/>
            <w:tcBorders>
              <w:top w:val="nil"/>
              <w:left w:val="nil"/>
              <w:bottom w:val="nil"/>
              <w:right w:val="nil"/>
            </w:tcBorders>
            <w:shd w:val="clear" w:color="auto" w:fill="031F73" w:themeFill="text2"/>
            <w:vAlign w:val="center"/>
            <w:hideMark/>
          </w:tcPr>
          <w:p w14:paraId="25B5597C"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3936B68D"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03060429"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18DA5092"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0A51A2F2"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78E4E757"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008BF51D"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1446FA6F"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02021DD7"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263F71D9"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331" w:type="pct"/>
            <w:tcBorders>
              <w:top w:val="nil"/>
              <w:left w:val="nil"/>
              <w:bottom w:val="nil"/>
              <w:right w:val="nil"/>
            </w:tcBorders>
            <w:shd w:val="clear" w:color="auto" w:fill="031F73" w:themeFill="text2"/>
            <w:vAlign w:val="center"/>
            <w:hideMark/>
          </w:tcPr>
          <w:p w14:paraId="6AFF5E85" w14:textId="77777777" w:rsidR="00376CDA" w:rsidRPr="0022670C" w:rsidRDefault="00376CDA" w:rsidP="00376CDA">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r>
      <w:tr w:rsidR="00376CDA" w:rsidRPr="0022670C" w14:paraId="6BFD3A66" w14:textId="77777777" w:rsidTr="00376CDA">
        <w:trPr>
          <w:trHeight w:val="260"/>
        </w:trPr>
        <w:tc>
          <w:tcPr>
            <w:tcW w:w="1239" w:type="pct"/>
            <w:tcBorders>
              <w:top w:val="nil"/>
              <w:left w:val="nil"/>
              <w:bottom w:val="nil"/>
              <w:right w:val="nil"/>
            </w:tcBorders>
            <w:noWrap/>
            <w:vAlign w:val="bottom"/>
            <w:hideMark/>
          </w:tcPr>
          <w:p w14:paraId="065EF373"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Opening balance</w:t>
            </w:r>
          </w:p>
        </w:tc>
        <w:tc>
          <w:tcPr>
            <w:tcW w:w="454" w:type="pct"/>
            <w:tcBorders>
              <w:top w:val="nil"/>
              <w:left w:val="nil"/>
              <w:bottom w:val="nil"/>
              <w:right w:val="nil"/>
            </w:tcBorders>
            <w:noWrap/>
            <w:vAlign w:val="bottom"/>
            <w:hideMark/>
          </w:tcPr>
          <w:p w14:paraId="03AE26BF"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17,510 </w:t>
            </w:r>
          </w:p>
        </w:tc>
        <w:tc>
          <w:tcPr>
            <w:tcW w:w="331" w:type="pct"/>
            <w:tcBorders>
              <w:top w:val="nil"/>
              <w:left w:val="nil"/>
              <w:bottom w:val="nil"/>
              <w:right w:val="nil"/>
            </w:tcBorders>
            <w:noWrap/>
            <w:vAlign w:val="bottom"/>
            <w:hideMark/>
          </w:tcPr>
          <w:p w14:paraId="4B11280E"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33,014 </w:t>
            </w:r>
          </w:p>
        </w:tc>
        <w:tc>
          <w:tcPr>
            <w:tcW w:w="331" w:type="pct"/>
            <w:tcBorders>
              <w:top w:val="nil"/>
              <w:left w:val="nil"/>
              <w:bottom w:val="nil"/>
              <w:right w:val="nil"/>
            </w:tcBorders>
            <w:noWrap/>
            <w:vAlign w:val="bottom"/>
            <w:hideMark/>
          </w:tcPr>
          <w:p w14:paraId="6C3A838A"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51,503 </w:t>
            </w:r>
          </w:p>
        </w:tc>
        <w:tc>
          <w:tcPr>
            <w:tcW w:w="331" w:type="pct"/>
            <w:tcBorders>
              <w:top w:val="nil"/>
              <w:left w:val="nil"/>
              <w:bottom w:val="nil"/>
              <w:right w:val="nil"/>
            </w:tcBorders>
            <w:noWrap/>
            <w:vAlign w:val="bottom"/>
            <w:hideMark/>
          </w:tcPr>
          <w:p w14:paraId="1BD538E6"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67,114 </w:t>
            </w:r>
          </w:p>
        </w:tc>
        <w:tc>
          <w:tcPr>
            <w:tcW w:w="331" w:type="pct"/>
            <w:tcBorders>
              <w:top w:val="nil"/>
              <w:left w:val="nil"/>
              <w:bottom w:val="nil"/>
              <w:right w:val="nil"/>
            </w:tcBorders>
            <w:noWrap/>
            <w:vAlign w:val="bottom"/>
            <w:hideMark/>
          </w:tcPr>
          <w:p w14:paraId="5DF49B75"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82,857 </w:t>
            </w:r>
          </w:p>
        </w:tc>
        <w:tc>
          <w:tcPr>
            <w:tcW w:w="331" w:type="pct"/>
            <w:tcBorders>
              <w:top w:val="nil"/>
              <w:left w:val="nil"/>
              <w:bottom w:val="nil"/>
              <w:right w:val="nil"/>
            </w:tcBorders>
            <w:noWrap/>
            <w:vAlign w:val="bottom"/>
            <w:hideMark/>
          </w:tcPr>
          <w:p w14:paraId="0BFCB16C"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79,201 </w:t>
            </w:r>
          </w:p>
        </w:tc>
        <w:tc>
          <w:tcPr>
            <w:tcW w:w="331" w:type="pct"/>
            <w:tcBorders>
              <w:top w:val="nil"/>
              <w:left w:val="nil"/>
              <w:bottom w:val="nil"/>
              <w:right w:val="nil"/>
            </w:tcBorders>
            <w:noWrap/>
            <w:vAlign w:val="bottom"/>
            <w:hideMark/>
          </w:tcPr>
          <w:p w14:paraId="782F2E82"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74,687 </w:t>
            </w:r>
          </w:p>
        </w:tc>
        <w:tc>
          <w:tcPr>
            <w:tcW w:w="331" w:type="pct"/>
            <w:tcBorders>
              <w:top w:val="nil"/>
              <w:left w:val="nil"/>
              <w:bottom w:val="nil"/>
              <w:right w:val="nil"/>
            </w:tcBorders>
            <w:noWrap/>
            <w:vAlign w:val="bottom"/>
            <w:hideMark/>
          </w:tcPr>
          <w:p w14:paraId="45182CDC"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69,173 </w:t>
            </w:r>
          </w:p>
        </w:tc>
        <w:tc>
          <w:tcPr>
            <w:tcW w:w="331" w:type="pct"/>
            <w:tcBorders>
              <w:top w:val="nil"/>
              <w:left w:val="nil"/>
              <w:bottom w:val="nil"/>
              <w:right w:val="nil"/>
            </w:tcBorders>
            <w:noWrap/>
            <w:vAlign w:val="bottom"/>
            <w:hideMark/>
          </w:tcPr>
          <w:p w14:paraId="4B7DC2AC"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62,717 </w:t>
            </w:r>
          </w:p>
        </w:tc>
        <w:tc>
          <w:tcPr>
            <w:tcW w:w="331" w:type="pct"/>
            <w:tcBorders>
              <w:top w:val="nil"/>
              <w:left w:val="nil"/>
              <w:bottom w:val="nil"/>
              <w:right w:val="nil"/>
            </w:tcBorders>
            <w:noWrap/>
            <w:vAlign w:val="bottom"/>
            <w:hideMark/>
          </w:tcPr>
          <w:p w14:paraId="32A216A7"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55,275 </w:t>
            </w:r>
          </w:p>
        </w:tc>
        <w:tc>
          <w:tcPr>
            <w:tcW w:w="331" w:type="pct"/>
            <w:tcBorders>
              <w:top w:val="nil"/>
              <w:left w:val="nil"/>
              <w:bottom w:val="nil"/>
              <w:right w:val="nil"/>
            </w:tcBorders>
            <w:noWrap/>
            <w:vAlign w:val="bottom"/>
            <w:hideMark/>
          </w:tcPr>
          <w:p w14:paraId="0F4BDA2A"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46,828 </w:t>
            </w:r>
          </w:p>
        </w:tc>
      </w:tr>
      <w:tr w:rsidR="00376CDA" w:rsidRPr="0022670C" w14:paraId="559F94D6" w14:textId="77777777" w:rsidTr="00376CDA">
        <w:trPr>
          <w:trHeight w:val="250"/>
        </w:trPr>
        <w:tc>
          <w:tcPr>
            <w:tcW w:w="1239" w:type="pct"/>
            <w:tcBorders>
              <w:top w:val="nil"/>
              <w:left w:val="nil"/>
              <w:bottom w:val="nil"/>
              <w:right w:val="nil"/>
            </w:tcBorders>
            <w:noWrap/>
            <w:vAlign w:val="bottom"/>
            <w:hideMark/>
          </w:tcPr>
          <w:p w14:paraId="6CB63D49" w14:textId="77777777" w:rsidR="00376CDA" w:rsidRPr="0022670C" w:rsidRDefault="00376CDA" w:rsidP="00376CDA">
            <w:pPr>
              <w:spacing w:before="0" w:after="0"/>
              <w:rPr>
                <w:rFonts w:ascii="Arial" w:hAnsi="Arial" w:cs="Arial"/>
                <w:sz w:val="16"/>
                <w:szCs w:val="16"/>
              </w:rPr>
            </w:pPr>
            <w:proofErr w:type="gramStart"/>
            <w:r w:rsidRPr="0022670C">
              <w:rPr>
                <w:rFonts w:ascii="Arial" w:hAnsi="Arial" w:cs="Arial"/>
                <w:sz w:val="16"/>
                <w:szCs w:val="16"/>
              </w:rPr>
              <w:t>Plus</w:t>
            </w:r>
            <w:proofErr w:type="gramEnd"/>
            <w:r w:rsidRPr="0022670C">
              <w:rPr>
                <w:rFonts w:ascii="Arial" w:hAnsi="Arial" w:cs="Arial"/>
                <w:sz w:val="16"/>
                <w:szCs w:val="16"/>
              </w:rPr>
              <w:t xml:space="preserve"> new loans</w:t>
            </w:r>
          </w:p>
        </w:tc>
        <w:tc>
          <w:tcPr>
            <w:tcW w:w="454" w:type="pct"/>
            <w:tcBorders>
              <w:top w:val="nil"/>
              <w:left w:val="nil"/>
              <w:bottom w:val="nil"/>
              <w:right w:val="nil"/>
            </w:tcBorders>
            <w:noWrap/>
            <w:vAlign w:val="bottom"/>
            <w:hideMark/>
          </w:tcPr>
          <w:p w14:paraId="2659F875"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17,000 </w:t>
            </w:r>
          </w:p>
        </w:tc>
        <w:tc>
          <w:tcPr>
            <w:tcW w:w="331" w:type="pct"/>
            <w:tcBorders>
              <w:top w:val="nil"/>
              <w:left w:val="nil"/>
              <w:bottom w:val="nil"/>
              <w:right w:val="nil"/>
            </w:tcBorders>
            <w:noWrap/>
            <w:vAlign w:val="bottom"/>
            <w:hideMark/>
          </w:tcPr>
          <w:p w14:paraId="649D595F"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21,435 </w:t>
            </w:r>
          </w:p>
        </w:tc>
        <w:tc>
          <w:tcPr>
            <w:tcW w:w="331" w:type="pct"/>
            <w:tcBorders>
              <w:top w:val="nil"/>
              <w:left w:val="nil"/>
              <w:bottom w:val="nil"/>
              <w:right w:val="nil"/>
            </w:tcBorders>
            <w:noWrap/>
            <w:vAlign w:val="bottom"/>
            <w:hideMark/>
          </w:tcPr>
          <w:p w14:paraId="037A8C8C"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20,395 </w:t>
            </w:r>
          </w:p>
        </w:tc>
        <w:tc>
          <w:tcPr>
            <w:tcW w:w="331" w:type="pct"/>
            <w:tcBorders>
              <w:top w:val="nil"/>
              <w:left w:val="nil"/>
              <w:bottom w:val="nil"/>
              <w:right w:val="nil"/>
            </w:tcBorders>
            <w:noWrap/>
            <w:vAlign w:val="bottom"/>
            <w:hideMark/>
          </w:tcPr>
          <w:p w14:paraId="0F6E9414"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22,398 </w:t>
            </w:r>
          </w:p>
        </w:tc>
        <w:tc>
          <w:tcPr>
            <w:tcW w:w="331" w:type="pct"/>
            <w:tcBorders>
              <w:top w:val="nil"/>
              <w:left w:val="nil"/>
              <w:bottom w:val="nil"/>
              <w:right w:val="nil"/>
            </w:tcBorders>
            <w:noWrap/>
            <w:vAlign w:val="bottom"/>
            <w:hideMark/>
          </w:tcPr>
          <w:p w14:paraId="2033861B"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5,000 </w:t>
            </w:r>
          </w:p>
        </w:tc>
        <w:tc>
          <w:tcPr>
            <w:tcW w:w="331" w:type="pct"/>
            <w:tcBorders>
              <w:top w:val="nil"/>
              <w:left w:val="nil"/>
              <w:bottom w:val="nil"/>
              <w:right w:val="nil"/>
            </w:tcBorders>
            <w:noWrap/>
            <w:vAlign w:val="bottom"/>
            <w:hideMark/>
          </w:tcPr>
          <w:p w14:paraId="73AC6E2E"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5,000 </w:t>
            </w:r>
          </w:p>
        </w:tc>
        <w:tc>
          <w:tcPr>
            <w:tcW w:w="331" w:type="pct"/>
            <w:tcBorders>
              <w:top w:val="nil"/>
              <w:left w:val="nil"/>
              <w:bottom w:val="nil"/>
              <w:right w:val="nil"/>
            </w:tcBorders>
            <w:noWrap/>
            <w:vAlign w:val="bottom"/>
            <w:hideMark/>
          </w:tcPr>
          <w:p w14:paraId="390BD9A4"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5,000 </w:t>
            </w:r>
          </w:p>
        </w:tc>
        <w:tc>
          <w:tcPr>
            <w:tcW w:w="331" w:type="pct"/>
            <w:tcBorders>
              <w:top w:val="nil"/>
              <w:left w:val="nil"/>
              <w:bottom w:val="nil"/>
              <w:right w:val="nil"/>
            </w:tcBorders>
            <w:noWrap/>
            <w:vAlign w:val="bottom"/>
            <w:hideMark/>
          </w:tcPr>
          <w:p w14:paraId="16A93708"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5,000 </w:t>
            </w:r>
          </w:p>
        </w:tc>
        <w:tc>
          <w:tcPr>
            <w:tcW w:w="331" w:type="pct"/>
            <w:tcBorders>
              <w:top w:val="nil"/>
              <w:left w:val="nil"/>
              <w:bottom w:val="nil"/>
              <w:right w:val="nil"/>
            </w:tcBorders>
            <w:noWrap/>
            <w:vAlign w:val="bottom"/>
            <w:hideMark/>
          </w:tcPr>
          <w:p w14:paraId="74B0E833"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5,000 </w:t>
            </w:r>
          </w:p>
        </w:tc>
        <w:tc>
          <w:tcPr>
            <w:tcW w:w="331" w:type="pct"/>
            <w:tcBorders>
              <w:top w:val="nil"/>
              <w:left w:val="nil"/>
              <w:bottom w:val="nil"/>
              <w:right w:val="nil"/>
            </w:tcBorders>
            <w:noWrap/>
            <w:vAlign w:val="bottom"/>
            <w:hideMark/>
          </w:tcPr>
          <w:p w14:paraId="41C8D281"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5,000 </w:t>
            </w:r>
          </w:p>
        </w:tc>
        <w:tc>
          <w:tcPr>
            <w:tcW w:w="331" w:type="pct"/>
            <w:tcBorders>
              <w:top w:val="nil"/>
              <w:left w:val="nil"/>
              <w:bottom w:val="nil"/>
              <w:right w:val="nil"/>
            </w:tcBorders>
            <w:noWrap/>
            <w:vAlign w:val="bottom"/>
            <w:hideMark/>
          </w:tcPr>
          <w:p w14:paraId="504080F2"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   </w:t>
            </w:r>
          </w:p>
        </w:tc>
      </w:tr>
      <w:tr w:rsidR="00376CDA" w:rsidRPr="0022670C" w14:paraId="26AAAE59" w14:textId="77777777" w:rsidTr="00376CDA">
        <w:trPr>
          <w:trHeight w:val="250"/>
        </w:trPr>
        <w:tc>
          <w:tcPr>
            <w:tcW w:w="1239" w:type="pct"/>
            <w:tcBorders>
              <w:top w:val="nil"/>
              <w:left w:val="nil"/>
              <w:bottom w:val="nil"/>
              <w:right w:val="nil"/>
            </w:tcBorders>
            <w:noWrap/>
            <w:vAlign w:val="bottom"/>
            <w:hideMark/>
          </w:tcPr>
          <w:p w14:paraId="661DB62C"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Less Principal repayments</w:t>
            </w:r>
          </w:p>
        </w:tc>
        <w:tc>
          <w:tcPr>
            <w:tcW w:w="454" w:type="pct"/>
            <w:tcBorders>
              <w:top w:val="nil"/>
              <w:left w:val="nil"/>
              <w:bottom w:val="nil"/>
              <w:right w:val="nil"/>
            </w:tcBorders>
            <w:noWrap/>
            <w:vAlign w:val="bottom"/>
            <w:hideMark/>
          </w:tcPr>
          <w:p w14:paraId="1CE2AD6C"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1,496 </w:t>
            </w:r>
          </w:p>
        </w:tc>
        <w:tc>
          <w:tcPr>
            <w:tcW w:w="331" w:type="pct"/>
            <w:tcBorders>
              <w:top w:val="nil"/>
              <w:left w:val="nil"/>
              <w:bottom w:val="nil"/>
              <w:right w:val="nil"/>
            </w:tcBorders>
            <w:noWrap/>
            <w:vAlign w:val="bottom"/>
            <w:hideMark/>
          </w:tcPr>
          <w:p w14:paraId="3F23D03E"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2,946 </w:t>
            </w:r>
          </w:p>
        </w:tc>
        <w:tc>
          <w:tcPr>
            <w:tcW w:w="331" w:type="pct"/>
            <w:tcBorders>
              <w:top w:val="nil"/>
              <w:left w:val="nil"/>
              <w:bottom w:val="nil"/>
              <w:right w:val="nil"/>
            </w:tcBorders>
            <w:noWrap/>
            <w:vAlign w:val="bottom"/>
            <w:hideMark/>
          </w:tcPr>
          <w:p w14:paraId="5BF8A35A"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4,785 </w:t>
            </w:r>
          </w:p>
        </w:tc>
        <w:tc>
          <w:tcPr>
            <w:tcW w:w="331" w:type="pct"/>
            <w:tcBorders>
              <w:top w:val="nil"/>
              <w:left w:val="nil"/>
              <w:bottom w:val="nil"/>
              <w:right w:val="nil"/>
            </w:tcBorders>
            <w:noWrap/>
            <w:vAlign w:val="bottom"/>
            <w:hideMark/>
          </w:tcPr>
          <w:p w14:paraId="6C9FA2D0"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6,655 </w:t>
            </w:r>
          </w:p>
        </w:tc>
        <w:tc>
          <w:tcPr>
            <w:tcW w:w="331" w:type="pct"/>
            <w:tcBorders>
              <w:top w:val="nil"/>
              <w:left w:val="nil"/>
              <w:bottom w:val="nil"/>
              <w:right w:val="nil"/>
            </w:tcBorders>
            <w:noWrap/>
            <w:vAlign w:val="bottom"/>
            <w:hideMark/>
          </w:tcPr>
          <w:p w14:paraId="4335EDB7"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8,656 </w:t>
            </w:r>
          </w:p>
        </w:tc>
        <w:tc>
          <w:tcPr>
            <w:tcW w:w="331" w:type="pct"/>
            <w:tcBorders>
              <w:top w:val="nil"/>
              <w:left w:val="nil"/>
              <w:bottom w:val="nil"/>
              <w:right w:val="nil"/>
            </w:tcBorders>
            <w:noWrap/>
            <w:vAlign w:val="bottom"/>
            <w:hideMark/>
          </w:tcPr>
          <w:p w14:paraId="06ED4B8B"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9,514 </w:t>
            </w:r>
          </w:p>
        </w:tc>
        <w:tc>
          <w:tcPr>
            <w:tcW w:w="331" w:type="pct"/>
            <w:tcBorders>
              <w:top w:val="nil"/>
              <w:left w:val="nil"/>
              <w:bottom w:val="nil"/>
              <w:right w:val="nil"/>
            </w:tcBorders>
            <w:noWrap/>
            <w:vAlign w:val="bottom"/>
            <w:hideMark/>
          </w:tcPr>
          <w:p w14:paraId="5877C09A"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10,513 </w:t>
            </w:r>
          </w:p>
        </w:tc>
        <w:tc>
          <w:tcPr>
            <w:tcW w:w="331" w:type="pct"/>
            <w:tcBorders>
              <w:top w:val="nil"/>
              <w:left w:val="nil"/>
              <w:bottom w:val="nil"/>
              <w:right w:val="nil"/>
            </w:tcBorders>
            <w:noWrap/>
            <w:vAlign w:val="bottom"/>
            <w:hideMark/>
          </w:tcPr>
          <w:p w14:paraId="0524BB20"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11,456 </w:t>
            </w:r>
          </w:p>
        </w:tc>
        <w:tc>
          <w:tcPr>
            <w:tcW w:w="331" w:type="pct"/>
            <w:tcBorders>
              <w:top w:val="nil"/>
              <w:left w:val="nil"/>
              <w:bottom w:val="nil"/>
              <w:right w:val="nil"/>
            </w:tcBorders>
            <w:noWrap/>
            <w:vAlign w:val="bottom"/>
            <w:hideMark/>
          </w:tcPr>
          <w:p w14:paraId="6D2B72AB"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12,442 </w:t>
            </w:r>
          </w:p>
        </w:tc>
        <w:tc>
          <w:tcPr>
            <w:tcW w:w="331" w:type="pct"/>
            <w:tcBorders>
              <w:top w:val="nil"/>
              <w:left w:val="nil"/>
              <w:bottom w:val="nil"/>
              <w:right w:val="nil"/>
            </w:tcBorders>
            <w:noWrap/>
            <w:vAlign w:val="bottom"/>
            <w:hideMark/>
          </w:tcPr>
          <w:p w14:paraId="36DB053B"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13,447 </w:t>
            </w:r>
          </w:p>
        </w:tc>
        <w:tc>
          <w:tcPr>
            <w:tcW w:w="331" w:type="pct"/>
            <w:tcBorders>
              <w:top w:val="nil"/>
              <w:left w:val="nil"/>
              <w:bottom w:val="nil"/>
              <w:right w:val="nil"/>
            </w:tcBorders>
            <w:noWrap/>
            <w:vAlign w:val="bottom"/>
            <w:hideMark/>
          </w:tcPr>
          <w:p w14:paraId="0B646CB2"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11,952 </w:t>
            </w:r>
          </w:p>
        </w:tc>
      </w:tr>
      <w:tr w:rsidR="00376CDA" w:rsidRPr="0022670C" w14:paraId="4129048C" w14:textId="77777777" w:rsidTr="00376CDA">
        <w:trPr>
          <w:trHeight w:val="260"/>
        </w:trPr>
        <w:tc>
          <w:tcPr>
            <w:tcW w:w="1239" w:type="pct"/>
            <w:tcBorders>
              <w:top w:val="nil"/>
              <w:left w:val="nil"/>
              <w:bottom w:val="nil"/>
              <w:right w:val="nil"/>
            </w:tcBorders>
            <w:noWrap/>
            <w:vAlign w:val="bottom"/>
            <w:hideMark/>
          </w:tcPr>
          <w:p w14:paraId="7CEF6352"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Closing balance</w:t>
            </w:r>
          </w:p>
        </w:tc>
        <w:tc>
          <w:tcPr>
            <w:tcW w:w="454" w:type="pct"/>
            <w:tcBorders>
              <w:top w:val="nil"/>
              <w:left w:val="nil"/>
              <w:bottom w:val="nil"/>
              <w:right w:val="nil"/>
            </w:tcBorders>
            <w:noWrap/>
            <w:vAlign w:val="bottom"/>
            <w:hideMark/>
          </w:tcPr>
          <w:p w14:paraId="06C23C93"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33,014 </w:t>
            </w:r>
          </w:p>
        </w:tc>
        <w:tc>
          <w:tcPr>
            <w:tcW w:w="331" w:type="pct"/>
            <w:tcBorders>
              <w:top w:val="nil"/>
              <w:left w:val="nil"/>
              <w:bottom w:val="nil"/>
              <w:right w:val="nil"/>
            </w:tcBorders>
            <w:noWrap/>
            <w:vAlign w:val="bottom"/>
            <w:hideMark/>
          </w:tcPr>
          <w:p w14:paraId="649A8993"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51,503 </w:t>
            </w:r>
          </w:p>
        </w:tc>
        <w:tc>
          <w:tcPr>
            <w:tcW w:w="331" w:type="pct"/>
            <w:tcBorders>
              <w:top w:val="nil"/>
              <w:left w:val="nil"/>
              <w:bottom w:val="nil"/>
              <w:right w:val="nil"/>
            </w:tcBorders>
            <w:noWrap/>
            <w:vAlign w:val="bottom"/>
            <w:hideMark/>
          </w:tcPr>
          <w:p w14:paraId="179CB2C2"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67,114 </w:t>
            </w:r>
          </w:p>
        </w:tc>
        <w:tc>
          <w:tcPr>
            <w:tcW w:w="331" w:type="pct"/>
            <w:tcBorders>
              <w:top w:val="nil"/>
              <w:left w:val="nil"/>
              <w:bottom w:val="nil"/>
              <w:right w:val="nil"/>
            </w:tcBorders>
            <w:noWrap/>
            <w:vAlign w:val="bottom"/>
            <w:hideMark/>
          </w:tcPr>
          <w:p w14:paraId="71827498"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82,857 </w:t>
            </w:r>
          </w:p>
        </w:tc>
        <w:tc>
          <w:tcPr>
            <w:tcW w:w="331" w:type="pct"/>
            <w:tcBorders>
              <w:top w:val="nil"/>
              <w:left w:val="nil"/>
              <w:bottom w:val="nil"/>
              <w:right w:val="nil"/>
            </w:tcBorders>
            <w:noWrap/>
            <w:vAlign w:val="bottom"/>
            <w:hideMark/>
          </w:tcPr>
          <w:p w14:paraId="34BFED4C"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79,201 </w:t>
            </w:r>
          </w:p>
        </w:tc>
        <w:tc>
          <w:tcPr>
            <w:tcW w:w="331" w:type="pct"/>
            <w:tcBorders>
              <w:top w:val="nil"/>
              <w:left w:val="nil"/>
              <w:bottom w:val="nil"/>
              <w:right w:val="nil"/>
            </w:tcBorders>
            <w:noWrap/>
            <w:vAlign w:val="bottom"/>
            <w:hideMark/>
          </w:tcPr>
          <w:p w14:paraId="41FF3CAC"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74,687 </w:t>
            </w:r>
          </w:p>
        </w:tc>
        <w:tc>
          <w:tcPr>
            <w:tcW w:w="331" w:type="pct"/>
            <w:tcBorders>
              <w:top w:val="nil"/>
              <w:left w:val="nil"/>
              <w:bottom w:val="nil"/>
              <w:right w:val="nil"/>
            </w:tcBorders>
            <w:noWrap/>
            <w:vAlign w:val="bottom"/>
            <w:hideMark/>
          </w:tcPr>
          <w:p w14:paraId="77C777EF"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69,173 </w:t>
            </w:r>
          </w:p>
        </w:tc>
        <w:tc>
          <w:tcPr>
            <w:tcW w:w="331" w:type="pct"/>
            <w:tcBorders>
              <w:top w:val="nil"/>
              <w:left w:val="nil"/>
              <w:bottom w:val="nil"/>
              <w:right w:val="nil"/>
            </w:tcBorders>
            <w:noWrap/>
            <w:vAlign w:val="bottom"/>
            <w:hideMark/>
          </w:tcPr>
          <w:p w14:paraId="3A5109C8"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62,717 </w:t>
            </w:r>
          </w:p>
        </w:tc>
        <w:tc>
          <w:tcPr>
            <w:tcW w:w="331" w:type="pct"/>
            <w:tcBorders>
              <w:top w:val="nil"/>
              <w:left w:val="nil"/>
              <w:bottom w:val="nil"/>
              <w:right w:val="nil"/>
            </w:tcBorders>
            <w:noWrap/>
            <w:vAlign w:val="bottom"/>
            <w:hideMark/>
          </w:tcPr>
          <w:p w14:paraId="51F0FE2B"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55,275 </w:t>
            </w:r>
          </w:p>
        </w:tc>
        <w:tc>
          <w:tcPr>
            <w:tcW w:w="331" w:type="pct"/>
            <w:tcBorders>
              <w:top w:val="nil"/>
              <w:left w:val="nil"/>
              <w:bottom w:val="nil"/>
              <w:right w:val="nil"/>
            </w:tcBorders>
            <w:noWrap/>
            <w:vAlign w:val="bottom"/>
            <w:hideMark/>
          </w:tcPr>
          <w:p w14:paraId="2553A086"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46,828 </w:t>
            </w:r>
          </w:p>
        </w:tc>
        <w:tc>
          <w:tcPr>
            <w:tcW w:w="331" w:type="pct"/>
            <w:tcBorders>
              <w:top w:val="nil"/>
              <w:left w:val="nil"/>
              <w:bottom w:val="nil"/>
              <w:right w:val="nil"/>
            </w:tcBorders>
            <w:noWrap/>
            <w:vAlign w:val="bottom"/>
            <w:hideMark/>
          </w:tcPr>
          <w:p w14:paraId="1441F38C" w14:textId="77777777" w:rsidR="00376CDA" w:rsidRPr="0022670C" w:rsidRDefault="00376CDA" w:rsidP="00376CDA">
            <w:pPr>
              <w:spacing w:before="0" w:after="0"/>
              <w:rPr>
                <w:rFonts w:ascii="Arial" w:hAnsi="Arial" w:cs="Arial"/>
                <w:b/>
                <w:bCs/>
                <w:sz w:val="16"/>
                <w:szCs w:val="16"/>
              </w:rPr>
            </w:pPr>
            <w:r w:rsidRPr="0022670C">
              <w:rPr>
                <w:rFonts w:ascii="Arial" w:hAnsi="Arial" w:cs="Arial"/>
                <w:b/>
                <w:bCs/>
                <w:sz w:val="16"/>
                <w:szCs w:val="16"/>
              </w:rPr>
              <w:t xml:space="preserve">    34,876 </w:t>
            </w:r>
          </w:p>
        </w:tc>
      </w:tr>
      <w:tr w:rsidR="00376CDA" w:rsidRPr="00551FBF" w14:paraId="0508D759" w14:textId="77777777" w:rsidTr="00376CDA">
        <w:trPr>
          <w:trHeight w:val="250"/>
        </w:trPr>
        <w:tc>
          <w:tcPr>
            <w:tcW w:w="1239" w:type="pct"/>
            <w:tcBorders>
              <w:top w:val="nil"/>
              <w:left w:val="nil"/>
              <w:bottom w:val="nil"/>
              <w:right w:val="nil"/>
            </w:tcBorders>
            <w:noWrap/>
            <w:vAlign w:val="bottom"/>
            <w:hideMark/>
          </w:tcPr>
          <w:p w14:paraId="5DA03BA9"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Interest payment</w:t>
            </w:r>
          </w:p>
        </w:tc>
        <w:tc>
          <w:tcPr>
            <w:tcW w:w="454" w:type="pct"/>
            <w:tcBorders>
              <w:top w:val="nil"/>
              <w:left w:val="nil"/>
              <w:bottom w:val="nil"/>
              <w:right w:val="nil"/>
            </w:tcBorders>
            <w:noWrap/>
            <w:vAlign w:val="bottom"/>
            <w:hideMark/>
          </w:tcPr>
          <w:p w14:paraId="671DA333"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915 </w:t>
            </w:r>
          </w:p>
        </w:tc>
        <w:tc>
          <w:tcPr>
            <w:tcW w:w="331" w:type="pct"/>
            <w:tcBorders>
              <w:top w:val="nil"/>
              <w:left w:val="nil"/>
              <w:bottom w:val="nil"/>
              <w:right w:val="nil"/>
            </w:tcBorders>
            <w:noWrap/>
            <w:vAlign w:val="bottom"/>
            <w:hideMark/>
          </w:tcPr>
          <w:p w14:paraId="770ACF70"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1,676 </w:t>
            </w:r>
          </w:p>
        </w:tc>
        <w:tc>
          <w:tcPr>
            <w:tcW w:w="331" w:type="pct"/>
            <w:tcBorders>
              <w:top w:val="nil"/>
              <w:left w:val="nil"/>
              <w:bottom w:val="nil"/>
              <w:right w:val="nil"/>
            </w:tcBorders>
            <w:noWrap/>
            <w:vAlign w:val="bottom"/>
            <w:hideMark/>
          </w:tcPr>
          <w:p w14:paraId="74C4FBD0"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2,554 </w:t>
            </w:r>
          </w:p>
        </w:tc>
        <w:tc>
          <w:tcPr>
            <w:tcW w:w="331" w:type="pct"/>
            <w:tcBorders>
              <w:top w:val="nil"/>
              <w:left w:val="nil"/>
              <w:bottom w:val="nil"/>
              <w:right w:val="nil"/>
            </w:tcBorders>
            <w:noWrap/>
            <w:vAlign w:val="bottom"/>
            <w:hideMark/>
          </w:tcPr>
          <w:p w14:paraId="43FD4BC7"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3,301 </w:t>
            </w:r>
          </w:p>
        </w:tc>
        <w:tc>
          <w:tcPr>
            <w:tcW w:w="331" w:type="pct"/>
            <w:tcBorders>
              <w:top w:val="nil"/>
              <w:left w:val="nil"/>
              <w:bottom w:val="nil"/>
              <w:right w:val="nil"/>
            </w:tcBorders>
            <w:noWrap/>
            <w:vAlign w:val="bottom"/>
            <w:hideMark/>
          </w:tcPr>
          <w:p w14:paraId="6750FCD0"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3,964 </w:t>
            </w:r>
          </w:p>
        </w:tc>
        <w:tc>
          <w:tcPr>
            <w:tcW w:w="331" w:type="pct"/>
            <w:tcBorders>
              <w:top w:val="nil"/>
              <w:left w:val="nil"/>
              <w:bottom w:val="nil"/>
              <w:right w:val="nil"/>
            </w:tcBorders>
            <w:noWrap/>
            <w:vAlign w:val="bottom"/>
            <w:hideMark/>
          </w:tcPr>
          <w:p w14:paraId="28FFAA81"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3,714 </w:t>
            </w:r>
          </w:p>
        </w:tc>
        <w:tc>
          <w:tcPr>
            <w:tcW w:w="331" w:type="pct"/>
            <w:tcBorders>
              <w:top w:val="nil"/>
              <w:left w:val="nil"/>
              <w:bottom w:val="nil"/>
              <w:right w:val="nil"/>
            </w:tcBorders>
            <w:noWrap/>
            <w:vAlign w:val="bottom"/>
            <w:hideMark/>
          </w:tcPr>
          <w:p w14:paraId="733CE2C3"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3,473 </w:t>
            </w:r>
          </w:p>
        </w:tc>
        <w:tc>
          <w:tcPr>
            <w:tcW w:w="331" w:type="pct"/>
            <w:tcBorders>
              <w:top w:val="nil"/>
              <w:left w:val="nil"/>
              <w:bottom w:val="nil"/>
              <w:right w:val="nil"/>
            </w:tcBorders>
            <w:noWrap/>
            <w:vAlign w:val="bottom"/>
            <w:hideMark/>
          </w:tcPr>
          <w:p w14:paraId="01D4531F"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3,138 </w:t>
            </w:r>
          </w:p>
        </w:tc>
        <w:tc>
          <w:tcPr>
            <w:tcW w:w="331" w:type="pct"/>
            <w:tcBorders>
              <w:top w:val="nil"/>
              <w:left w:val="nil"/>
              <w:bottom w:val="nil"/>
              <w:right w:val="nil"/>
            </w:tcBorders>
            <w:noWrap/>
            <w:vAlign w:val="bottom"/>
            <w:hideMark/>
          </w:tcPr>
          <w:p w14:paraId="49857E8A"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2,760 </w:t>
            </w:r>
          </w:p>
        </w:tc>
        <w:tc>
          <w:tcPr>
            <w:tcW w:w="331" w:type="pct"/>
            <w:tcBorders>
              <w:top w:val="nil"/>
              <w:left w:val="nil"/>
              <w:bottom w:val="nil"/>
              <w:right w:val="nil"/>
            </w:tcBorders>
            <w:noWrap/>
            <w:vAlign w:val="bottom"/>
            <w:hideMark/>
          </w:tcPr>
          <w:p w14:paraId="21544968"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2,335 </w:t>
            </w:r>
          </w:p>
        </w:tc>
        <w:tc>
          <w:tcPr>
            <w:tcW w:w="331" w:type="pct"/>
            <w:tcBorders>
              <w:top w:val="nil"/>
              <w:left w:val="nil"/>
              <w:bottom w:val="nil"/>
              <w:right w:val="nil"/>
            </w:tcBorders>
            <w:noWrap/>
            <w:vAlign w:val="bottom"/>
            <w:hideMark/>
          </w:tcPr>
          <w:p w14:paraId="3990DA05" w14:textId="77777777" w:rsidR="00376CDA" w:rsidRPr="0022670C" w:rsidRDefault="00376CDA" w:rsidP="00376CDA">
            <w:pPr>
              <w:spacing w:before="0" w:after="0"/>
              <w:rPr>
                <w:rFonts w:ascii="Arial" w:hAnsi="Arial" w:cs="Arial"/>
                <w:sz w:val="16"/>
                <w:szCs w:val="16"/>
              </w:rPr>
            </w:pPr>
            <w:r w:rsidRPr="0022670C">
              <w:rPr>
                <w:rFonts w:ascii="Arial" w:hAnsi="Arial" w:cs="Arial"/>
                <w:sz w:val="16"/>
                <w:szCs w:val="16"/>
              </w:rPr>
              <w:t xml:space="preserve">      1,851 </w:t>
            </w:r>
          </w:p>
        </w:tc>
      </w:tr>
    </w:tbl>
    <w:p w14:paraId="0D685396" w14:textId="77777777" w:rsidR="00CE5B2F" w:rsidRPr="00551FBF" w:rsidRDefault="00CE5B2F" w:rsidP="009C38E9">
      <w:pPr>
        <w:rPr>
          <w:highlight w:val="yellow"/>
          <w:lang w:eastAsia="en-US"/>
        </w:rPr>
      </w:pPr>
    </w:p>
    <w:p w14:paraId="07B25C93" w14:textId="77777777" w:rsidR="00B00E10" w:rsidRPr="00551FBF" w:rsidRDefault="00B00E10">
      <w:pPr>
        <w:rPr>
          <w:rFonts w:ascii="Franklin Gothic Demi" w:eastAsiaTheme="majorEastAsia" w:hAnsi="Franklin Gothic Demi" w:cstheme="majorBidi"/>
          <w:i/>
          <w:sz w:val="28"/>
          <w:highlight w:val="yellow"/>
          <w:lang w:eastAsia="en-US"/>
        </w:rPr>
      </w:pPr>
      <w:r w:rsidRPr="00551FBF">
        <w:rPr>
          <w:highlight w:val="yellow"/>
        </w:rPr>
        <w:br w:type="page"/>
      </w:r>
    </w:p>
    <w:p w14:paraId="3D0B9BB1" w14:textId="423997A7" w:rsidR="003C1876" w:rsidRPr="0022670C" w:rsidRDefault="0022670C" w:rsidP="0022670C">
      <w:pPr>
        <w:pStyle w:val="Heading2"/>
      </w:pPr>
      <w:bookmarkStart w:id="71" w:name="_Toc210205649"/>
      <w:bookmarkStart w:id="72" w:name="_Toc211874603"/>
      <w:r>
        <w:lastRenderedPageBreak/>
        <w:t xml:space="preserve">9.2 </w:t>
      </w:r>
      <w:r w:rsidR="009C5E14" w:rsidRPr="0022670C">
        <w:t>Reserves strategy</w:t>
      </w:r>
      <w:bookmarkEnd w:id="71"/>
      <w:bookmarkEnd w:id="72"/>
    </w:p>
    <w:p w14:paraId="6A92B5D4" w14:textId="6F1D9645" w:rsidR="009C5E14" w:rsidRPr="0022670C" w:rsidRDefault="00DE67CD" w:rsidP="009C5E14">
      <w:pPr>
        <w:rPr>
          <w:lang w:eastAsia="en-US"/>
        </w:rPr>
      </w:pPr>
      <w:r w:rsidRPr="0022670C">
        <w:rPr>
          <w:lang w:eastAsia="en-US"/>
        </w:rPr>
        <w:t>Council maintains a mix of statutory</w:t>
      </w:r>
      <w:r w:rsidR="007309E8" w:rsidRPr="0022670C">
        <w:rPr>
          <w:lang w:eastAsia="en-US"/>
        </w:rPr>
        <w:t>, cash back</w:t>
      </w:r>
      <w:r w:rsidR="008202E2" w:rsidRPr="0022670C">
        <w:rPr>
          <w:lang w:eastAsia="en-US"/>
        </w:rPr>
        <w:t>ed</w:t>
      </w:r>
      <w:r w:rsidR="007309E8" w:rsidRPr="0022670C">
        <w:rPr>
          <w:lang w:eastAsia="en-US"/>
        </w:rPr>
        <w:t xml:space="preserve"> reserves and specific purpose discretionary reserves</w:t>
      </w:r>
      <w:r w:rsidR="005339FA" w:rsidRPr="0022670C">
        <w:rPr>
          <w:lang w:eastAsia="en-US"/>
        </w:rPr>
        <w:t xml:space="preserve">, which are outlined in Council’s Financial Reserves Management Policy.  </w:t>
      </w:r>
    </w:p>
    <w:p w14:paraId="1E0DE9F1" w14:textId="4116831D" w:rsidR="005339FA" w:rsidRPr="0022670C" w:rsidRDefault="00323A5F" w:rsidP="009C5E14">
      <w:pPr>
        <w:rPr>
          <w:lang w:eastAsia="en-US"/>
        </w:rPr>
      </w:pPr>
      <w:r w:rsidRPr="0022670C">
        <w:rPr>
          <w:lang w:eastAsia="en-US"/>
        </w:rPr>
        <w:t xml:space="preserve">The total amount of reserves, for each year, </w:t>
      </w:r>
      <w:r w:rsidR="00F81697" w:rsidRPr="0022670C">
        <w:rPr>
          <w:lang w:eastAsia="en-US"/>
        </w:rPr>
        <w:t xml:space="preserve">align with </w:t>
      </w:r>
      <w:r w:rsidR="00E5403C" w:rsidRPr="0022670C">
        <w:rPr>
          <w:lang w:eastAsia="en-US"/>
        </w:rPr>
        <w:t xml:space="preserve">the </w:t>
      </w:r>
      <w:r w:rsidRPr="0022670C">
        <w:rPr>
          <w:lang w:eastAsia="en-US"/>
        </w:rPr>
        <w:t xml:space="preserve">Statement of Changes in Equity. </w:t>
      </w:r>
    </w:p>
    <w:tbl>
      <w:tblPr>
        <w:tblW w:w="0" w:type="auto"/>
        <w:tblLayout w:type="fixed"/>
        <w:tblLook w:val="04A0" w:firstRow="1" w:lastRow="0" w:firstColumn="1" w:lastColumn="0" w:noHBand="0" w:noVBand="1"/>
      </w:tblPr>
      <w:tblGrid>
        <w:gridCol w:w="2268"/>
        <w:gridCol w:w="1276"/>
        <w:gridCol w:w="865"/>
        <w:gridCol w:w="865"/>
        <w:gridCol w:w="865"/>
        <w:gridCol w:w="865"/>
        <w:gridCol w:w="865"/>
        <w:gridCol w:w="865"/>
        <w:gridCol w:w="865"/>
        <w:gridCol w:w="865"/>
        <w:gridCol w:w="865"/>
        <w:gridCol w:w="865"/>
        <w:gridCol w:w="822"/>
      </w:tblGrid>
      <w:tr w:rsidR="00B00E10" w:rsidRPr="0022670C" w14:paraId="771C2AE9" w14:textId="77777777" w:rsidTr="00EA7835">
        <w:trPr>
          <w:trHeight w:val="250"/>
          <w:tblHeader/>
        </w:trPr>
        <w:tc>
          <w:tcPr>
            <w:tcW w:w="2268" w:type="dxa"/>
            <w:tcBorders>
              <w:top w:val="nil"/>
              <w:left w:val="nil"/>
              <w:bottom w:val="nil"/>
              <w:right w:val="nil"/>
            </w:tcBorders>
            <w:shd w:val="clear" w:color="auto" w:fill="031F73" w:themeFill="text2"/>
            <w:vAlign w:val="center"/>
            <w:hideMark/>
          </w:tcPr>
          <w:p w14:paraId="17BF1C2B" w14:textId="275FC25F" w:rsidR="00B00E10" w:rsidRPr="0022670C" w:rsidRDefault="00B00E10" w:rsidP="00EA7835">
            <w:pPr>
              <w:spacing w:before="0" w:after="0"/>
              <w:rPr>
                <w:rFonts w:ascii="Arial" w:hAnsi="Arial" w:cs="Arial"/>
                <w:b/>
                <w:bCs/>
                <w:color w:val="FFFFFF"/>
                <w:sz w:val="16"/>
                <w:szCs w:val="16"/>
              </w:rPr>
            </w:pPr>
          </w:p>
        </w:tc>
        <w:tc>
          <w:tcPr>
            <w:tcW w:w="1276" w:type="dxa"/>
            <w:tcBorders>
              <w:top w:val="nil"/>
              <w:left w:val="nil"/>
              <w:bottom w:val="nil"/>
              <w:right w:val="nil"/>
            </w:tcBorders>
            <w:shd w:val="clear" w:color="auto" w:fill="031F73" w:themeFill="text2"/>
            <w:vAlign w:val="center"/>
            <w:hideMark/>
          </w:tcPr>
          <w:p w14:paraId="19A851C6" w14:textId="1FB082F1" w:rsidR="00B00E10" w:rsidRPr="0022670C" w:rsidRDefault="00B00E10" w:rsidP="00EA7835">
            <w:pPr>
              <w:spacing w:before="0" w:after="0"/>
              <w:rPr>
                <w:rFonts w:ascii="Arial" w:hAnsi="Arial" w:cs="Arial"/>
                <w:b/>
                <w:bCs/>
                <w:color w:val="FFFFFF"/>
                <w:sz w:val="16"/>
                <w:szCs w:val="16"/>
              </w:rPr>
            </w:pPr>
          </w:p>
        </w:tc>
        <w:tc>
          <w:tcPr>
            <w:tcW w:w="865" w:type="dxa"/>
            <w:tcBorders>
              <w:top w:val="nil"/>
              <w:left w:val="nil"/>
              <w:bottom w:val="nil"/>
              <w:right w:val="nil"/>
            </w:tcBorders>
            <w:shd w:val="clear" w:color="auto" w:fill="031F73" w:themeFill="text2"/>
            <w:vAlign w:val="center"/>
            <w:hideMark/>
          </w:tcPr>
          <w:p w14:paraId="6955DC96"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 </w:t>
            </w:r>
          </w:p>
        </w:tc>
        <w:tc>
          <w:tcPr>
            <w:tcW w:w="8607" w:type="dxa"/>
            <w:gridSpan w:val="10"/>
            <w:vMerge w:val="restart"/>
            <w:tcBorders>
              <w:top w:val="nil"/>
              <w:left w:val="nil"/>
              <w:bottom w:val="nil"/>
              <w:right w:val="nil"/>
            </w:tcBorders>
            <w:shd w:val="clear" w:color="auto" w:fill="031F73" w:themeFill="text2"/>
            <w:vAlign w:val="center"/>
            <w:hideMark/>
          </w:tcPr>
          <w:p w14:paraId="1DFC6785"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Projections</w:t>
            </w:r>
          </w:p>
        </w:tc>
      </w:tr>
      <w:tr w:rsidR="00B00E10" w:rsidRPr="0022670C" w14:paraId="2947F154" w14:textId="77777777" w:rsidTr="00EA7835">
        <w:trPr>
          <w:trHeight w:val="250"/>
          <w:tblHeader/>
        </w:trPr>
        <w:tc>
          <w:tcPr>
            <w:tcW w:w="2268" w:type="dxa"/>
            <w:tcBorders>
              <w:top w:val="nil"/>
              <w:left w:val="nil"/>
              <w:bottom w:val="nil"/>
              <w:right w:val="nil"/>
            </w:tcBorders>
            <w:shd w:val="clear" w:color="auto" w:fill="031F73" w:themeFill="text2"/>
            <w:vAlign w:val="center"/>
            <w:hideMark/>
          </w:tcPr>
          <w:p w14:paraId="0EA7256F" w14:textId="519C1584" w:rsidR="00B00E10" w:rsidRPr="0022670C" w:rsidRDefault="00B00E10" w:rsidP="00EA7835">
            <w:pPr>
              <w:spacing w:before="0" w:after="0"/>
              <w:rPr>
                <w:rFonts w:ascii="Arial" w:hAnsi="Arial" w:cs="Arial"/>
                <w:b/>
                <w:bCs/>
                <w:color w:val="FFFFFF"/>
                <w:sz w:val="16"/>
                <w:szCs w:val="16"/>
              </w:rPr>
            </w:pPr>
          </w:p>
        </w:tc>
        <w:tc>
          <w:tcPr>
            <w:tcW w:w="1276" w:type="dxa"/>
            <w:tcBorders>
              <w:top w:val="nil"/>
              <w:left w:val="nil"/>
              <w:bottom w:val="nil"/>
              <w:right w:val="nil"/>
            </w:tcBorders>
            <w:shd w:val="clear" w:color="auto" w:fill="031F73" w:themeFill="text2"/>
            <w:vAlign w:val="center"/>
            <w:hideMark/>
          </w:tcPr>
          <w:p w14:paraId="3D53BF4F" w14:textId="6BF24B1B" w:rsidR="00B00E10" w:rsidRPr="0022670C" w:rsidRDefault="00B00E10" w:rsidP="00EA7835">
            <w:pPr>
              <w:spacing w:before="0" w:after="0"/>
              <w:rPr>
                <w:rFonts w:ascii="Arial" w:hAnsi="Arial" w:cs="Arial"/>
                <w:b/>
                <w:bCs/>
                <w:color w:val="FFFFFF"/>
                <w:sz w:val="16"/>
                <w:szCs w:val="16"/>
              </w:rPr>
            </w:pPr>
          </w:p>
        </w:tc>
        <w:tc>
          <w:tcPr>
            <w:tcW w:w="865" w:type="dxa"/>
            <w:tcBorders>
              <w:top w:val="nil"/>
              <w:left w:val="nil"/>
              <w:bottom w:val="nil"/>
              <w:right w:val="nil"/>
            </w:tcBorders>
            <w:shd w:val="clear" w:color="auto" w:fill="031F73" w:themeFill="text2"/>
            <w:vAlign w:val="center"/>
            <w:hideMark/>
          </w:tcPr>
          <w:p w14:paraId="50DF0514"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Actual</w:t>
            </w:r>
          </w:p>
        </w:tc>
        <w:tc>
          <w:tcPr>
            <w:tcW w:w="8607" w:type="dxa"/>
            <w:gridSpan w:val="10"/>
            <w:vMerge/>
            <w:tcBorders>
              <w:top w:val="nil"/>
              <w:left w:val="nil"/>
              <w:bottom w:val="nil"/>
              <w:right w:val="nil"/>
            </w:tcBorders>
            <w:shd w:val="clear" w:color="auto" w:fill="031F73" w:themeFill="text2"/>
            <w:vAlign w:val="center"/>
            <w:hideMark/>
          </w:tcPr>
          <w:p w14:paraId="16D29FC4" w14:textId="77777777" w:rsidR="00B00E10" w:rsidRPr="0022670C" w:rsidRDefault="00B00E10" w:rsidP="00B00E10">
            <w:pPr>
              <w:spacing w:before="0" w:after="0"/>
              <w:rPr>
                <w:rFonts w:ascii="Arial" w:hAnsi="Arial" w:cs="Arial"/>
                <w:b/>
                <w:bCs/>
                <w:color w:val="FFFFFF"/>
                <w:sz w:val="16"/>
                <w:szCs w:val="16"/>
              </w:rPr>
            </w:pPr>
          </w:p>
        </w:tc>
      </w:tr>
      <w:tr w:rsidR="00B00E10" w:rsidRPr="0022670C" w14:paraId="018D5AFD" w14:textId="77777777" w:rsidTr="00EA7835">
        <w:trPr>
          <w:trHeight w:val="420"/>
          <w:tblHeader/>
        </w:trPr>
        <w:tc>
          <w:tcPr>
            <w:tcW w:w="2268" w:type="dxa"/>
            <w:tcBorders>
              <w:top w:val="nil"/>
              <w:left w:val="nil"/>
              <w:bottom w:val="nil"/>
              <w:right w:val="nil"/>
            </w:tcBorders>
            <w:shd w:val="clear" w:color="auto" w:fill="031F73" w:themeFill="text2"/>
            <w:vAlign w:val="center"/>
            <w:hideMark/>
          </w:tcPr>
          <w:p w14:paraId="4801F629" w14:textId="77777777" w:rsidR="00B00E10" w:rsidRPr="0022670C" w:rsidRDefault="00B00E10" w:rsidP="00EA7835">
            <w:pPr>
              <w:spacing w:before="0" w:after="0"/>
              <w:rPr>
                <w:rFonts w:ascii="Arial" w:hAnsi="Arial" w:cs="Arial"/>
                <w:b/>
                <w:bCs/>
                <w:color w:val="FFFFFF"/>
                <w:sz w:val="16"/>
                <w:szCs w:val="16"/>
              </w:rPr>
            </w:pPr>
            <w:r w:rsidRPr="0022670C">
              <w:rPr>
                <w:rFonts w:ascii="Arial" w:hAnsi="Arial" w:cs="Arial"/>
                <w:b/>
                <w:bCs/>
                <w:color w:val="FFFFFF"/>
                <w:sz w:val="16"/>
                <w:szCs w:val="16"/>
              </w:rPr>
              <w:t>Reserve</w:t>
            </w:r>
          </w:p>
        </w:tc>
        <w:tc>
          <w:tcPr>
            <w:tcW w:w="1276" w:type="dxa"/>
            <w:tcBorders>
              <w:top w:val="nil"/>
              <w:left w:val="nil"/>
              <w:bottom w:val="nil"/>
              <w:right w:val="nil"/>
            </w:tcBorders>
            <w:shd w:val="clear" w:color="auto" w:fill="031F73" w:themeFill="text2"/>
            <w:vAlign w:val="center"/>
            <w:hideMark/>
          </w:tcPr>
          <w:p w14:paraId="0E4D6A26" w14:textId="77777777" w:rsidR="00B00E10" w:rsidRPr="0022670C" w:rsidRDefault="00B00E10" w:rsidP="00EA7835">
            <w:pPr>
              <w:spacing w:before="0" w:after="0"/>
              <w:rPr>
                <w:rFonts w:ascii="Arial" w:hAnsi="Arial" w:cs="Arial"/>
                <w:b/>
                <w:bCs/>
                <w:color w:val="FFFFFF"/>
                <w:sz w:val="16"/>
                <w:szCs w:val="16"/>
              </w:rPr>
            </w:pPr>
            <w:r w:rsidRPr="0022670C">
              <w:rPr>
                <w:rFonts w:ascii="Arial" w:hAnsi="Arial" w:cs="Arial"/>
                <w:b/>
                <w:bCs/>
                <w:color w:val="FFFFFF"/>
                <w:sz w:val="16"/>
                <w:szCs w:val="16"/>
              </w:rPr>
              <w:t>Restricted / Discretionary</w:t>
            </w:r>
          </w:p>
        </w:tc>
        <w:tc>
          <w:tcPr>
            <w:tcW w:w="865" w:type="dxa"/>
            <w:tcBorders>
              <w:top w:val="nil"/>
              <w:left w:val="nil"/>
              <w:bottom w:val="nil"/>
              <w:right w:val="nil"/>
            </w:tcBorders>
            <w:shd w:val="clear" w:color="auto" w:fill="031F73" w:themeFill="text2"/>
            <w:vAlign w:val="center"/>
            <w:hideMark/>
          </w:tcPr>
          <w:p w14:paraId="4AEDF2D2"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2024/25</w:t>
            </w:r>
          </w:p>
        </w:tc>
        <w:tc>
          <w:tcPr>
            <w:tcW w:w="865" w:type="dxa"/>
            <w:tcBorders>
              <w:top w:val="nil"/>
              <w:left w:val="nil"/>
              <w:bottom w:val="nil"/>
              <w:right w:val="nil"/>
            </w:tcBorders>
            <w:shd w:val="clear" w:color="auto" w:fill="031F73" w:themeFill="text2"/>
            <w:vAlign w:val="center"/>
            <w:hideMark/>
          </w:tcPr>
          <w:p w14:paraId="258932EA"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2025/26</w:t>
            </w:r>
          </w:p>
        </w:tc>
        <w:tc>
          <w:tcPr>
            <w:tcW w:w="865" w:type="dxa"/>
            <w:tcBorders>
              <w:top w:val="nil"/>
              <w:left w:val="nil"/>
              <w:bottom w:val="nil"/>
              <w:right w:val="nil"/>
            </w:tcBorders>
            <w:shd w:val="clear" w:color="auto" w:fill="031F73" w:themeFill="text2"/>
            <w:vAlign w:val="center"/>
            <w:hideMark/>
          </w:tcPr>
          <w:p w14:paraId="1B72FF92"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2026/27</w:t>
            </w:r>
          </w:p>
        </w:tc>
        <w:tc>
          <w:tcPr>
            <w:tcW w:w="865" w:type="dxa"/>
            <w:tcBorders>
              <w:top w:val="nil"/>
              <w:left w:val="nil"/>
              <w:bottom w:val="nil"/>
              <w:right w:val="nil"/>
            </w:tcBorders>
            <w:shd w:val="clear" w:color="auto" w:fill="031F73" w:themeFill="text2"/>
            <w:vAlign w:val="center"/>
            <w:hideMark/>
          </w:tcPr>
          <w:p w14:paraId="25C33F3C"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2027/28</w:t>
            </w:r>
          </w:p>
        </w:tc>
        <w:tc>
          <w:tcPr>
            <w:tcW w:w="865" w:type="dxa"/>
            <w:tcBorders>
              <w:top w:val="nil"/>
              <w:left w:val="nil"/>
              <w:bottom w:val="nil"/>
              <w:right w:val="nil"/>
            </w:tcBorders>
            <w:shd w:val="clear" w:color="auto" w:fill="031F73" w:themeFill="text2"/>
            <w:vAlign w:val="center"/>
            <w:hideMark/>
          </w:tcPr>
          <w:p w14:paraId="4E5DA74E"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2028/29</w:t>
            </w:r>
          </w:p>
        </w:tc>
        <w:tc>
          <w:tcPr>
            <w:tcW w:w="865" w:type="dxa"/>
            <w:tcBorders>
              <w:top w:val="nil"/>
              <w:left w:val="nil"/>
              <w:bottom w:val="nil"/>
              <w:right w:val="nil"/>
            </w:tcBorders>
            <w:shd w:val="clear" w:color="auto" w:fill="031F73" w:themeFill="text2"/>
            <w:vAlign w:val="center"/>
            <w:hideMark/>
          </w:tcPr>
          <w:p w14:paraId="79E83240"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2029/30</w:t>
            </w:r>
          </w:p>
        </w:tc>
        <w:tc>
          <w:tcPr>
            <w:tcW w:w="865" w:type="dxa"/>
            <w:tcBorders>
              <w:top w:val="nil"/>
              <w:left w:val="nil"/>
              <w:bottom w:val="nil"/>
              <w:right w:val="nil"/>
            </w:tcBorders>
            <w:shd w:val="clear" w:color="auto" w:fill="031F73" w:themeFill="text2"/>
            <w:vAlign w:val="center"/>
            <w:hideMark/>
          </w:tcPr>
          <w:p w14:paraId="5BDCB610"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2030/31</w:t>
            </w:r>
          </w:p>
        </w:tc>
        <w:tc>
          <w:tcPr>
            <w:tcW w:w="865" w:type="dxa"/>
            <w:tcBorders>
              <w:top w:val="nil"/>
              <w:left w:val="nil"/>
              <w:bottom w:val="nil"/>
              <w:right w:val="nil"/>
            </w:tcBorders>
            <w:shd w:val="clear" w:color="auto" w:fill="031F73" w:themeFill="text2"/>
            <w:vAlign w:val="center"/>
            <w:hideMark/>
          </w:tcPr>
          <w:p w14:paraId="3D41648C"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2031/32</w:t>
            </w:r>
          </w:p>
        </w:tc>
        <w:tc>
          <w:tcPr>
            <w:tcW w:w="865" w:type="dxa"/>
            <w:tcBorders>
              <w:top w:val="nil"/>
              <w:left w:val="nil"/>
              <w:bottom w:val="nil"/>
              <w:right w:val="nil"/>
            </w:tcBorders>
            <w:shd w:val="clear" w:color="auto" w:fill="031F73" w:themeFill="text2"/>
            <w:vAlign w:val="center"/>
            <w:hideMark/>
          </w:tcPr>
          <w:p w14:paraId="10BB1572"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2032/33</w:t>
            </w:r>
          </w:p>
        </w:tc>
        <w:tc>
          <w:tcPr>
            <w:tcW w:w="865" w:type="dxa"/>
            <w:tcBorders>
              <w:top w:val="nil"/>
              <w:left w:val="nil"/>
              <w:bottom w:val="nil"/>
              <w:right w:val="nil"/>
            </w:tcBorders>
            <w:shd w:val="clear" w:color="auto" w:fill="031F73" w:themeFill="text2"/>
            <w:vAlign w:val="center"/>
            <w:hideMark/>
          </w:tcPr>
          <w:p w14:paraId="74326DEF"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2033/34</w:t>
            </w:r>
          </w:p>
        </w:tc>
        <w:tc>
          <w:tcPr>
            <w:tcW w:w="822" w:type="dxa"/>
            <w:tcBorders>
              <w:top w:val="nil"/>
              <w:left w:val="nil"/>
              <w:bottom w:val="nil"/>
              <w:right w:val="nil"/>
            </w:tcBorders>
            <w:shd w:val="clear" w:color="auto" w:fill="031F73" w:themeFill="text2"/>
            <w:vAlign w:val="center"/>
            <w:hideMark/>
          </w:tcPr>
          <w:p w14:paraId="4DB05A84"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2034/35</w:t>
            </w:r>
          </w:p>
        </w:tc>
      </w:tr>
      <w:tr w:rsidR="00B00E10" w:rsidRPr="0022670C" w14:paraId="23AFBD50" w14:textId="77777777" w:rsidTr="00EA7835">
        <w:trPr>
          <w:trHeight w:val="250"/>
          <w:tblHeader/>
        </w:trPr>
        <w:tc>
          <w:tcPr>
            <w:tcW w:w="2268" w:type="dxa"/>
            <w:tcBorders>
              <w:top w:val="nil"/>
              <w:left w:val="nil"/>
              <w:bottom w:val="nil"/>
              <w:right w:val="nil"/>
            </w:tcBorders>
            <w:shd w:val="clear" w:color="auto" w:fill="031F73" w:themeFill="text2"/>
            <w:vAlign w:val="center"/>
            <w:hideMark/>
          </w:tcPr>
          <w:p w14:paraId="26E85801" w14:textId="49384910" w:rsidR="00B00E10" w:rsidRPr="0022670C" w:rsidRDefault="00B00E10" w:rsidP="00EA7835">
            <w:pPr>
              <w:spacing w:before="0" w:after="0"/>
              <w:rPr>
                <w:rFonts w:ascii="Arial" w:hAnsi="Arial" w:cs="Arial"/>
                <w:b/>
                <w:bCs/>
                <w:color w:val="FFFFFF"/>
                <w:sz w:val="16"/>
                <w:szCs w:val="16"/>
              </w:rPr>
            </w:pPr>
          </w:p>
        </w:tc>
        <w:tc>
          <w:tcPr>
            <w:tcW w:w="1276" w:type="dxa"/>
            <w:tcBorders>
              <w:top w:val="nil"/>
              <w:left w:val="nil"/>
              <w:bottom w:val="nil"/>
              <w:right w:val="nil"/>
            </w:tcBorders>
            <w:shd w:val="clear" w:color="auto" w:fill="031F73" w:themeFill="text2"/>
            <w:vAlign w:val="center"/>
            <w:hideMark/>
          </w:tcPr>
          <w:p w14:paraId="3A84EBC4" w14:textId="0F57C734" w:rsidR="00B00E10" w:rsidRPr="0022670C" w:rsidRDefault="00B00E10" w:rsidP="00EA7835">
            <w:pPr>
              <w:spacing w:before="0" w:after="0"/>
              <w:rPr>
                <w:rFonts w:ascii="Arial" w:hAnsi="Arial" w:cs="Arial"/>
                <w:b/>
                <w:bCs/>
                <w:color w:val="FFFFFF"/>
                <w:sz w:val="16"/>
                <w:szCs w:val="16"/>
              </w:rPr>
            </w:pPr>
          </w:p>
        </w:tc>
        <w:tc>
          <w:tcPr>
            <w:tcW w:w="865" w:type="dxa"/>
            <w:tcBorders>
              <w:top w:val="nil"/>
              <w:left w:val="nil"/>
              <w:bottom w:val="nil"/>
              <w:right w:val="nil"/>
            </w:tcBorders>
            <w:shd w:val="clear" w:color="auto" w:fill="031F73" w:themeFill="text2"/>
            <w:vAlign w:val="center"/>
            <w:hideMark/>
          </w:tcPr>
          <w:p w14:paraId="18559589"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65" w:type="dxa"/>
            <w:tcBorders>
              <w:top w:val="nil"/>
              <w:left w:val="nil"/>
              <w:bottom w:val="nil"/>
              <w:right w:val="nil"/>
            </w:tcBorders>
            <w:shd w:val="clear" w:color="auto" w:fill="031F73" w:themeFill="text2"/>
            <w:vAlign w:val="center"/>
            <w:hideMark/>
          </w:tcPr>
          <w:p w14:paraId="265663F7"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65" w:type="dxa"/>
            <w:tcBorders>
              <w:top w:val="nil"/>
              <w:left w:val="nil"/>
              <w:bottom w:val="nil"/>
              <w:right w:val="nil"/>
            </w:tcBorders>
            <w:shd w:val="clear" w:color="auto" w:fill="031F73" w:themeFill="text2"/>
            <w:vAlign w:val="center"/>
            <w:hideMark/>
          </w:tcPr>
          <w:p w14:paraId="5B45C13D"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65" w:type="dxa"/>
            <w:tcBorders>
              <w:top w:val="nil"/>
              <w:left w:val="nil"/>
              <w:bottom w:val="nil"/>
              <w:right w:val="nil"/>
            </w:tcBorders>
            <w:shd w:val="clear" w:color="auto" w:fill="031F73" w:themeFill="text2"/>
            <w:vAlign w:val="center"/>
            <w:hideMark/>
          </w:tcPr>
          <w:p w14:paraId="1E131814"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65" w:type="dxa"/>
            <w:tcBorders>
              <w:top w:val="nil"/>
              <w:left w:val="nil"/>
              <w:bottom w:val="nil"/>
              <w:right w:val="nil"/>
            </w:tcBorders>
            <w:shd w:val="clear" w:color="auto" w:fill="031F73" w:themeFill="text2"/>
            <w:vAlign w:val="center"/>
            <w:hideMark/>
          </w:tcPr>
          <w:p w14:paraId="5D8F85B7"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65" w:type="dxa"/>
            <w:tcBorders>
              <w:top w:val="nil"/>
              <w:left w:val="nil"/>
              <w:bottom w:val="nil"/>
              <w:right w:val="nil"/>
            </w:tcBorders>
            <w:shd w:val="clear" w:color="auto" w:fill="031F73" w:themeFill="text2"/>
            <w:vAlign w:val="center"/>
            <w:hideMark/>
          </w:tcPr>
          <w:p w14:paraId="66099E23"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65" w:type="dxa"/>
            <w:tcBorders>
              <w:top w:val="nil"/>
              <w:left w:val="nil"/>
              <w:bottom w:val="nil"/>
              <w:right w:val="nil"/>
            </w:tcBorders>
            <w:shd w:val="clear" w:color="auto" w:fill="031F73" w:themeFill="text2"/>
            <w:vAlign w:val="center"/>
            <w:hideMark/>
          </w:tcPr>
          <w:p w14:paraId="1A048AB2"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65" w:type="dxa"/>
            <w:tcBorders>
              <w:top w:val="nil"/>
              <w:left w:val="nil"/>
              <w:bottom w:val="nil"/>
              <w:right w:val="nil"/>
            </w:tcBorders>
            <w:shd w:val="clear" w:color="auto" w:fill="031F73" w:themeFill="text2"/>
            <w:vAlign w:val="center"/>
            <w:hideMark/>
          </w:tcPr>
          <w:p w14:paraId="3B498A4F"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65" w:type="dxa"/>
            <w:tcBorders>
              <w:top w:val="nil"/>
              <w:left w:val="nil"/>
              <w:bottom w:val="nil"/>
              <w:right w:val="nil"/>
            </w:tcBorders>
            <w:shd w:val="clear" w:color="auto" w:fill="031F73" w:themeFill="text2"/>
            <w:vAlign w:val="center"/>
            <w:hideMark/>
          </w:tcPr>
          <w:p w14:paraId="0F4BC2A8"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65" w:type="dxa"/>
            <w:tcBorders>
              <w:top w:val="nil"/>
              <w:left w:val="nil"/>
              <w:bottom w:val="nil"/>
              <w:right w:val="nil"/>
            </w:tcBorders>
            <w:shd w:val="clear" w:color="auto" w:fill="031F73" w:themeFill="text2"/>
            <w:vAlign w:val="center"/>
            <w:hideMark/>
          </w:tcPr>
          <w:p w14:paraId="68776538"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c>
          <w:tcPr>
            <w:tcW w:w="822" w:type="dxa"/>
            <w:tcBorders>
              <w:top w:val="nil"/>
              <w:left w:val="nil"/>
              <w:bottom w:val="nil"/>
              <w:right w:val="nil"/>
            </w:tcBorders>
            <w:shd w:val="clear" w:color="auto" w:fill="031F73" w:themeFill="text2"/>
            <w:vAlign w:val="center"/>
            <w:hideMark/>
          </w:tcPr>
          <w:p w14:paraId="47730C68" w14:textId="77777777" w:rsidR="00B00E10" w:rsidRPr="0022670C" w:rsidRDefault="00B00E10" w:rsidP="00B00E10">
            <w:pPr>
              <w:spacing w:before="0" w:after="0"/>
              <w:jc w:val="center"/>
              <w:rPr>
                <w:rFonts w:ascii="Arial" w:hAnsi="Arial" w:cs="Arial"/>
                <w:b/>
                <w:bCs/>
                <w:color w:val="FFFFFF"/>
                <w:sz w:val="16"/>
                <w:szCs w:val="16"/>
              </w:rPr>
            </w:pPr>
            <w:r w:rsidRPr="0022670C">
              <w:rPr>
                <w:rFonts w:ascii="Arial" w:hAnsi="Arial" w:cs="Arial"/>
                <w:b/>
                <w:bCs/>
                <w:color w:val="FFFFFF"/>
                <w:sz w:val="16"/>
                <w:szCs w:val="16"/>
              </w:rPr>
              <w:t>$’000</w:t>
            </w:r>
          </w:p>
        </w:tc>
      </w:tr>
      <w:tr w:rsidR="00B00E10" w:rsidRPr="0022670C" w14:paraId="65B406AC" w14:textId="77777777" w:rsidTr="00EA7835">
        <w:trPr>
          <w:trHeight w:val="250"/>
        </w:trPr>
        <w:tc>
          <w:tcPr>
            <w:tcW w:w="2268" w:type="dxa"/>
            <w:tcBorders>
              <w:top w:val="nil"/>
              <w:left w:val="nil"/>
              <w:bottom w:val="nil"/>
              <w:right w:val="nil"/>
            </w:tcBorders>
            <w:noWrap/>
            <w:vAlign w:val="center"/>
            <w:hideMark/>
          </w:tcPr>
          <w:p w14:paraId="27FE5D23" w14:textId="77777777" w:rsidR="00B00E10" w:rsidRPr="0022670C" w:rsidRDefault="00B00E10" w:rsidP="00EA7835">
            <w:pPr>
              <w:spacing w:before="0" w:after="0"/>
              <w:rPr>
                <w:rFonts w:ascii="Arial" w:hAnsi="Arial" w:cs="Arial"/>
                <w:b/>
                <w:bCs/>
                <w:color w:val="FFFFFF"/>
                <w:sz w:val="16"/>
                <w:szCs w:val="16"/>
              </w:rPr>
            </w:pPr>
          </w:p>
        </w:tc>
        <w:tc>
          <w:tcPr>
            <w:tcW w:w="1276" w:type="dxa"/>
            <w:tcBorders>
              <w:top w:val="nil"/>
              <w:left w:val="nil"/>
              <w:bottom w:val="nil"/>
              <w:right w:val="nil"/>
            </w:tcBorders>
            <w:noWrap/>
            <w:vAlign w:val="center"/>
            <w:hideMark/>
          </w:tcPr>
          <w:p w14:paraId="6447CE98"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31CD96FA" w14:textId="77777777" w:rsidR="00B00E10" w:rsidRPr="0022670C" w:rsidRDefault="00B00E10" w:rsidP="00B00E10">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3725D507" w14:textId="77777777" w:rsidR="00B00E10" w:rsidRPr="0022670C" w:rsidRDefault="00B00E10" w:rsidP="00B00E10">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416A5013" w14:textId="77777777" w:rsidR="00B00E10" w:rsidRPr="0022670C" w:rsidRDefault="00B00E10" w:rsidP="00B00E10">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268EBD46" w14:textId="77777777" w:rsidR="00B00E10" w:rsidRPr="0022670C" w:rsidRDefault="00B00E10" w:rsidP="00B00E10">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4CFFEE23" w14:textId="77777777" w:rsidR="00B00E10" w:rsidRPr="0022670C" w:rsidRDefault="00B00E10" w:rsidP="00B00E10">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115F880A" w14:textId="77777777" w:rsidR="00B00E10" w:rsidRPr="0022670C" w:rsidRDefault="00B00E10" w:rsidP="00B00E10">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18F29A83" w14:textId="77777777" w:rsidR="00B00E10" w:rsidRPr="0022670C" w:rsidRDefault="00B00E10" w:rsidP="00B00E10">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2E1E53E1" w14:textId="77777777" w:rsidR="00B00E10" w:rsidRPr="0022670C" w:rsidRDefault="00B00E10" w:rsidP="00B00E10">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5C84B2BB" w14:textId="77777777" w:rsidR="00B00E10" w:rsidRPr="0022670C" w:rsidRDefault="00B00E10" w:rsidP="00B00E10">
            <w:pPr>
              <w:spacing w:before="0" w:after="0"/>
              <w:rPr>
                <w:rFonts w:ascii="Arial" w:hAnsi="Arial" w:cs="Arial"/>
                <w:sz w:val="16"/>
                <w:szCs w:val="16"/>
              </w:rPr>
            </w:pPr>
          </w:p>
        </w:tc>
        <w:tc>
          <w:tcPr>
            <w:tcW w:w="865" w:type="dxa"/>
            <w:tcBorders>
              <w:top w:val="nil"/>
              <w:left w:val="nil"/>
              <w:bottom w:val="nil"/>
              <w:right w:val="nil"/>
            </w:tcBorders>
            <w:noWrap/>
            <w:vAlign w:val="bottom"/>
            <w:hideMark/>
          </w:tcPr>
          <w:p w14:paraId="69C9A186" w14:textId="77777777" w:rsidR="00B00E10" w:rsidRPr="0022670C" w:rsidRDefault="00B00E10" w:rsidP="00B00E10">
            <w:pPr>
              <w:spacing w:before="0" w:after="0"/>
              <w:rPr>
                <w:rFonts w:ascii="Arial" w:hAnsi="Arial" w:cs="Arial"/>
                <w:sz w:val="16"/>
                <w:szCs w:val="16"/>
              </w:rPr>
            </w:pPr>
          </w:p>
        </w:tc>
        <w:tc>
          <w:tcPr>
            <w:tcW w:w="822" w:type="dxa"/>
            <w:tcBorders>
              <w:top w:val="nil"/>
              <w:left w:val="nil"/>
              <w:bottom w:val="nil"/>
              <w:right w:val="nil"/>
            </w:tcBorders>
            <w:noWrap/>
            <w:vAlign w:val="bottom"/>
            <w:hideMark/>
          </w:tcPr>
          <w:p w14:paraId="7746799A" w14:textId="77777777" w:rsidR="00B00E10" w:rsidRPr="0022670C" w:rsidRDefault="00B00E10" w:rsidP="00B00E10">
            <w:pPr>
              <w:spacing w:before="0" w:after="0"/>
              <w:rPr>
                <w:rFonts w:ascii="Arial" w:hAnsi="Arial" w:cs="Arial"/>
                <w:sz w:val="16"/>
                <w:szCs w:val="16"/>
              </w:rPr>
            </w:pPr>
          </w:p>
        </w:tc>
      </w:tr>
      <w:tr w:rsidR="00B00E10" w:rsidRPr="0022670C" w14:paraId="7B1E50EF" w14:textId="77777777" w:rsidTr="00EA7835">
        <w:trPr>
          <w:trHeight w:val="250"/>
        </w:trPr>
        <w:tc>
          <w:tcPr>
            <w:tcW w:w="2268" w:type="dxa"/>
            <w:tcBorders>
              <w:top w:val="nil"/>
              <w:left w:val="nil"/>
              <w:bottom w:val="nil"/>
              <w:right w:val="nil"/>
            </w:tcBorders>
            <w:shd w:val="clear" w:color="auto" w:fill="031F73" w:themeFill="text2"/>
            <w:noWrap/>
            <w:vAlign w:val="center"/>
            <w:hideMark/>
          </w:tcPr>
          <w:p w14:paraId="4670ECE5" w14:textId="77777777" w:rsidR="00B00E10" w:rsidRPr="0022670C" w:rsidRDefault="00B00E10" w:rsidP="00EA7835">
            <w:pPr>
              <w:spacing w:before="0" w:after="0"/>
              <w:rPr>
                <w:rFonts w:ascii="Arial" w:hAnsi="Arial" w:cs="Arial"/>
                <w:color w:val="FFFFFF"/>
                <w:sz w:val="16"/>
                <w:szCs w:val="16"/>
              </w:rPr>
            </w:pPr>
            <w:r w:rsidRPr="0022670C">
              <w:rPr>
                <w:rFonts w:ascii="Arial" w:hAnsi="Arial" w:cs="Arial"/>
                <w:color w:val="FFFFFF"/>
                <w:sz w:val="16"/>
                <w:szCs w:val="16"/>
              </w:rPr>
              <w:t>Developer contribution levy</w:t>
            </w:r>
          </w:p>
        </w:tc>
        <w:tc>
          <w:tcPr>
            <w:tcW w:w="1276" w:type="dxa"/>
            <w:tcBorders>
              <w:top w:val="nil"/>
              <w:left w:val="nil"/>
              <w:bottom w:val="nil"/>
              <w:right w:val="nil"/>
            </w:tcBorders>
            <w:shd w:val="clear" w:color="auto" w:fill="031F73" w:themeFill="text2"/>
            <w:noWrap/>
            <w:vAlign w:val="center"/>
            <w:hideMark/>
          </w:tcPr>
          <w:p w14:paraId="753CE30E" w14:textId="77777777" w:rsidR="00B00E10" w:rsidRPr="0022670C" w:rsidRDefault="00B00E10" w:rsidP="00EA7835">
            <w:pPr>
              <w:spacing w:before="0" w:after="0"/>
              <w:rPr>
                <w:rFonts w:ascii="Arial" w:hAnsi="Arial" w:cs="Arial"/>
                <w:color w:val="FFFFFF"/>
                <w:sz w:val="16"/>
                <w:szCs w:val="16"/>
              </w:rPr>
            </w:pPr>
            <w:r w:rsidRPr="0022670C">
              <w:rPr>
                <w:rFonts w:ascii="Arial" w:hAnsi="Arial" w:cs="Arial"/>
                <w:color w:val="FFFFFF"/>
                <w:sz w:val="16"/>
                <w:szCs w:val="16"/>
              </w:rPr>
              <w:t>Restricted</w:t>
            </w:r>
          </w:p>
        </w:tc>
        <w:tc>
          <w:tcPr>
            <w:tcW w:w="865" w:type="dxa"/>
            <w:tcBorders>
              <w:top w:val="nil"/>
              <w:left w:val="nil"/>
              <w:bottom w:val="nil"/>
              <w:right w:val="nil"/>
            </w:tcBorders>
            <w:shd w:val="clear" w:color="auto" w:fill="031F73" w:themeFill="text2"/>
            <w:noWrap/>
            <w:vAlign w:val="bottom"/>
            <w:hideMark/>
          </w:tcPr>
          <w:p w14:paraId="3BDF966F"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0B9AEE07"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51AA43E1"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0BFAF791"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35F82D93"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0CF92737"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4D620F0B"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45E7FD53"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6FEE3B4E"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21661D98"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22" w:type="dxa"/>
            <w:tcBorders>
              <w:top w:val="nil"/>
              <w:left w:val="nil"/>
              <w:bottom w:val="nil"/>
              <w:right w:val="nil"/>
            </w:tcBorders>
            <w:shd w:val="clear" w:color="auto" w:fill="031F73" w:themeFill="text2"/>
            <w:noWrap/>
            <w:vAlign w:val="bottom"/>
            <w:hideMark/>
          </w:tcPr>
          <w:p w14:paraId="658A063D"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r>
      <w:tr w:rsidR="00B00E10" w:rsidRPr="0022670C" w14:paraId="77039AC0" w14:textId="77777777" w:rsidTr="00EA7835">
        <w:trPr>
          <w:trHeight w:val="250"/>
        </w:trPr>
        <w:tc>
          <w:tcPr>
            <w:tcW w:w="2268" w:type="dxa"/>
            <w:tcBorders>
              <w:top w:val="nil"/>
              <w:left w:val="nil"/>
              <w:bottom w:val="nil"/>
              <w:right w:val="nil"/>
            </w:tcBorders>
            <w:noWrap/>
            <w:vAlign w:val="center"/>
            <w:hideMark/>
          </w:tcPr>
          <w:p w14:paraId="5513EDEA"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Opening balance</w:t>
            </w:r>
          </w:p>
        </w:tc>
        <w:tc>
          <w:tcPr>
            <w:tcW w:w="1276" w:type="dxa"/>
            <w:tcBorders>
              <w:top w:val="nil"/>
              <w:left w:val="nil"/>
              <w:bottom w:val="nil"/>
              <w:right w:val="nil"/>
            </w:tcBorders>
            <w:noWrap/>
            <w:vAlign w:val="center"/>
            <w:hideMark/>
          </w:tcPr>
          <w:p w14:paraId="789B050B"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6E1D6B6F" w14:textId="6752F6AE"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57,964</w:t>
            </w:r>
          </w:p>
        </w:tc>
        <w:tc>
          <w:tcPr>
            <w:tcW w:w="865" w:type="dxa"/>
            <w:tcBorders>
              <w:top w:val="nil"/>
              <w:left w:val="nil"/>
              <w:bottom w:val="nil"/>
              <w:right w:val="nil"/>
            </w:tcBorders>
            <w:noWrap/>
            <w:vAlign w:val="center"/>
            <w:hideMark/>
          </w:tcPr>
          <w:p w14:paraId="79AF65A6" w14:textId="2A58756E"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69,393</w:t>
            </w:r>
          </w:p>
        </w:tc>
        <w:tc>
          <w:tcPr>
            <w:tcW w:w="865" w:type="dxa"/>
            <w:tcBorders>
              <w:top w:val="nil"/>
              <w:left w:val="nil"/>
              <w:bottom w:val="nil"/>
              <w:right w:val="nil"/>
            </w:tcBorders>
            <w:noWrap/>
            <w:vAlign w:val="center"/>
            <w:hideMark/>
          </w:tcPr>
          <w:p w14:paraId="58DB99E6" w14:textId="24C5707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107,817</w:t>
            </w:r>
          </w:p>
        </w:tc>
        <w:tc>
          <w:tcPr>
            <w:tcW w:w="865" w:type="dxa"/>
            <w:tcBorders>
              <w:top w:val="nil"/>
              <w:left w:val="nil"/>
              <w:bottom w:val="nil"/>
              <w:right w:val="nil"/>
            </w:tcBorders>
            <w:noWrap/>
            <w:vAlign w:val="center"/>
            <w:hideMark/>
          </w:tcPr>
          <w:p w14:paraId="7BABEB7C" w14:textId="6107D65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116,115</w:t>
            </w:r>
          </w:p>
        </w:tc>
        <w:tc>
          <w:tcPr>
            <w:tcW w:w="865" w:type="dxa"/>
            <w:tcBorders>
              <w:top w:val="nil"/>
              <w:left w:val="nil"/>
              <w:bottom w:val="nil"/>
              <w:right w:val="nil"/>
            </w:tcBorders>
            <w:noWrap/>
            <w:vAlign w:val="center"/>
            <w:hideMark/>
          </w:tcPr>
          <w:p w14:paraId="0D75F993" w14:textId="6EEED1F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124,101</w:t>
            </w:r>
          </w:p>
        </w:tc>
        <w:tc>
          <w:tcPr>
            <w:tcW w:w="865" w:type="dxa"/>
            <w:tcBorders>
              <w:top w:val="nil"/>
              <w:left w:val="nil"/>
              <w:bottom w:val="nil"/>
              <w:right w:val="nil"/>
            </w:tcBorders>
            <w:noWrap/>
            <w:vAlign w:val="center"/>
            <w:hideMark/>
          </w:tcPr>
          <w:p w14:paraId="01F423E5" w14:textId="52914F4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114,401</w:t>
            </w:r>
          </w:p>
        </w:tc>
        <w:tc>
          <w:tcPr>
            <w:tcW w:w="865" w:type="dxa"/>
            <w:tcBorders>
              <w:top w:val="nil"/>
              <w:left w:val="nil"/>
              <w:bottom w:val="nil"/>
              <w:right w:val="nil"/>
            </w:tcBorders>
            <w:noWrap/>
            <w:vAlign w:val="center"/>
            <w:hideMark/>
          </w:tcPr>
          <w:p w14:paraId="0E11B11B" w14:textId="0CAE245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111,592</w:t>
            </w:r>
          </w:p>
        </w:tc>
        <w:tc>
          <w:tcPr>
            <w:tcW w:w="865" w:type="dxa"/>
            <w:tcBorders>
              <w:top w:val="nil"/>
              <w:left w:val="nil"/>
              <w:bottom w:val="nil"/>
              <w:right w:val="nil"/>
            </w:tcBorders>
            <w:noWrap/>
            <w:vAlign w:val="center"/>
            <w:hideMark/>
          </w:tcPr>
          <w:p w14:paraId="57C41307" w14:textId="26F1025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95,373</w:t>
            </w:r>
          </w:p>
        </w:tc>
        <w:tc>
          <w:tcPr>
            <w:tcW w:w="865" w:type="dxa"/>
            <w:tcBorders>
              <w:top w:val="nil"/>
              <w:left w:val="nil"/>
              <w:bottom w:val="nil"/>
              <w:right w:val="nil"/>
            </w:tcBorders>
            <w:noWrap/>
            <w:vAlign w:val="center"/>
            <w:hideMark/>
          </w:tcPr>
          <w:p w14:paraId="181AE98F" w14:textId="69D56C0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82,806</w:t>
            </w:r>
          </w:p>
        </w:tc>
        <w:tc>
          <w:tcPr>
            <w:tcW w:w="865" w:type="dxa"/>
            <w:tcBorders>
              <w:top w:val="nil"/>
              <w:left w:val="nil"/>
              <w:bottom w:val="nil"/>
              <w:right w:val="nil"/>
            </w:tcBorders>
            <w:noWrap/>
            <w:vAlign w:val="center"/>
            <w:hideMark/>
          </w:tcPr>
          <w:p w14:paraId="5B7EC9A5" w14:textId="6090DD0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73,959</w:t>
            </w:r>
          </w:p>
        </w:tc>
        <w:tc>
          <w:tcPr>
            <w:tcW w:w="822" w:type="dxa"/>
            <w:tcBorders>
              <w:top w:val="nil"/>
              <w:left w:val="nil"/>
              <w:bottom w:val="nil"/>
              <w:right w:val="nil"/>
            </w:tcBorders>
            <w:noWrap/>
            <w:vAlign w:val="center"/>
            <w:hideMark/>
          </w:tcPr>
          <w:p w14:paraId="2A0AAFB6" w14:textId="3DB5F0F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69,912</w:t>
            </w:r>
          </w:p>
        </w:tc>
      </w:tr>
      <w:tr w:rsidR="00B00E10" w:rsidRPr="0022670C" w14:paraId="524AC909" w14:textId="77777777" w:rsidTr="00EA7835">
        <w:trPr>
          <w:trHeight w:val="250"/>
        </w:trPr>
        <w:tc>
          <w:tcPr>
            <w:tcW w:w="2268" w:type="dxa"/>
            <w:tcBorders>
              <w:top w:val="nil"/>
              <w:left w:val="nil"/>
              <w:bottom w:val="nil"/>
              <w:right w:val="nil"/>
            </w:tcBorders>
            <w:noWrap/>
            <w:vAlign w:val="center"/>
            <w:hideMark/>
          </w:tcPr>
          <w:p w14:paraId="6054BC72"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to reserve</w:t>
            </w:r>
          </w:p>
        </w:tc>
        <w:tc>
          <w:tcPr>
            <w:tcW w:w="1276" w:type="dxa"/>
            <w:tcBorders>
              <w:top w:val="nil"/>
              <w:left w:val="nil"/>
              <w:bottom w:val="nil"/>
              <w:right w:val="nil"/>
            </w:tcBorders>
            <w:noWrap/>
            <w:vAlign w:val="center"/>
            <w:hideMark/>
          </w:tcPr>
          <w:p w14:paraId="2DCE55A1"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5FB7D0C3" w14:textId="4814DF10"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23,692</w:t>
            </w:r>
          </w:p>
        </w:tc>
        <w:tc>
          <w:tcPr>
            <w:tcW w:w="865" w:type="dxa"/>
            <w:tcBorders>
              <w:top w:val="nil"/>
              <w:left w:val="nil"/>
              <w:bottom w:val="nil"/>
              <w:right w:val="nil"/>
            </w:tcBorders>
            <w:noWrap/>
            <w:vAlign w:val="center"/>
            <w:hideMark/>
          </w:tcPr>
          <w:p w14:paraId="29D0A96D" w14:textId="12A5CE2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42,406</w:t>
            </w:r>
          </w:p>
        </w:tc>
        <w:tc>
          <w:tcPr>
            <w:tcW w:w="865" w:type="dxa"/>
            <w:tcBorders>
              <w:top w:val="nil"/>
              <w:left w:val="nil"/>
              <w:bottom w:val="nil"/>
              <w:right w:val="nil"/>
            </w:tcBorders>
            <w:noWrap/>
            <w:vAlign w:val="center"/>
            <w:hideMark/>
          </w:tcPr>
          <w:p w14:paraId="4500733E" w14:textId="6B84A54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14,090</w:t>
            </w:r>
          </w:p>
        </w:tc>
        <w:tc>
          <w:tcPr>
            <w:tcW w:w="865" w:type="dxa"/>
            <w:tcBorders>
              <w:top w:val="nil"/>
              <w:left w:val="nil"/>
              <w:bottom w:val="nil"/>
              <w:right w:val="nil"/>
            </w:tcBorders>
            <w:noWrap/>
            <w:vAlign w:val="center"/>
            <w:hideMark/>
          </w:tcPr>
          <w:p w14:paraId="3D51F7A7" w14:textId="5414FCA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22,829</w:t>
            </w:r>
          </w:p>
        </w:tc>
        <w:tc>
          <w:tcPr>
            <w:tcW w:w="865" w:type="dxa"/>
            <w:tcBorders>
              <w:top w:val="nil"/>
              <w:left w:val="nil"/>
              <w:bottom w:val="nil"/>
              <w:right w:val="nil"/>
            </w:tcBorders>
            <w:noWrap/>
            <w:vAlign w:val="center"/>
            <w:hideMark/>
          </w:tcPr>
          <w:p w14:paraId="0C968B40" w14:textId="3905ADB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15,754</w:t>
            </w:r>
          </w:p>
        </w:tc>
        <w:tc>
          <w:tcPr>
            <w:tcW w:w="865" w:type="dxa"/>
            <w:tcBorders>
              <w:top w:val="nil"/>
              <w:left w:val="nil"/>
              <w:bottom w:val="nil"/>
              <w:right w:val="nil"/>
            </w:tcBorders>
            <w:noWrap/>
            <w:vAlign w:val="center"/>
            <w:hideMark/>
          </w:tcPr>
          <w:p w14:paraId="0668D7F7" w14:textId="1473684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22,891</w:t>
            </w:r>
          </w:p>
        </w:tc>
        <w:tc>
          <w:tcPr>
            <w:tcW w:w="865" w:type="dxa"/>
            <w:tcBorders>
              <w:top w:val="nil"/>
              <w:left w:val="nil"/>
              <w:bottom w:val="nil"/>
              <w:right w:val="nil"/>
            </w:tcBorders>
            <w:noWrap/>
            <w:vAlign w:val="center"/>
            <w:hideMark/>
          </w:tcPr>
          <w:p w14:paraId="7F31DDAB" w14:textId="4EEFCC5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7,981</w:t>
            </w:r>
          </w:p>
        </w:tc>
        <w:tc>
          <w:tcPr>
            <w:tcW w:w="865" w:type="dxa"/>
            <w:tcBorders>
              <w:top w:val="nil"/>
              <w:left w:val="nil"/>
              <w:bottom w:val="nil"/>
              <w:right w:val="nil"/>
            </w:tcBorders>
            <w:noWrap/>
            <w:vAlign w:val="center"/>
            <w:hideMark/>
          </w:tcPr>
          <w:p w14:paraId="3711D924" w14:textId="155F57A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11,933</w:t>
            </w:r>
          </w:p>
        </w:tc>
        <w:tc>
          <w:tcPr>
            <w:tcW w:w="865" w:type="dxa"/>
            <w:tcBorders>
              <w:top w:val="nil"/>
              <w:left w:val="nil"/>
              <w:bottom w:val="nil"/>
              <w:right w:val="nil"/>
            </w:tcBorders>
            <w:noWrap/>
            <w:vAlign w:val="center"/>
            <w:hideMark/>
          </w:tcPr>
          <w:p w14:paraId="42C402D5" w14:textId="493102B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15,953</w:t>
            </w:r>
          </w:p>
        </w:tc>
        <w:tc>
          <w:tcPr>
            <w:tcW w:w="865" w:type="dxa"/>
            <w:tcBorders>
              <w:top w:val="nil"/>
              <w:left w:val="nil"/>
              <w:bottom w:val="nil"/>
              <w:right w:val="nil"/>
            </w:tcBorders>
            <w:noWrap/>
            <w:vAlign w:val="center"/>
            <w:hideMark/>
          </w:tcPr>
          <w:p w14:paraId="74AD8D87" w14:textId="29ED625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22,453</w:t>
            </w:r>
          </w:p>
        </w:tc>
        <w:tc>
          <w:tcPr>
            <w:tcW w:w="822" w:type="dxa"/>
            <w:tcBorders>
              <w:top w:val="nil"/>
              <w:left w:val="nil"/>
              <w:bottom w:val="nil"/>
              <w:right w:val="nil"/>
            </w:tcBorders>
            <w:noWrap/>
            <w:vAlign w:val="center"/>
            <w:hideMark/>
          </w:tcPr>
          <w:p w14:paraId="411B6051" w14:textId="7CD2318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23,014</w:t>
            </w:r>
          </w:p>
        </w:tc>
      </w:tr>
      <w:tr w:rsidR="00B00E10" w:rsidRPr="0022670C" w14:paraId="404097EB" w14:textId="77777777" w:rsidTr="00EA7835">
        <w:trPr>
          <w:trHeight w:val="250"/>
        </w:trPr>
        <w:tc>
          <w:tcPr>
            <w:tcW w:w="2268" w:type="dxa"/>
            <w:tcBorders>
              <w:top w:val="nil"/>
              <w:left w:val="nil"/>
              <w:bottom w:val="nil"/>
              <w:right w:val="nil"/>
            </w:tcBorders>
            <w:noWrap/>
            <w:vAlign w:val="center"/>
            <w:hideMark/>
          </w:tcPr>
          <w:p w14:paraId="1A0F2E4C"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from reserve</w:t>
            </w:r>
          </w:p>
        </w:tc>
        <w:tc>
          <w:tcPr>
            <w:tcW w:w="1276" w:type="dxa"/>
            <w:tcBorders>
              <w:top w:val="nil"/>
              <w:left w:val="nil"/>
              <w:bottom w:val="nil"/>
              <w:right w:val="nil"/>
            </w:tcBorders>
            <w:noWrap/>
            <w:vAlign w:val="center"/>
            <w:hideMark/>
          </w:tcPr>
          <w:p w14:paraId="536FCCC9"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0310172F"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(12,263)</w:t>
            </w:r>
          </w:p>
        </w:tc>
        <w:tc>
          <w:tcPr>
            <w:tcW w:w="865" w:type="dxa"/>
            <w:tcBorders>
              <w:top w:val="nil"/>
              <w:left w:val="nil"/>
              <w:bottom w:val="nil"/>
              <w:right w:val="nil"/>
            </w:tcBorders>
            <w:noWrap/>
            <w:vAlign w:val="center"/>
            <w:hideMark/>
          </w:tcPr>
          <w:p w14:paraId="1B562996"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(3,982)</w:t>
            </w:r>
          </w:p>
        </w:tc>
        <w:tc>
          <w:tcPr>
            <w:tcW w:w="865" w:type="dxa"/>
            <w:tcBorders>
              <w:top w:val="nil"/>
              <w:left w:val="nil"/>
              <w:bottom w:val="nil"/>
              <w:right w:val="nil"/>
            </w:tcBorders>
            <w:noWrap/>
            <w:vAlign w:val="center"/>
            <w:hideMark/>
          </w:tcPr>
          <w:p w14:paraId="53862C38"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(5,792)</w:t>
            </w:r>
          </w:p>
        </w:tc>
        <w:tc>
          <w:tcPr>
            <w:tcW w:w="865" w:type="dxa"/>
            <w:tcBorders>
              <w:top w:val="nil"/>
              <w:left w:val="nil"/>
              <w:bottom w:val="nil"/>
              <w:right w:val="nil"/>
            </w:tcBorders>
            <w:noWrap/>
            <w:vAlign w:val="center"/>
            <w:hideMark/>
          </w:tcPr>
          <w:p w14:paraId="5D5B512F"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(14,843)</w:t>
            </w:r>
          </w:p>
        </w:tc>
        <w:tc>
          <w:tcPr>
            <w:tcW w:w="865" w:type="dxa"/>
            <w:tcBorders>
              <w:top w:val="nil"/>
              <w:left w:val="nil"/>
              <w:bottom w:val="nil"/>
              <w:right w:val="nil"/>
            </w:tcBorders>
            <w:noWrap/>
            <w:vAlign w:val="center"/>
            <w:hideMark/>
          </w:tcPr>
          <w:p w14:paraId="1346670C"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(25,454)</w:t>
            </w:r>
          </w:p>
        </w:tc>
        <w:tc>
          <w:tcPr>
            <w:tcW w:w="865" w:type="dxa"/>
            <w:tcBorders>
              <w:top w:val="nil"/>
              <w:left w:val="nil"/>
              <w:bottom w:val="nil"/>
              <w:right w:val="nil"/>
            </w:tcBorders>
            <w:noWrap/>
            <w:vAlign w:val="center"/>
            <w:hideMark/>
          </w:tcPr>
          <w:p w14:paraId="0EEBEB37"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(25,700)</w:t>
            </w:r>
          </w:p>
        </w:tc>
        <w:tc>
          <w:tcPr>
            <w:tcW w:w="865" w:type="dxa"/>
            <w:tcBorders>
              <w:top w:val="nil"/>
              <w:left w:val="nil"/>
              <w:bottom w:val="nil"/>
              <w:right w:val="nil"/>
            </w:tcBorders>
            <w:noWrap/>
            <w:vAlign w:val="center"/>
            <w:hideMark/>
          </w:tcPr>
          <w:p w14:paraId="0BAB44C5"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(24,200)</w:t>
            </w:r>
          </w:p>
        </w:tc>
        <w:tc>
          <w:tcPr>
            <w:tcW w:w="865" w:type="dxa"/>
            <w:tcBorders>
              <w:top w:val="nil"/>
              <w:left w:val="nil"/>
              <w:bottom w:val="nil"/>
              <w:right w:val="nil"/>
            </w:tcBorders>
            <w:noWrap/>
            <w:vAlign w:val="center"/>
            <w:hideMark/>
          </w:tcPr>
          <w:p w14:paraId="4479FE5A"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(24,500)</w:t>
            </w:r>
          </w:p>
        </w:tc>
        <w:tc>
          <w:tcPr>
            <w:tcW w:w="865" w:type="dxa"/>
            <w:tcBorders>
              <w:top w:val="nil"/>
              <w:left w:val="nil"/>
              <w:bottom w:val="nil"/>
              <w:right w:val="nil"/>
            </w:tcBorders>
            <w:noWrap/>
            <w:vAlign w:val="center"/>
            <w:hideMark/>
          </w:tcPr>
          <w:p w14:paraId="171F92CC"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(24,800)</w:t>
            </w:r>
          </w:p>
        </w:tc>
        <w:tc>
          <w:tcPr>
            <w:tcW w:w="865" w:type="dxa"/>
            <w:tcBorders>
              <w:top w:val="nil"/>
              <w:left w:val="nil"/>
              <w:bottom w:val="nil"/>
              <w:right w:val="nil"/>
            </w:tcBorders>
            <w:noWrap/>
            <w:vAlign w:val="center"/>
            <w:hideMark/>
          </w:tcPr>
          <w:p w14:paraId="314F5641"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(26,500)</w:t>
            </w:r>
          </w:p>
        </w:tc>
        <w:tc>
          <w:tcPr>
            <w:tcW w:w="822" w:type="dxa"/>
            <w:tcBorders>
              <w:top w:val="nil"/>
              <w:left w:val="nil"/>
              <w:bottom w:val="nil"/>
              <w:right w:val="nil"/>
            </w:tcBorders>
            <w:noWrap/>
            <w:vAlign w:val="center"/>
            <w:hideMark/>
          </w:tcPr>
          <w:p w14:paraId="4BACD3A7"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(26,500)</w:t>
            </w:r>
          </w:p>
        </w:tc>
      </w:tr>
      <w:tr w:rsidR="00B00E10" w:rsidRPr="0022670C" w14:paraId="3C9CBDBC" w14:textId="77777777" w:rsidTr="00EA7835">
        <w:trPr>
          <w:trHeight w:val="250"/>
        </w:trPr>
        <w:tc>
          <w:tcPr>
            <w:tcW w:w="2268" w:type="dxa"/>
            <w:tcBorders>
              <w:top w:val="single" w:sz="4" w:space="0" w:color="auto"/>
              <w:left w:val="nil"/>
              <w:bottom w:val="nil"/>
              <w:right w:val="nil"/>
            </w:tcBorders>
            <w:noWrap/>
            <w:vAlign w:val="center"/>
            <w:hideMark/>
          </w:tcPr>
          <w:p w14:paraId="0910DB94"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Closing balance</w:t>
            </w:r>
          </w:p>
        </w:tc>
        <w:tc>
          <w:tcPr>
            <w:tcW w:w="1276" w:type="dxa"/>
            <w:tcBorders>
              <w:top w:val="single" w:sz="4" w:space="0" w:color="auto"/>
              <w:left w:val="nil"/>
              <w:bottom w:val="nil"/>
              <w:right w:val="nil"/>
            </w:tcBorders>
            <w:noWrap/>
            <w:vAlign w:val="center"/>
            <w:hideMark/>
          </w:tcPr>
          <w:p w14:paraId="66C481FF" w14:textId="26C27E14" w:rsidR="00B00E10" w:rsidRPr="0022670C" w:rsidRDefault="00B00E10" w:rsidP="00EA7835">
            <w:pPr>
              <w:spacing w:before="0" w:after="0"/>
              <w:rPr>
                <w:rFonts w:ascii="Arial" w:hAnsi="Arial" w:cs="Arial"/>
                <w:sz w:val="16"/>
                <w:szCs w:val="16"/>
              </w:rPr>
            </w:pPr>
          </w:p>
        </w:tc>
        <w:tc>
          <w:tcPr>
            <w:tcW w:w="865" w:type="dxa"/>
            <w:tcBorders>
              <w:top w:val="single" w:sz="4" w:space="0" w:color="auto"/>
              <w:left w:val="nil"/>
              <w:bottom w:val="nil"/>
              <w:right w:val="nil"/>
            </w:tcBorders>
            <w:noWrap/>
            <w:vAlign w:val="center"/>
            <w:hideMark/>
          </w:tcPr>
          <w:p w14:paraId="1BBC0D8C" w14:textId="50DDAAD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69,393</w:t>
            </w:r>
          </w:p>
        </w:tc>
        <w:tc>
          <w:tcPr>
            <w:tcW w:w="865" w:type="dxa"/>
            <w:tcBorders>
              <w:top w:val="single" w:sz="4" w:space="0" w:color="auto"/>
              <w:left w:val="nil"/>
              <w:bottom w:val="nil"/>
              <w:right w:val="nil"/>
            </w:tcBorders>
            <w:noWrap/>
            <w:vAlign w:val="center"/>
            <w:hideMark/>
          </w:tcPr>
          <w:p w14:paraId="18607BA5" w14:textId="11FC5EE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107,817</w:t>
            </w:r>
          </w:p>
        </w:tc>
        <w:tc>
          <w:tcPr>
            <w:tcW w:w="865" w:type="dxa"/>
            <w:tcBorders>
              <w:top w:val="single" w:sz="4" w:space="0" w:color="auto"/>
              <w:left w:val="nil"/>
              <w:bottom w:val="nil"/>
              <w:right w:val="nil"/>
            </w:tcBorders>
            <w:noWrap/>
            <w:vAlign w:val="center"/>
            <w:hideMark/>
          </w:tcPr>
          <w:p w14:paraId="48741CDE" w14:textId="1F3B2C7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116,115</w:t>
            </w:r>
          </w:p>
        </w:tc>
        <w:tc>
          <w:tcPr>
            <w:tcW w:w="865" w:type="dxa"/>
            <w:tcBorders>
              <w:top w:val="single" w:sz="4" w:space="0" w:color="auto"/>
              <w:left w:val="nil"/>
              <w:bottom w:val="nil"/>
              <w:right w:val="nil"/>
            </w:tcBorders>
            <w:noWrap/>
            <w:vAlign w:val="center"/>
            <w:hideMark/>
          </w:tcPr>
          <w:p w14:paraId="298445C5" w14:textId="2A7785C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124,101</w:t>
            </w:r>
          </w:p>
        </w:tc>
        <w:tc>
          <w:tcPr>
            <w:tcW w:w="865" w:type="dxa"/>
            <w:tcBorders>
              <w:top w:val="single" w:sz="4" w:space="0" w:color="auto"/>
              <w:left w:val="nil"/>
              <w:bottom w:val="nil"/>
              <w:right w:val="nil"/>
            </w:tcBorders>
            <w:noWrap/>
            <w:vAlign w:val="center"/>
            <w:hideMark/>
          </w:tcPr>
          <w:p w14:paraId="5275573B" w14:textId="17DC26D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114,401</w:t>
            </w:r>
          </w:p>
        </w:tc>
        <w:tc>
          <w:tcPr>
            <w:tcW w:w="865" w:type="dxa"/>
            <w:tcBorders>
              <w:top w:val="single" w:sz="4" w:space="0" w:color="auto"/>
              <w:left w:val="nil"/>
              <w:bottom w:val="nil"/>
              <w:right w:val="nil"/>
            </w:tcBorders>
            <w:noWrap/>
            <w:vAlign w:val="center"/>
            <w:hideMark/>
          </w:tcPr>
          <w:p w14:paraId="7AA042E7" w14:textId="356EB9D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111,592</w:t>
            </w:r>
          </w:p>
        </w:tc>
        <w:tc>
          <w:tcPr>
            <w:tcW w:w="865" w:type="dxa"/>
            <w:tcBorders>
              <w:top w:val="single" w:sz="4" w:space="0" w:color="auto"/>
              <w:left w:val="nil"/>
              <w:bottom w:val="nil"/>
              <w:right w:val="nil"/>
            </w:tcBorders>
            <w:noWrap/>
            <w:vAlign w:val="center"/>
            <w:hideMark/>
          </w:tcPr>
          <w:p w14:paraId="71339B44" w14:textId="1344EA1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95,373</w:t>
            </w:r>
          </w:p>
        </w:tc>
        <w:tc>
          <w:tcPr>
            <w:tcW w:w="865" w:type="dxa"/>
            <w:tcBorders>
              <w:top w:val="single" w:sz="4" w:space="0" w:color="auto"/>
              <w:left w:val="nil"/>
              <w:bottom w:val="nil"/>
              <w:right w:val="nil"/>
            </w:tcBorders>
            <w:noWrap/>
            <w:vAlign w:val="center"/>
            <w:hideMark/>
          </w:tcPr>
          <w:p w14:paraId="63D86993" w14:textId="0D4978C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82,806</w:t>
            </w:r>
          </w:p>
        </w:tc>
        <w:tc>
          <w:tcPr>
            <w:tcW w:w="865" w:type="dxa"/>
            <w:tcBorders>
              <w:top w:val="single" w:sz="4" w:space="0" w:color="auto"/>
              <w:left w:val="nil"/>
              <w:bottom w:val="nil"/>
              <w:right w:val="nil"/>
            </w:tcBorders>
            <w:noWrap/>
            <w:vAlign w:val="center"/>
            <w:hideMark/>
          </w:tcPr>
          <w:p w14:paraId="00571F92" w14:textId="719E2A9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73,959</w:t>
            </w:r>
          </w:p>
        </w:tc>
        <w:tc>
          <w:tcPr>
            <w:tcW w:w="865" w:type="dxa"/>
            <w:tcBorders>
              <w:top w:val="single" w:sz="4" w:space="0" w:color="auto"/>
              <w:left w:val="nil"/>
              <w:bottom w:val="nil"/>
              <w:right w:val="nil"/>
            </w:tcBorders>
            <w:noWrap/>
            <w:vAlign w:val="center"/>
            <w:hideMark/>
          </w:tcPr>
          <w:p w14:paraId="2962DE7C" w14:textId="332E7F90"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69,912</w:t>
            </w:r>
          </w:p>
        </w:tc>
        <w:tc>
          <w:tcPr>
            <w:tcW w:w="822" w:type="dxa"/>
            <w:tcBorders>
              <w:top w:val="single" w:sz="4" w:space="0" w:color="auto"/>
              <w:left w:val="nil"/>
              <w:bottom w:val="nil"/>
              <w:right w:val="nil"/>
            </w:tcBorders>
            <w:noWrap/>
            <w:vAlign w:val="center"/>
            <w:hideMark/>
          </w:tcPr>
          <w:p w14:paraId="50FE0899" w14:textId="5763F46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66,426</w:t>
            </w:r>
          </w:p>
        </w:tc>
      </w:tr>
      <w:tr w:rsidR="00B00E10" w:rsidRPr="0022670C" w14:paraId="11C05233" w14:textId="77777777" w:rsidTr="00EA7835">
        <w:trPr>
          <w:trHeight w:val="250"/>
        </w:trPr>
        <w:tc>
          <w:tcPr>
            <w:tcW w:w="2268" w:type="dxa"/>
            <w:tcBorders>
              <w:top w:val="nil"/>
              <w:left w:val="nil"/>
              <w:bottom w:val="nil"/>
              <w:right w:val="nil"/>
            </w:tcBorders>
            <w:noWrap/>
            <w:vAlign w:val="center"/>
            <w:hideMark/>
          </w:tcPr>
          <w:p w14:paraId="64279B34" w14:textId="77777777" w:rsidR="00B00E10" w:rsidRPr="0022670C" w:rsidRDefault="00B00E10" w:rsidP="00EA7835">
            <w:pPr>
              <w:spacing w:before="0" w:after="0"/>
              <w:rPr>
                <w:rFonts w:ascii="Arial" w:hAnsi="Arial" w:cs="Arial"/>
                <w:sz w:val="16"/>
                <w:szCs w:val="16"/>
              </w:rPr>
            </w:pPr>
          </w:p>
        </w:tc>
        <w:tc>
          <w:tcPr>
            <w:tcW w:w="1276" w:type="dxa"/>
            <w:tcBorders>
              <w:top w:val="nil"/>
              <w:left w:val="nil"/>
              <w:bottom w:val="nil"/>
              <w:right w:val="nil"/>
            </w:tcBorders>
            <w:noWrap/>
            <w:vAlign w:val="center"/>
            <w:hideMark/>
          </w:tcPr>
          <w:p w14:paraId="5E7A05C9"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0A3CDF71"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5C54A959"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36F1971F"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6D3F474B"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2F9EE994"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7E73AACE"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366C8B16"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7D209458"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65E7ED80"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0D8F3952" w14:textId="77777777" w:rsidR="00B00E10" w:rsidRPr="0022670C" w:rsidRDefault="00B00E10" w:rsidP="00B00E10">
            <w:pPr>
              <w:spacing w:before="0" w:after="0"/>
              <w:jc w:val="right"/>
              <w:rPr>
                <w:rFonts w:ascii="Arial" w:hAnsi="Arial" w:cs="Arial"/>
                <w:sz w:val="16"/>
                <w:szCs w:val="16"/>
              </w:rPr>
            </w:pPr>
          </w:p>
        </w:tc>
        <w:tc>
          <w:tcPr>
            <w:tcW w:w="822" w:type="dxa"/>
            <w:tcBorders>
              <w:top w:val="nil"/>
              <w:left w:val="nil"/>
              <w:bottom w:val="nil"/>
              <w:right w:val="nil"/>
            </w:tcBorders>
            <w:noWrap/>
            <w:vAlign w:val="center"/>
            <w:hideMark/>
          </w:tcPr>
          <w:p w14:paraId="4A96AEE5" w14:textId="77777777" w:rsidR="00B00E10" w:rsidRPr="0022670C" w:rsidRDefault="00B00E10" w:rsidP="00B00E10">
            <w:pPr>
              <w:spacing w:before="0" w:after="0"/>
              <w:jc w:val="right"/>
              <w:rPr>
                <w:rFonts w:ascii="Arial" w:hAnsi="Arial" w:cs="Arial"/>
                <w:sz w:val="16"/>
                <w:szCs w:val="16"/>
              </w:rPr>
            </w:pPr>
          </w:p>
        </w:tc>
      </w:tr>
      <w:tr w:rsidR="00B00E10" w:rsidRPr="0022670C" w14:paraId="2FA948F7" w14:textId="77777777" w:rsidTr="00EA7835">
        <w:trPr>
          <w:trHeight w:val="250"/>
        </w:trPr>
        <w:tc>
          <w:tcPr>
            <w:tcW w:w="2268" w:type="dxa"/>
            <w:tcBorders>
              <w:top w:val="nil"/>
              <w:left w:val="nil"/>
              <w:bottom w:val="nil"/>
              <w:right w:val="nil"/>
            </w:tcBorders>
            <w:shd w:val="clear" w:color="auto" w:fill="031F73" w:themeFill="text2"/>
            <w:noWrap/>
            <w:vAlign w:val="center"/>
            <w:hideMark/>
          </w:tcPr>
          <w:p w14:paraId="1A1E1B30" w14:textId="77777777" w:rsidR="00B00E10" w:rsidRPr="0022670C" w:rsidRDefault="00B00E10" w:rsidP="00EA7835">
            <w:pPr>
              <w:spacing w:before="0" w:after="0"/>
              <w:rPr>
                <w:rFonts w:ascii="Arial" w:hAnsi="Arial" w:cs="Arial"/>
                <w:color w:val="FFFFFF"/>
                <w:sz w:val="16"/>
                <w:szCs w:val="16"/>
              </w:rPr>
            </w:pPr>
            <w:r w:rsidRPr="0022670C">
              <w:rPr>
                <w:rFonts w:ascii="Arial" w:hAnsi="Arial" w:cs="Arial"/>
                <w:color w:val="FFFFFF"/>
                <w:sz w:val="16"/>
                <w:szCs w:val="16"/>
              </w:rPr>
              <w:t>Community facilities levy</w:t>
            </w:r>
          </w:p>
        </w:tc>
        <w:tc>
          <w:tcPr>
            <w:tcW w:w="1276" w:type="dxa"/>
            <w:tcBorders>
              <w:top w:val="nil"/>
              <w:left w:val="nil"/>
              <w:bottom w:val="nil"/>
              <w:right w:val="nil"/>
            </w:tcBorders>
            <w:shd w:val="clear" w:color="auto" w:fill="031F73" w:themeFill="text2"/>
            <w:noWrap/>
            <w:vAlign w:val="center"/>
            <w:hideMark/>
          </w:tcPr>
          <w:p w14:paraId="1005BDCF" w14:textId="77777777" w:rsidR="00B00E10" w:rsidRPr="0022670C" w:rsidRDefault="00B00E10" w:rsidP="00EA7835">
            <w:pPr>
              <w:spacing w:before="0" w:after="0"/>
              <w:rPr>
                <w:rFonts w:ascii="Arial" w:hAnsi="Arial" w:cs="Arial"/>
                <w:color w:val="FFFFFF"/>
                <w:sz w:val="16"/>
                <w:szCs w:val="16"/>
              </w:rPr>
            </w:pPr>
            <w:r w:rsidRPr="0022670C">
              <w:rPr>
                <w:rFonts w:ascii="Arial" w:hAnsi="Arial" w:cs="Arial"/>
                <w:color w:val="FFFFFF"/>
                <w:sz w:val="16"/>
                <w:szCs w:val="16"/>
              </w:rPr>
              <w:t>Restricted</w:t>
            </w:r>
          </w:p>
        </w:tc>
        <w:tc>
          <w:tcPr>
            <w:tcW w:w="865" w:type="dxa"/>
            <w:tcBorders>
              <w:top w:val="nil"/>
              <w:left w:val="nil"/>
              <w:bottom w:val="nil"/>
              <w:right w:val="nil"/>
            </w:tcBorders>
            <w:shd w:val="clear" w:color="auto" w:fill="031F73" w:themeFill="text2"/>
            <w:noWrap/>
            <w:vAlign w:val="center"/>
            <w:hideMark/>
          </w:tcPr>
          <w:p w14:paraId="474F589C" w14:textId="30A32B6B"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4A072B2B" w14:textId="7EC57D36"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100FE9F0" w14:textId="79617C8C"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4D8E6372" w14:textId="2BF3F17C"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6A89DC49" w14:textId="4883E7CE"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45D4CE7C" w14:textId="0760A7CD"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10024F74" w14:textId="22120E69"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43AED7E7" w14:textId="29BF88B2"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259D8CB1" w14:textId="33EBD122"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282B18A0" w14:textId="78C2CF3A" w:rsidR="00B00E10" w:rsidRPr="0022670C" w:rsidRDefault="00B00E10" w:rsidP="00B00E10">
            <w:pPr>
              <w:spacing w:before="0" w:after="0"/>
              <w:jc w:val="right"/>
              <w:rPr>
                <w:rFonts w:ascii="Arial" w:hAnsi="Arial" w:cs="Arial"/>
                <w:color w:val="FFFFFF"/>
                <w:sz w:val="16"/>
                <w:szCs w:val="16"/>
              </w:rPr>
            </w:pPr>
          </w:p>
        </w:tc>
        <w:tc>
          <w:tcPr>
            <w:tcW w:w="822" w:type="dxa"/>
            <w:tcBorders>
              <w:top w:val="nil"/>
              <w:left w:val="nil"/>
              <w:bottom w:val="nil"/>
              <w:right w:val="nil"/>
            </w:tcBorders>
            <w:shd w:val="clear" w:color="auto" w:fill="031F73" w:themeFill="text2"/>
            <w:noWrap/>
            <w:vAlign w:val="center"/>
            <w:hideMark/>
          </w:tcPr>
          <w:p w14:paraId="185C800E" w14:textId="6494E804" w:rsidR="00B00E10" w:rsidRPr="0022670C" w:rsidRDefault="00B00E10" w:rsidP="00B00E10">
            <w:pPr>
              <w:spacing w:before="0" w:after="0"/>
              <w:jc w:val="right"/>
              <w:rPr>
                <w:rFonts w:ascii="Arial" w:hAnsi="Arial" w:cs="Arial"/>
                <w:color w:val="FFFFFF"/>
                <w:sz w:val="16"/>
                <w:szCs w:val="16"/>
              </w:rPr>
            </w:pPr>
          </w:p>
        </w:tc>
      </w:tr>
      <w:tr w:rsidR="00B00E10" w:rsidRPr="0022670C" w14:paraId="452CFF53" w14:textId="77777777" w:rsidTr="00EA7835">
        <w:trPr>
          <w:trHeight w:val="250"/>
        </w:trPr>
        <w:tc>
          <w:tcPr>
            <w:tcW w:w="2268" w:type="dxa"/>
            <w:tcBorders>
              <w:top w:val="nil"/>
              <w:left w:val="nil"/>
              <w:bottom w:val="nil"/>
              <w:right w:val="nil"/>
            </w:tcBorders>
            <w:noWrap/>
            <w:vAlign w:val="center"/>
            <w:hideMark/>
          </w:tcPr>
          <w:p w14:paraId="0C610832"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Opening balance</w:t>
            </w:r>
          </w:p>
        </w:tc>
        <w:tc>
          <w:tcPr>
            <w:tcW w:w="1276" w:type="dxa"/>
            <w:tcBorders>
              <w:top w:val="nil"/>
              <w:left w:val="nil"/>
              <w:bottom w:val="nil"/>
              <w:right w:val="nil"/>
            </w:tcBorders>
            <w:noWrap/>
            <w:vAlign w:val="center"/>
            <w:hideMark/>
          </w:tcPr>
          <w:p w14:paraId="01841F30"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44AD30AE" w14:textId="7341043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3,797</w:t>
            </w:r>
          </w:p>
        </w:tc>
        <w:tc>
          <w:tcPr>
            <w:tcW w:w="865" w:type="dxa"/>
            <w:tcBorders>
              <w:top w:val="nil"/>
              <w:left w:val="nil"/>
              <w:bottom w:val="nil"/>
              <w:right w:val="nil"/>
            </w:tcBorders>
            <w:noWrap/>
            <w:vAlign w:val="center"/>
            <w:hideMark/>
          </w:tcPr>
          <w:p w14:paraId="43315E8D" w14:textId="3031369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nil"/>
              <w:left w:val="nil"/>
              <w:bottom w:val="nil"/>
              <w:right w:val="nil"/>
            </w:tcBorders>
            <w:noWrap/>
            <w:vAlign w:val="center"/>
            <w:hideMark/>
          </w:tcPr>
          <w:p w14:paraId="58051645" w14:textId="18EE679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nil"/>
              <w:left w:val="nil"/>
              <w:bottom w:val="nil"/>
              <w:right w:val="nil"/>
            </w:tcBorders>
            <w:noWrap/>
            <w:vAlign w:val="center"/>
            <w:hideMark/>
          </w:tcPr>
          <w:p w14:paraId="5634471B" w14:textId="3A77AA8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nil"/>
              <w:left w:val="nil"/>
              <w:bottom w:val="nil"/>
              <w:right w:val="nil"/>
            </w:tcBorders>
            <w:noWrap/>
            <w:vAlign w:val="center"/>
            <w:hideMark/>
          </w:tcPr>
          <w:p w14:paraId="2E98C22F" w14:textId="50379CB0"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nil"/>
              <w:left w:val="nil"/>
              <w:bottom w:val="nil"/>
              <w:right w:val="nil"/>
            </w:tcBorders>
            <w:noWrap/>
            <w:vAlign w:val="center"/>
            <w:hideMark/>
          </w:tcPr>
          <w:p w14:paraId="355E43B7" w14:textId="383D1A6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nil"/>
              <w:left w:val="nil"/>
              <w:bottom w:val="nil"/>
              <w:right w:val="nil"/>
            </w:tcBorders>
            <w:noWrap/>
            <w:vAlign w:val="center"/>
            <w:hideMark/>
          </w:tcPr>
          <w:p w14:paraId="7C58979F" w14:textId="48BF136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nil"/>
              <w:left w:val="nil"/>
              <w:bottom w:val="nil"/>
              <w:right w:val="nil"/>
            </w:tcBorders>
            <w:noWrap/>
            <w:vAlign w:val="center"/>
            <w:hideMark/>
          </w:tcPr>
          <w:p w14:paraId="6DBDAE4A" w14:textId="32D92170"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nil"/>
              <w:left w:val="nil"/>
              <w:bottom w:val="nil"/>
              <w:right w:val="nil"/>
            </w:tcBorders>
            <w:noWrap/>
            <w:vAlign w:val="center"/>
            <w:hideMark/>
          </w:tcPr>
          <w:p w14:paraId="20D42CB8" w14:textId="31A3C86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nil"/>
              <w:left w:val="nil"/>
              <w:bottom w:val="nil"/>
              <w:right w:val="nil"/>
            </w:tcBorders>
            <w:noWrap/>
            <w:vAlign w:val="center"/>
            <w:hideMark/>
          </w:tcPr>
          <w:p w14:paraId="06C44E9D" w14:textId="579AFA8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22" w:type="dxa"/>
            <w:tcBorders>
              <w:top w:val="nil"/>
              <w:left w:val="nil"/>
              <w:bottom w:val="nil"/>
              <w:right w:val="nil"/>
            </w:tcBorders>
            <w:noWrap/>
            <w:vAlign w:val="center"/>
            <w:hideMark/>
          </w:tcPr>
          <w:p w14:paraId="34088041" w14:textId="7CA3BDB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r>
      <w:tr w:rsidR="00B00E10" w:rsidRPr="0022670C" w14:paraId="25B5227A" w14:textId="77777777" w:rsidTr="00EA7835">
        <w:trPr>
          <w:trHeight w:val="250"/>
        </w:trPr>
        <w:tc>
          <w:tcPr>
            <w:tcW w:w="2268" w:type="dxa"/>
            <w:tcBorders>
              <w:top w:val="nil"/>
              <w:left w:val="nil"/>
              <w:bottom w:val="nil"/>
              <w:right w:val="nil"/>
            </w:tcBorders>
            <w:noWrap/>
            <w:vAlign w:val="center"/>
            <w:hideMark/>
          </w:tcPr>
          <w:p w14:paraId="6A4BF874"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to reserve</w:t>
            </w:r>
          </w:p>
        </w:tc>
        <w:tc>
          <w:tcPr>
            <w:tcW w:w="1276" w:type="dxa"/>
            <w:tcBorders>
              <w:top w:val="nil"/>
              <w:left w:val="nil"/>
              <w:bottom w:val="nil"/>
              <w:right w:val="nil"/>
            </w:tcBorders>
            <w:noWrap/>
            <w:vAlign w:val="center"/>
            <w:hideMark/>
          </w:tcPr>
          <w:p w14:paraId="7F876A28"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09006F94" w14:textId="4506387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1,052</w:t>
            </w:r>
          </w:p>
        </w:tc>
        <w:tc>
          <w:tcPr>
            <w:tcW w:w="865" w:type="dxa"/>
            <w:tcBorders>
              <w:top w:val="nil"/>
              <w:left w:val="nil"/>
              <w:bottom w:val="nil"/>
              <w:right w:val="nil"/>
            </w:tcBorders>
            <w:noWrap/>
            <w:vAlign w:val="center"/>
            <w:hideMark/>
          </w:tcPr>
          <w:p w14:paraId="70C53BBB" w14:textId="77347F9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9917343" w14:textId="52A38F8E"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3BFFB4C5" w14:textId="5DAEF10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BC6C4D4" w14:textId="746062E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7379DBFE" w14:textId="1BD6F81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24F99D74" w14:textId="5A0D708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171A407D" w14:textId="026FD92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6528AA9D" w14:textId="1023C9D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64263382" w14:textId="1E50CD9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22" w:type="dxa"/>
            <w:tcBorders>
              <w:top w:val="nil"/>
              <w:left w:val="nil"/>
              <w:bottom w:val="nil"/>
              <w:right w:val="nil"/>
            </w:tcBorders>
            <w:noWrap/>
            <w:vAlign w:val="center"/>
            <w:hideMark/>
          </w:tcPr>
          <w:p w14:paraId="2892E057" w14:textId="21D7120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r>
      <w:tr w:rsidR="00B00E10" w:rsidRPr="0022670C" w14:paraId="185FDB8D" w14:textId="77777777" w:rsidTr="00EA7835">
        <w:trPr>
          <w:trHeight w:val="250"/>
        </w:trPr>
        <w:tc>
          <w:tcPr>
            <w:tcW w:w="2268" w:type="dxa"/>
            <w:tcBorders>
              <w:top w:val="nil"/>
              <w:left w:val="nil"/>
              <w:bottom w:val="nil"/>
              <w:right w:val="nil"/>
            </w:tcBorders>
            <w:noWrap/>
            <w:vAlign w:val="center"/>
            <w:hideMark/>
          </w:tcPr>
          <w:p w14:paraId="30F876FE"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from reserve</w:t>
            </w:r>
          </w:p>
        </w:tc>
        <w:tc>
          <w:tcPr>
            <w:tcW w:w="1276" w:type="dxa"/>
            <w:tcBorders>
              <w:top w:val="nil"/>
              <w:left w:val="nil"/>
              <w:bottom w:val="nil"/>
              <w:right w:val="nil"/>
            </w:tcBorders>
            <w:noWrap/>
            <w:vAlign w:val="center"/>
            <w:hideMark/>
          </w:tcPr>
          <w:p w14:paraId="46F9AB7D"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7334C39B"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w:t>
            </w:r>
          </w:p>
        </w:tc>
        <w:tc>
          <w:tcPr>
            <w:tcW w:w="865" w:type="dxa"/>
            <w:tcBorders>
              <w:top w:val="nil"/>
              <w:left w:val="nil"/>
              <w:bottom w:val="nil"/>
              <w:right w:val="nil"/>
            </w:tcBorders>
            <w:noWrap/>
            <w:vAlign w:val="center"/>
            <w:hideMark/>
          </w:tcPr>
          <w:p w14:paraId="4A411269"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3D6C1EC9"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77E5DA49"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47F4177C"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7A35B859"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79EE3965"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431CDCB0"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454B35A9"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7156798C"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22" w:type="dxa"/>
            <w:tcBorders>
              <w:top w:val="nil"/>
              <w:left w:val="nil"/>
              <w:bottom w:val="nil"/>
              <w:right w:val="nil"/>
            </w:tcBorders>
            <w:noWrap/>
            <w:vAlign w:val="center"/>
            <w:hideMark/>
          </w:tcPr>
          <w:p w14:paraId="1D81D1F1"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r>
      <w:tr w:rsidR="00B00E10" w:rsidRPr="0022670C" w14:paraId="0AC0AC7B" w14:textId="77777777" w:rsidTr="00EA7835">
        <w:trPr>
          <w:trHeight w:val="250"/>
        </w:trPr>
        <w:tc>
          <w:tcPr>
            <w:tcW w:w="2268" w:type="dxa"/>
            <w:tcBorders>
              <w:top w:val="single" w:sz="4" w:space="0" w:color="auto"/>
              <w:left w:val="nil"/>
              <w:bottom w:val="nil"/>
              <w:right w:val="nil"/>
            </w:tcBorders>
            <w:noWrap/>
            <w:vAlign w:val="center"/>
            <w:hideMark/>
          </w:tcPr>
          <w:p w14:paraId="30767143"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Closing balance</w:t>
            </w:r>
          </w:p>
        </w:tc>
        <w:tc>
          <w:tcPr>
            <w:tcW w:w="1276" w:type="dxa"/>
            <w:tcBorders>
              <w:top w:val="single" w:sz="4" w:space="0" w:color="auto"/>
              <w:left w:val="nil"/>
              <w:bottom w:val="nil"/>
              <w:right w:val="nil"/>
            </w:tcBorders>
            <w:noWrap/>
            <w:vAlign w:val="center"/>
            <w:hideMark/>
          </w:tcPr>
          <w:p w14:paraId="4AE3E44A" w14:textId="52DAC459" w:rsidR="00B00E10" w:rsidRPr="0022670C" w:rsidRDefault="00B00E10" w:rsidP="00EA7835">
            <w:pPr>
              <w:spacing w:before="0" w:after="0"/>
              <w:rPr>
                <w:rFonts w:ascii="Arial" w:hAnsi="Arial" w:cs="Arial"/>
                <w:sz w:val="16"/>
                <w:szCs w:val="16"/>
              </w:rPr>
            </w:pPr>
          </w:p>
        </w:tc>
        <w:tc>
          <w:tcPr>
            <w:tcW w:w="865" w:type="dxa"/>
            <w:tcBorders>
              <w:top w:val="single" w:sz="4" w:space="0" w:color="auto"/>
              <w:left w:val="nil"/>
              <w:bottom w:val="nil"/>
              <w:right w:val="nil"/>
            </w:tcBorders>
            <w:noWrap/>
            <w:vAlign w:val="center"/>
            <w:hideMark/>
          </w:tcPr>
          <w:p w14:paraId="23B9D9A1" w14:textId="21B06ED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single" w:sz="4" w:space="0" w:color="auto"/>
              <w:left w:val="nil"/>
              <w:bottom w:val="nil"/>
              <w:right w:val="nil"/>
            </w:tcBorders>
            <w:noWrap/>
            <w:vAlign w:val="center"/>
            <w:hideMark/>
          </w:tcPr>
          <w:p w14:paraId="2BDEBACC" w14:textId="0A66E57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single" w:sz="4" w:space="0" w:color="auto"/>
              <w:left w:val="nil"/>
              <w:bottom w:val="nil"/>
              <w:right w:val="nil"/>
            </w:tcBorders>
            <w:noWrap/>
            <w:vAlign w:val="center"/>
            <w:hideMark/>
          </w:tcPr>
          <w:p w14:paraId="1AB0FEA0" w14:textId="275F3F2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single" w:sz="4" w:space="0" w:color="auto"/>
              <w:left w:val="nil"/>
              <w:bottom w:val="nil"/>
              <w:right w:val="nil"/>
            </w:tcBorders>
            <w:noWrap/>
            <w:vAlign w:val="center"/>
            <w:hideMark/>
          </w:tcPr>
          <w:p w14:paraId="132503CA" w14:textId="1FC4223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single" w:sz="4" w:space="0" w:color="auto"/>
              <w:left w:val="nil"/>
              <w:bottom w:val="nil"/>
              <w:right w:val="nil"/>
            </w:tcBorders>
            <w:noWrap/>
            <w:vAlign w:val="center"/>
            <w:hideMark/>
          </w:tcPr>
          <w:p w14:paraId="0E0F10B0" w14:textId="57FB22EE"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single" w:sz="4" w:space="0" w:color="auto"/>
              <w:left w:val="nil"/>
              <w:bottom w:val="nil"/>
              <w:right w:val="nil"/>
            </w:tcBorders>
            <w:noWrap/>
            <w:vAlign w:val="center"/>
            <w:hideMark/>
          </w:tcPr>
          <w:p w14:paraId="72FFDB2B" w14:textId="0AE8528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single" w:sz="4" w:space="0" w:color="auto"/>
              <w:left w:val="nil"/>
              <w:bottom w:val="nil"/>
              <w:right w:val="nil"/>
            </w:tcBorders>
            <w:noWrap/>
            <w:vAlign w:val="center"/>
            <w:hideMark/>
          </w:tcPr>
          <w:p w14:paraId="5C87F967" w14:textId="0D8862D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single" w:sz="4" w:space="0" w:color="auto"/>
              <w:left w:val="nil"/>
              <w:bottom w:val="nil"/>
              <w:right w:val="nil"/>
            </w:tcBorders>
            <w:noWrap/>
            <w:vAlign w:val="center"/>
            <w:hideMark/>
          </w:tcPr>
          <w:p w14:paraId="6777DD20" w14:textId="07A7E25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single" w:sz="4" w:space="0" w:color="auto"/>
              <w:left w:val="nil"/>
              <w:bottom w:val="nil"/>
              <w:right w:val="nil"/>
            </w:tcBorders>
            <w:noWrap/>
            <w:vAlign w:val="center"/>
            <w:hideMark/>
          </w:tcPr>
          <w:p w14:paraId="7C6B065D" w14:textId="630934B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65" w:type="dxa"/>
            <w:tcBorders>
              <w:top w:val="single" w:sz="4" w:space="0" w:color="auto"/>
              <w:left w:val="nil"/>
              <w:bottom w:val="nil"/>
              <w:right w:val="nil"/>
            </w:tcBorders>
            <w:noWrap/>
            <w:vAlign w:val="center"/>
            <w:hideMark/>
          </w:tcPr>
          <w:p w14:paraId="30E013A6" w14:textId="5C270BE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c>
          <w:tcPr>
            <w:tcW w:w="822" w:type="dxa"/>
            <w:tcBorders>
              <w:top w:val="single" w:sz="4" w:space="0" w:color="auto"/>
              <w:left w:val="nil"/>
              <w:bottom w:val="nil"/>
              <w:right w:val="nil"/>
            </w:tcBorders>
            <w:noWrap/>
            <w:vAlign w:val="center"/>
            <w:hideMark/>
          </w:tcPr>
          <w:p w14:paraId="1F5E9682" w14:textId="61392578"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4,840</w:t>
            </w:r>
          </w:p>
        </w:tc>
      </w:tr>
      <w:tr w:rsidR="00B00E10" w:rsidRPr="0022670C" w14:paraId="19DD6F53" w14:textId="77777777" w:rsidTr="00EA7835">
        <w:trPr>
          <w:trHeight w:val="250"/>
        </w:trPr>
        <w:tc>
          <w:tcPr>
            <w:tcW w:w="2268" w:type="dxa"/>
            <w:tcBorders>
              <w:top w:val="nil"/>
              <w:left w:val="nil"/>
              <w:bottom w:val="nil"/>
              <w:right w:val="nil"/>
            </w:tcBorders>
            <w:noWrap/>
            <w:vAlign w:val="center"/>
            <w:hideMark/>
          </w:tcPr>
          <w:p w14:paraId="1CA5A774" w14:textId="77777777" w:rsidR="00B00E10" w:rsidRPr="0022670C" w:rsidRDefault="00B00E10" w:rsidP="00EA7835">
            <w:pPr>
              <w:spacing w:before="0" w:after="0"/>
              <w:rPr>
                <w:rFonts w:ascii="Arial" w:hAnsi="Arial" w:cs="Arial"/>
                <w:sz w:val="16"/>
                <w:szCs w:val="16"/>
              </w:rPr>
            </w:pPr>
          </w:p>
        </w:tc>
        <w:tc>
          <w:tcPr>
            <w:tcW w:w="1276" w:type="dxa"/>
            <w:tcBorders>
              <w:top w:val="nil"/>
              <w:left w:val="nil"/>
              <w:bottom w:val="nil"/>
              <w:right w:val="nil"/>
            </w:tcBorders>
            <w:noWrap/>
            <w:vAlign w:val="center"/>
            <w:hideMark/>
          </w:tcPr>
          <w:p w14:paraId="1A15CC88"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51544A82"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29BB338C"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0DB53EEE"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7D3BE55B"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7DDADD66"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506C904F"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6FE90315"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59283B68"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777BEB81"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6806B530" w14:textId="77777777" w:rsidR="00B00E10" w:rsidRPr="0022670C" w:rsidRDefault="00B00E10" w:rsidP="00B00E10">
            <w:pPr>
              <w:spacing w:before="0" w:after="0"/>
              <w:jc w:val="right"/>
              <w:rPr>
                <w:rFonts w:ascii="Arial" w:hAnsi="Arial" w:cs="Arial"/>
                <w:sz w:val="16"/>
                <w:szCs w:val="16"/>
              </w:rPr>
            </w:pPr>
          </w:p>
        </w:tc>
        <w:tc>
          <w:tcPr>
            <w:tcW w:w="822" w:type="dxa"/>
            <w:tcBorders>
              <w:top w:val="nil"/>
              <w:left w:val="nil"/>
              <w:bottom w:val="nil"/>
              <w:right w:val="nil"/>
            </w:tcBorders>
            <w:noWrap/>
            <w:vAlign w:val="center"/>
            <w:hideMark/>
          </w:tcPr>
          <w:p w14:paraId="6461E00E" w14:textId="77777777" w:rsidR="00B00E10" w:rsidRPr="0022670C" w:rsidRDefault="00B00E10" w:rsidP="00B00E10">
            <w:pPr>
              <w:spacing w:before="0" w:after="0"/>
              <w:jc w:val="right"/>
              <w:rPr>
                <w:rFonts w:ascii="Arial" w:hAnsi="Arial" w:cs="Arial"/>
                <w:sz w:val="16"/>
                <w:szCs w:val="16"/>
              </w:rPr>
            </w:pPr>
          </w:p>
        </w:tc>
      </w:tr>
      <w:tr w:rsidR="00B00E10" w:rsidRPr="0022670C" w14:paraId="569B696A" w14:textId="77777777" w:rsidTr="00EA7835">
        <w:trPr>
          <w:trHeight w:val="250"/>
        </w:trPr>
        <w:tc>
          <w:tcPr>
            <w:tcW w:w="2268" w:type="dxa"/>
            <w:tcBorders>
              <w:top w:val="nil"/>
              <w:left w:val="nil"/>
              <w:bottom w:val="nil"/>
              <w:right w:val="nil"/>
            </w:tcBorders>
            <w:shd w:val="clear" w:color="auto" w:fill="031F73" w:themeFill="text2"/>
            <w:noWrap/>
            <w:vAlign w:val="center"/>
            <w:hideMark/>
          </w:tcPr>
          <w:p w14:paraId="5F048EC1" w14:textId="77777777" w:rsidR="00B00E10" w:rsidRPr="0022670C" w:rsidRDefault="00B00E10" w:rsidP="00EA7835">
            <w:pPr>
              <w:spacing w:before="0" w:after="0"/>
              <w:rPr>
                <w:rFonts w:ascii="Arial" w:hAnsi="Arial" w:cs="Arial"/>
                <w:color w:val="FFFFFF"/>
                <w:sz w:val="16"/>
                <w:szCs w:val="16"/>
              </w:rPr>
            </w:pPr>
            <w:r w:rsidRPr="0022670C">
              <w:rPr>
                <w:rFonts w:ascii="Arial" w:hAnsi="Arial" w:cs="Arial"/>
                <w:color w:val="FFFFFF"/>
                <w:sz w:val="16"/>
                <w:szCs w:val="16"/>
              </w:rPr>
              <w:t>Public open space levy</w:t>
            </w:r>
          </w:p>
        </w:tc>
        <w:tc>
          <w:tcPr>
            <w:tcW w:w="1276" w:type="dxa"/>
            <w:tcBorders>
              <w:top w:val="nil"/>
              <w:left w:val="nil"/>
              <w:bottom w:val="nil"/>
              <w:right w:val="nil"/>
            </w:tcBorders>
            <w:shd w:val="clear" w:color="auto" w:fill="031F73" w:themeFill="text2"/>
            <w:noWrap/>
            <w:vAlign w:val="center"/>
            <w:hideMark/>
          </w:tcPr>
          <w:p w14:paraId="4CE56684" w14:textId="77777777" w:rsidR="00B00E10" w:rsidRPr="0022670C" w:rsidRDefault="00B00E10" w:rsidP="00EA7835">
            <w:pPr>
              <w:spacing w:before="0" w:after="0"/>
              <w:rPr>
                <w:rFonts w:ascii="Arial" w:hAnsi="Arial" w:cs="Arial"/>
                <w:color w:val="FFFFFF"/>
                <w:sz w:val="16"/>
                <w:szCs w:val="16"/>
              </w:rPr>
            </w:pPr>
            <w:r w:rsidRPr="0022670C">
              <w:rPr>
                <w:rFonts w:ascii="Arial" w:hAnsi="Arial" w:cs="Arial"/>
                <w:color w:val="FFFFFF"/>
                <w:sz w:val="16"/>
                <w:szCs w:val="16"/>
              </w:rPr>
              <w:t>Restricted</w:t>
            </w:r>
          </w:p>
        </w:tc>
        <w:tc>
          <w:tcPr>
            <w:tcW w:w="865" w:type="dxa"/>
            <w:tcBorders>
              <w:top w:val="nil"/>
              <w:left w:val="nil"/>
              <w:bottom w:val="nil"/>
              <w:right w:val="nil"/>
            </w:tcBorders>
            <w:shd w:val="clear" w:color="auto" w:fill="031F73" w:themeFill="text2"/>
            <w:noWrap/>
            <w:vAlign w:val="center"/>
            <w:hideMark/>
          </w:tcPr>
          <w:p w14:paraId="179ABF15" w14:textId="685F592A"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26A1360A" w14:textId="2CEC81AB"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11A2D3F5" w14:textId="083735B2"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2EAA2BEE" w14:textId="4913A676"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51641FB4" w14:textId="11E5CA92"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092118DB" w14:textId="37990461"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55C34294" w14:textId="0449BFB4"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3EDE0A5F" w14:textId="1C4C144A"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6740B9D9" w14:textId="2DB321B1"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3926A3C8" w14:textId="4C204FBA" w:rsidR="00B00E10" w:rsidRPr="0022670C" w:rsidRDefault="00B00E10" w:rsidP="00B00E10">
            <w:pPr>
              <w:spacing w:before="0" w:after="0"/>
              <w:jc w:val="right"/>
              <w:rPr>
                <w:rFonts w:ascii="Arial" w:hAnsi="Arial" w:cs="Arial"/>
                <w:color w:val="FFFFFF"/>
                <w:sz w:val="16"/>
                <w:szCs w:val="16"/>
              </w:rPr>
            </w:pPr>
          </w:p>
        </w:tc>
        <w:tc>
          <w:tcPr>
            <w:tcW w:w="822" w:type="dxa"/>
            <w:tcBorders>
              <w:top w:val="nil"/>
              <w:left w:val="nil"/>
              <w:bottom w:val="nil"/>
              <w:right w:val="nil"/>
            </w:tcBorders>
            <w:shd w:val="clear" w:color="auto" w:fill="031F73" w:themeFill="text2"/>
            <w:noWrap/>
            <w:vAlign w:val="center"/>
            <w:hideMark/>
          </w:tcPr>
          <w:p w14:paraId="1A66035B" w14:textId="0E9F76E7" w:rsidR="00B00E10" w:rsidRPr="0022670C" w:rsidRDefault="00B00E10" w:rsidP="00B00E10">
            <w:pPr>
              <w:spacing w:before="0" w:after="0"/>
              <w:jc w:val="right"/>
              <w:rPr>
                <w:rFonts w:ascii="Arial" w:hAnsi="Arial" w:cs="Arial"/>
                <w:color w:val="FFFFFF"/>
                <w:sz w:val="16"/>
                <w:szCs w:val="16"/>
              </w:rPr>
            </w:pPr>
          </w:p>
        </w:tc>
      </w:tr>
      <w:tr w:rsidR="00B00E10" w:rsidRPr="0022670C" w14:paraId="443E33D7" w14:textId="77777777" w:rsidTr="00EA7835">
        <w:trPr>
          <w:trHeight w:val="250"/>
        </w:trPr>
        <w:tc>
          <w:tcPr>
            <w:tcW w:w="2268" w:type="dxa"/>
            <w:tcBorders>
              <w:top w:val="nil"/>
              <w:left w:val="nil"/>
              <w:bottom w:val="nil"/>
              <w:right w:val="nil"/>
            </w:tcBorders>
            <w:noWrap/>
            <w:vAlign w:val="center"/>
            <w:hideMark/>
          </w:tcPr>
          <w:p w14:paraId="2327D98E"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Opening balance</w:t>
            </w:r>
          </w:p>
        </w:tc>
        <w:tc>
          <w:tcPr>
            <w:tcW w:w="1276" w:type="dxa"/>
            <w:tcBorders>
              <w:top w:val="nil"/>
              <w:left w:val="nil"/>
              <w:bottom w:val="nil"/>
              <w:right w:val="nil"/>
            </w:tcBorders>
            <w:noWrap/>
            <w:vAlign w:val="center"/>
            <w:hideMark/>
          </w:tcPr>
          <w:p w14:paraId="4AD1F274"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734F2C1F" w14:textId="41E3190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24,556</w:t>
            </w:r>
          </w:p>
        </w:tc>
        <w:tc>
          <w:tcPr>
            <w:tcW w:w="865" w:type="dxa"/>
            <w:tcBorders>
              <w:top w:val="nil"/>
              <w:left w:val="nil"/>
              <w:bottom w:val="nil"/>
              <w:right w:val="nil"/>
            </w:tcBorders>
            <w:noWrap/>
            <w:vAlign w:val="center"/>
            <w:hideMark/>
          </w:tcPr>
          <w:p w14:paraId="3F5C9540" w14:textId="6EAFD71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nil"/>
              <w:left w:val="nil"/>
              <w:bottom w:val="nil"/>
              <w:right w:val="nil"/>
            </w:tcBorders>
            <w:noWrap/>
            <w:vAlign w:val="center"/>
            <w:hideMark/>
          </w:tcPr>
          <w:p w14:paraId="5DD698FB" w14:textId="6F60044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nil"/>
              <w:left w:val="nil"/>
              <w:bottom w:val="nil"/>
              <w:right w:val="nil"/>
            </w:tcBorders>
            <w:noWrap/>
            <w:vAlign w:val="center"/>
            <w:hideMark/>
          </w:tcPr>
          <w:p w14:paraId="0CB7C222" w14:textId="3AA4E9E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nil"/>
              <w:left w:val="nil"/>
              <w:bottom w:val="nil"/>
              <w:right w:val="nil"/>
            </w:tcBorders>
            <w:noWrap/>
            <w:vAlign w:val="center"/>
            <w:hideMark/>
          </w:tcPr>
          <w:p w14:paraId="009F49E1" w14:textId="0C2F829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nil"/>
              <w:left w:val="nil"/>
              <w:bottom w:val="nil"/>
              <w:right w:val="nil"/>
            </w:tcBorders>
            <w:noWrap/>
            <w:vAlign w:val="center"/>
            <w:hideMark/>
          </w:tcPr>
          <w:p w14:paraId="79E1E0B3" w14:textId="63D178B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nil"/>
              <w:left w:val="nil"/>
              <w:bottom w:val="nil"/>
              <w:right w:val="nil"/>
            </w:tcBorders>
            <w:noWrap/>
            <w:vAlign w:val="center"/>
            <w:hideMark/>
          </w:tcPr>
          <w:p w14:paraId="69763A6C" w14:textId="3325167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nil"/>
              <w:left w:val="nil"/>
              <w:bottom w:val="nil"/>
              <w:right w:val="nil"/>
            </w:tcBorders>
            <w:noWrap/>
            <w:vAlign w:val="center"/>
            <w:hideMark/>
          </w:tcPr>
          <w:p w14:paraId="77AC2F4D" w14:textId="61DC8B6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nil"/>
              <w:left w:val="nil"/>
              <w:bottom w:val="nil"/>
              <w:right w:val="nil"/>
            </w:tcBorders>
            <w:noWrap/>
            <w:vAlign w:val="center"/>
            <w:hideMark/>
          </w:tcPr>
          <w:p w14:paraId="239F96A9" w14:textId="2C6A977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nil"/>
              <w:left w:val="nil"/>
              <w:bottom w:val="nil"/>
              <w:right w:val="nil"/>
            </w:tcBorders>
            <w:noWrap/>
            <w:vAlign w:val="center"/>
            <w:hideMark/>
          </w:tcPr>
          <w:p w14:paraId="3C638445" w14:textId="3042FD0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22" w:type="dxa"/>
            <w:tcBorders>
              <w:top w:val="nil"/>
              <w:left w:val="nil"/>
              <w:bottom w:val="nil"/>
              <w:right w:val="nil"/>
            </w:tcBorders>
            <w:noWrap/>
            <w:vAlign w:val="center"/>
            <w:hideMark/>
          </w:tcPr>
          <w:p w14:paraId="50D631B8" w14:textId="7A93B18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r>
      <w:tr w:rsidR="00B00E10" w:rsidRPr="0022670C" w14:paraId="1C9635E3" w14:textId="77777777" w:rsidTr="00EA7835">
        <w:trPr>
          <w:trHeight w:val="250"/>
        </w:trPr>
        <w:tc>
          <w:tcPr>
            <w:tcW w:w="2268" w:type="dxa"/>
            <w:tcBorders>
              <w:top w:val="nil"/>
              <w:left w:val="nil"/>
              <w:bottom w:val="nil"/>
              <w:right w:val="nil"/>
            </w:tcBorders>
            <w:noWrap/>
            <w:vAlign w:val="center"/>
            <w:hideMark/>
          </w:tcPr>
          <w:p w14:paraId="21578A56"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to reserve</w:t>
            </w:r>
          </w:p>
        </w:tc>
        <w:tc>
          <w:tcPr>
            <w:tcW w:w="1276" w:type="dxa"/>
            <w:tcBorders>
              <w:top w:val="nil"/>
              <w:left w:val="nil"/>
              <w:bottom w:val="nil"/>
              <w:right w:val="nil"/>
            </w:tcBorders>
            <w:noWrap/>
            <w:vAlign w:val="center"/>
            <w:hideMark/>
          </w:tcPr>
          <w:p w14:paraId="3662C6CE"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0671A435" w14:textId="33E542D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5,251</w:t>
            </w:r>
          </w:p>
        </w:tc>
        <w:tc>
          <w:tcPr>
            <w:tcW w:w="865" w:type="dxa"/>
            <w:tcBorders>
              <w:top w:val="nil"/>
              <w:left w:val="nil"/>
              <w:bottom w:val="nil"/>
              <w:right w:val="nil"/>
            </w:tcBorders>
            <w:noWrap/>
            <w:vAlign w:val="center"/>
            <w:hideMark/>
          </w:tcPr>
          <w:p w14:paraId="50B530C9" w14:textId="60CCDC6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21D7D50" w14:textId="39E5D460"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05D4E49" w14:textId="4F4B2E60"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269139C3" w14:textId="1345AFE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2C61AF41" w14:textId="39F9250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3A8D1A0B" w14:textId="734B5E0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22CF222" w14:textId="58D4081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2151EFE6" w14:textId="33D6FD6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F6D1375" w14:textId="4F5CD52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22" w:type="dxa"/>
            <w:tcBorders>
              <w:top w:val="nil"/>
              <w:left w:val="nil"/>
              <w:bottom w:val="nil"/>
              <w:right w:val="nil"/>
            </w:tcBorders>
            <w:noWrap/>
            <w:vAlign w:val="center"/>
            <w:hideMark/>
          </w:tcPr>
          <w:p w14:paraId="76906596" w14:textId="5EA0B0D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r>
      <w:tr w:rsidR="00B00E10" w:rsidRPr="0022670C" w14:paraId="2A832875" w14:textId="77777777" w:rsidTr="00EA7835">
        <w:trPr>
          <w:trHeight w:val="250"/>
        </w:trPr>
        <w:tc>
          <w:tcPr>
            <w:tcW w:w="2268" w:type="dxa"/>
            <w:tcBorders>
              <w:top w:val="nil"/>
              <w:left w:val="nil"/>
              <w:bottom w:val="nil"/>
              <w:right w:val="nil"/>
            </w:tcBorders>
            <w:noWrap/>
            <w:vAlign w:val="center"/>
            <w:hideMark/>
          </w:tcPr>
          <w:p w14:paraId="499E0BD2"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from reserve</w:t>
            </w:r>
          </w:p>
        </w:tc>
        <w:tc>
          <w:tcPr>
            <w:tcW w:w="1276" w:type="dxa"/>
            <w:tcBorders>
              <w:top w:val="nil"/>
              <w:left w:val="nil"/>
              <w:bottom w:val="nil"/>
              <w:right w:val="nil"/>
            </w:tcBorders>
            <w:noWrap/>
            <w:vAlign w:val="center"/>
            <w:hideMark/>
          </w:tcPr>
          <w:p w14:paraId="4F3866A2"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41C62B8B"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(72)</w:t>
            </w:r>
          </w:p>
        </w:tc>
        <w:tc>
          <w:tcPr>
            <w:tcW w:w="865" w:type="dxa"/>
            <w:tcBorders>
              <w:top w:val="nil"/>
              <w:left w:val="nil"/>
              <w:bottom w:val="nil"/>
              <w:right w:val="nil"/>
            </w:tcBorders>
            <w:noWrap/>
            <w:vAlign w:val="center"/>
            <w:hideMark/>
          </w:tcPr>
          <w:p w14:paraId="6A815367" w14:textId="07B832F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7E69836F" w14:textId="26112CA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30E4448B" w14:textId="769118A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40264EDB" w14:textId="3B3B861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18ABF08B" w14:textId="76B9729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1737B4D4" w14:textId="531A593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4F20E28F" w14:textId="193D90F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3BA074F8" w14:textId="7BF52B4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15B432F3" w14:textId="552F0A9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22" w:type="dxa"/>
            <w:tcBorders>
              <w:top w:val="nil"/>
              <w:left w:val="nil"/>
              <w:bottom w:val="nil"/>
              <w:right w:val="nil"/>
            </w:tcBorders>
            <w:noWrap/>
            <w:vAlign w:val="center"/>
            <w:hideMark/>
          </w:tcPr>
          <w:p w14:paraId="3D135A7C" w14:textId="29F9632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r>
      <w:tr w:rsidR="00B00E10" w:rsidRPr="0022670C" w14:paraId="3681CE5F" w14:textId="77777777" w:rsidTr="00EA7835">
        <w:trPr>
          <w:trHeight w:val="250"/>
        </w:trPr>
        <w:tc>
          <w:tcPr>
            <w:tcW w:w="2268" w:type="dxa"/>
            <w:tcBorders>
              <w:top w:val="single" w:sz="4" w:space="0" w:color="auto"/>
              <w:left w:val="nil"/>
              <w:bottom w:val="nil"/>
              <w:right w:val="nil"/>
            </w:tcBorders>
            <w:noWrap/>
            <w:vAlign w:val="center"/>
            <w:hideMark/>
          </w:tcPr>
          <w:p w14:paraId="04B3C914"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Closing balance</w:t>
            </w:r>
          </w:p>
        </w:tc>
        <w:tc>
          <w:tcPr>
            <w:tcW w:w="1276" w:type="dxa"/>
            <w:tcBorders>
              <w:top w:val="single" w:sz="4" w:space="0" w:color="auto"/>
              <w:left w:val="nil"/>
              <w:bottom w:val="nil"/>
              <w:right w:val="nil"/>
            </w:tcBorders>
            <w:noWrap/>
            <w:vAlign w:val="center"/>
            <w:hideMark/>
          </w:tcPr>
          <w:p w14:paraId="0035BD11" w14:textId="5F5CFE3E" w:rsidR="00B00E10" w:rsidRPr="0022670C" w:rsidRDefault="00B00E10" w:rsidP="00EA7835">
            <w:pPr>
              <w:spacing w:before="0" w:after="0"/>
              <w:rPr>
                <w:rFonts w:ascii="Arial" w:hAnsi="Arial" w:cs="Arial"/>
                <w:sz w:val="16"/>
                <w:szCs w:val="16"/>
              </w:rPr>
            </w:pPr>
          </w:p>
        </w:tc>
        <w:tc>
          <w:tcPr>
            <w:tcW w:w="865" w:type="dxa"/>
            <w:tcBorders>
              <w:top w:val="single" w:sz="4" w:space="0" w:color="auto"/>
              <w:left w:val="nil"/>
              <w:bottom w:val="nil"/>
              <w:right w:val="nil"/>
            </w:tcBorders>
            <w:noWrap/>
            <w:vAlign w:val="center"/>
            <w:hideMark/>
          </w:tcPr>
          <w:p w14:paraId="28A2DC84" w14:textId="49CA0C9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single" w:sz="4" w:space="0" w:color="auto"/>
              <w:left w:val="nil"/>
              <w:bottom w:val="nil"/>
              <w:right w:val="nil"/>
            </w:tcBorders>
            <w:noWrap/>
            <w:vAlign w:val="center"/>
            <w:hideMark/>
          </w:tcPr>
          <w:p w14:paraId="0AF2754C" w14:textId="7A2DCD6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single" w:sz="4" w:space="0" w:color="auto"/>
              <w:left w:val="nil"/>
              <w:bottom w:val="nil"/>
              <w:right w:val="nil"/>
            </w:tcBorders>
            <w:noWrap/>
            <w:vAlign w:val="center"/>
            <w:hideMark/>
          </w:tcPr>
          <w:p w14:paraId="128A8F19" w14:textId="4599898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single" w:sz="4" w:space="0" w:color="auto"/>
              <w:left w:val="nil"/>
              <w:bottom w:val="nil"/>
              <w:right w:val="nil"/>
            </w:tcBorders>
            <w:noWrap/>
            <w:vAlign w:val="center"/>
            <w:hideMark/>
          </w:tcPr>
          <w:p w14:paraId="68A0652E" w14:textId="79826B5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single" w:sz="4" w:space="0" w:color="auto"/>
              <w:left w:val="nil"/>
              <w:bottom w:val="nil"/>
              <w:right w:val="nil"/>
            </w:tcBorders>
            <w:noWrap/>
            <w:vAlign w:val="center"/>
            <w:hideMark/>
          </w:tcPr>
          <w:p w14:paraId="6C569144" w14:textId="352DFD08"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single" w:sz="4" w:space="0" w:color="auto"/>
              <w:left w:val="nil"/>
              <w:bottom w:val="nil"/>
              <w:right w:val="nil"/>
            </w:tcBorders>
            <w:noWrap/>
            <w:vAlign w:val="center"/>
            <w:hideMark/>
          </w:tcPr>
          <w:p w14:paraId="500FCBB2" w14:textId="799AB8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single" w:sz="4" w:space="0" w:color="auto"/>
              <w:left w:val="nil"/>
              <w:bottom w:val="nil"/>
              <w:right w:val="nil"/>
            </w:tcBorders>
            <w:noWrap/>
            <w:vAlign w:val="center"/>
            <w:hideMark/>
          </w:tcPr>
          <w:p w14:paraId="09065E62" w14:textId="04A3341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single" w:sz="4" w:space="0" w:color="auto"/>
              <w:left w:val="nil"/>
              <w:bottom w:val="nil"/>
              <w:right w:val="nil"/>
            </w:tcBorders>
            <w:noWrap/>
            <w:vAlign w:val="center"/>
            <w:hideMark/>
          </w:tcPr>
          <w:p w14:paraId="545F8C99" w14:textId="64F61B9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single" w:sz="4" w:space="0" w:color="auto"/>
              <w:left w:val="nil"/>
              <w:bottom w:val="nil"/>
              <w:right w:val="nil"/>
            </w:tcBorders>
            <w:noWrap/>
            <w:vAlign w:val="center"/>
            <w:hideMark/>
          </w:tcPr>
          <w:p w14:paraId="70A1AFDB" w14:textId="7DBAA8E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65" w:type="dxa"/>
            <w:tcBorders>
              <w:top w:val="single" w:sz="4" w:space="0" w:color="auto"/>
              <w:left w:val="nil"/>
              <w:bottom w:val="nil"/>
              <w:right w:val="nil"/>
            </w:tcBorders>
            <w:noWrap/>
            <w:vAlign w:val="center"/>
            <w:hideMark/>
          </w:tcPr>
          <w:p w14:paraId="05E46271" w14:textId="730481E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c>
          <w:tcPr>
            <w:tcW w:w="822" w:type="dxa"/>
            <w:tcBorders>
              <w:top w:val="single" w:sz="4" w:space="0" w:color="auto"/>
              <w:left w:val="nil"/>
              <w:bottom w:val="nil"/>
              <w:right w:val="nil"/>
            </w:tcBorders>
            <w:noWrap/>
            <w:vAlign w:val="center"/>
            <w:hideMark/>
          </w:tcPr>
          <w:p w14:paraId="25A14286" w14:textId="565FB17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29,735</w:t>
            </w:r>
          </w:p>
        </w:tc>
      </w:tr>
      <w:tr w:rsidR="00B00E10" w:rsidRPr="0022670C" w14:paraId="72FCA6C4" w14:textId="77777777" w:rsidTr="00EA7835">
        <w:trPr>
          <w:trHeight w:val="250"/>
        </w:trPr>
        <w:tc>
          <w:tcPr>
            <w:tcW w:w="2268" w:type="dxa"/>
            <w:tcBorders>
              <w:top w:val="nil"/>
              <w:left w:val="nil"/>
              <w:bottom w:val="nil"/>
              <w:right w:val="nil"/>
            </w:tcBorders>
            <w:noWrap/>
            <w:vAlign w:val="center"/>
            <w:hideMark/>
          </w:tcPr>
          <w:p w14:paraId="2CD6D520" w14:textId="77777777" w:rsidR="00B00E10" w:rsidRPr="0022670C" w:rsidRDefault="00B00E10" w:rsidP="00EA7835">
            <w:pPr>
              <w:spacing w:before="0" w:after="0"/>
              <w:rPr>
                <w:rFonts w:ascii="Arial" w:hAnsi="Arial" w:cs="Arial"/>
                <w:sz w:val="16"/>
                <w:szCs w:val="16"/>
              </w:rPr>
            </w:pPr>
          </w:p>
        </w:tc>
        <w:tc>
          <w:tcPr>
            <w:tcW w:w="1276" w:type="dxa"/>
            <w:tcBorders>
              <w:top w:val="nil"/>
              <w:left w:val="nil"/>
              <w:bottom w:val="nil"/>
              <w:right w:val="nil"/>
            </w:tcBorders>
            <w:noWrap/>
            <w:vAlign w:val="center"/>
            <w:hideMark/>
          </w:tcPr>
          <w:p w14:paraId="48BAF275"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46F4576F"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26CB0A81"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565EADC9"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093DD755"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247A8D28"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0C85F0A1"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096D13B4"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3899913F"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7665E1D8"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3D961201" w14:textId="77777777" w:rsidR="00B00E10" w:rsidRPr="0022670C" w:rsidRDefault="00B00E10" w:rsidP="00B00E10">
            <w:pPr>
              <w:spacing w:before="0" w:after="0"/>
              <w:jc w:val="right"/>
              <w:rPr>
                <w:rFonts w:ascii="Arial" w:hAnsi="Arial" w:cs="Arial"/>
                <w:sz w:val="16"/>
                <w:szCs w:val="16"/>
              </w:rPr>
            </w:pPr>
          </w:p>
        </w:tc>
        <w:tc>
          <w:tcPr>
            <w:tcW w:w="822" w:type="dxa"/>
            <w:tcBorders>
              <w:top w:val="nil"/>
              <w:left w:val="nil"/>
              <w:bottom w:val="nil"/>
              <w:right w:val="nil"/>
            </w:tcBorders>
            <w:noWrap/>
            <w:vAlign w:val="center"/>
            <w:hideMark/>
          </w:tcPr>
          <w:p w14:paraId="413D97FD" w14:textId="77777777" w:rsidR="00B00E10" w:rsidRPr="0022670C" w:rsidRDefault="00B00E10" w:rsidP="00B00E10">
            <w:pPr>
              <w:spacing w:before="0" w:after="0"/>
              <w:jc w:val="right"/>
              <w:rPr>
                <w:rFonts w:ascii="Arial" w:hAnsi="Arial" w:cs="Arial"/>
                <w:sz w:val="16"/>
                <w:szCs w:val="16"/>
              </w:rPr>
            </w:pPr>
          </w:p>
        </w:tc>
      </w:tr>
      <w:tr w:rsidR="00B00E10" w:rsidRPr="0022670C" w14:paraId="0D8053CB" w14:textId="77777777" w:rsidTr="00EA7835">
        <w:trPr>
          <w:trHeight w:val="250"/>
        </w:trPr>
        <w:tc>
          <w:tcPr>
            <w:tcW w:w="2268" w:type="dxa"/>
            <w:tcBorders>
              <w:top w:val="nil"/>
              <w:left w:val="nil"/>
              <w:bottom w:val="nil"/>
              <w:right w:val="nil"/>
            </w:tcBorders>
            <w:shd w:val="clear" w:color="auto" w:fill="031F73" w:themeFill="text2"/>
            <w:noWrap/>
            <w:vAlign w:val="center"/>
            <w:hideMark/>
          </w:tcPr>
          <w:p w14:paraId="61968F95" w14:textId="77777777" w:rsidR="00B00E10" w:rsidRPr="0022670C" w:rsidRDefault="00B00E10" w:rsidP="00EA7835">
            <w:pPr>
              <w:spacing w:before="0" w:after="0"/>
              <w:rPr>
                <w:rFonts w:ascii="Arial" w:hAnsi="Arial" w:cs="Arial"/>
                <w:color w:val="FFFFFF"/>
                <w:sz w:val="16"/>
                <w:szCs w:val="16"/>
              </w:rPr>
            </w:pPr>
            <w:r w:rsidRPr="0022670C">
              <w:rPr>
                <w:rFonts w:ascii="Arial" w:hAnsi="Arial" w:cs="Arial"/>
                <w:color w:val="FFFFFF"/>
                <w:sz w:val="16"/>
                <w:szCs w:val="16"/>
              </w:rPr>
              <w:t>Total restricted</w:t>
            </w:r>
          </w:p>
        </w:tc>
        <w:tc>
          <w:tcPr>
            <w:tcW w:w="1276" w:type="dxa"/>
            <w:tcBorders>
              <w:top w:val="nil"/>
              <w:left w:val="nil"/>
              <w:bottom w:val="nil"/>
              <w:right w:val="nil"/>
            </w:tcBorders>
            <w:shd w:val="clear" w:color="auto" w:fill="031F73" w:themeFill="text2"/>
            <w:noWrap/>
            <w:vAlign w:val="center"/>
            <w:hideMark/>
          </w:tcPr>
          <w:p w14:paraId="680F33FF" w14:textId="3581C7F2" w:rsidR="00B00E10" w:rsidRPr="0022670C" w:rsidRDefault="00B00E10" w:rsidP="00EA7835">
            <w:pPr>
              <w:spacing w:before="0" w:after="0"/>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bottom"/>
            <w:hideMark/>
          </w:tcPr>
          <w:p w14:paraId="2A4ABAEB"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0FF197D3"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425A33F2"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1987B0E5"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0599FCD7"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7F8567B1"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3BE7FC38"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4DC3C131"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69D74E43"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65" w:type="dxa"/>
            <w:tcBorders>
              <w:top w:val="nil"/>
              <w:left w:val="nil"/>
              <w:bottom w:val="nil"/>
              <w:right w:val="nil"/>
            </w:tcBorders>
            <w:shd w:val="clear" w:color="auto" w:fill="031F73" w:themeFill="text2"/>
            <w:noWrap/>
            <w:vAlign w:val="bottom"/>
            <w:hideMark/>
          </w:tcPr>
          <w:p w14:paraId="03E25BE7"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c>
          <w:tcPr>
            <w:tcW w:w="822" w:type="dxa"/>
            <w:tcBorders>
              <w:top w:val="nil"/>
              <w:left w:val="nil"/>
              <w:bottom w:val="nil"/>
              <w:right w:val="nil"/>
            </w:tcBorders>
            <w:shd w:val="clear" w:color="auto" w:fill="031F73" w:themeFill="text2"/>
            <w:noWrap/>
            <w:vAlign w:val="bottom"/>
            <w:hideMark/>
          </w:tcPr>
          <w:p w14:paraId="1DEC4E30" w14:textId="77777777" w:rsidR="00B00E10" w:rsidRPr="0022670C" w:rsidRDefault="00B00E10" w:rsidP="00B00E10">
            <w:pPr>
              <w:spacing w:before="0" w:after="0"/>
              <w:rPr>
                <w:rFonts w:ascii="Arial" w:hAnsi="Arial" w:cs="Arial"/>
                <w:color w:val="FFFFFF"/>
                <w:sz w:val="16"/>
                <w:szCs w:val="16"/>
              </w:rPr>
            </w:pPr>
            <w:r w:rsidRPr="0022670C">
              <w:rPr>
                <w:rFonts w:ascii="Arial" w:hAnsi="Arial" w:cs="Arial"/>
                <w:color w:val="FFFFFF"/>
                <w:sz w:val="16"/>
                <w:szCs w:val="16"/>
              </w:rPr>
              <w:t> </w:t>
            </w:r>
          </w:p>
        </w:tc>
      </w:tr>
      <w:tr w:rsidR="00B00E10" w:rsidRPr="0022670C" w14:paraId="2E0CBB94" w14:textId="77777777" w:rsidTr="00EA7835">
        <w:trPr>
          <w:trHeight w:val="250"/>
        </w:trPr>
        <w:tc>
          <w:tcPr>
            <w:tcW w:w="2268" w:type="dxa"/>
            <w:tcBorders>
              <w:top w:val="nil"/>
              <w:left w:val="nil"/>
              <w:bottom w:val="nil"/>
              <w:right w:val="nil"/>
            </w:tcBorders>
            <w:noWrap/>
            <w:vAlign w:val="center"/>
            <w:hideMark/>
          </w:tcPr>
          <w:p w14:paraId="0F1B49BF"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Opening balance</w:t>
            </w:r>
          </w:p>
        </w:tc>
        <w:tc>
          <w:tcPr>
            <w:tcW w:w="1276" w:type="dxa"/>
            <w:tcBorders>
              <w:top w:val="nil"/>
              <w:left w:val="nil"/>
              <w:bottom w:val="nil"/>
              <w:right w:val="nil"/>
            </w:tcBorders>
            <w:noWrap/>
            <w:vAlign w:val="center"/>
            <w:hideMark/>
          </w:tcPr>
          <w:p w14:paraId="24E8E44D"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158B357E" w14:textId="799361C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86,317</w:t>
            </w:r>
          </w:p>
        </w:tc>
        <w:tc>
          <w:tcPr>
            <w:tcW w:w="865" w:type="dxa"/>
            <w:tcBorders>
              <w:top w:val="nil"/>
              <w:left w:val="nil"/>
              <w:bottom w:val="nil"/>
              <w:right w:val="nil"/>
            </w:tcBorders>
            <w:noWrap/>
            <w:vAlign w:val="center"/>
            <w:hideMark/>
          </w:tcPr>
          <w:p w14:paraId="188FDC3F" w14:textId="6E6F118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103,968</w:t>
            </w:r>
          </w:p>
        </w:tc>
        <w:tc>
          <w:tcPr>
            <w:tcW w:w="865" w:type="dxa"/>
            <w:tcBorders>
              <w:top w:val="nil"/>
              <w:left w:val="nil"/>
              <w:bottom w:val="nil"/>
              <w:right w:val="nil"/>
            </w:tcBorders>
            <w:noWrap/>
            <w:vAlign w:val="center"/>
            <w:hideMark/>
          </w:tcPr>
          <w:p w14:paraId="62011C93" w14:textId="6944B34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142,392</w:t>
            </w:r>
          </w:p>
        </w:tc>
        <w:tc>
          <w:tcPr>
            <w:tcW w:w="865" w:type="dxa"/>
            <w:tcBorders>
              <w:top w:val="nil"/>
              <w:left w:val="nil"/>
              <w:bottom w:val="nil"/>
              <w:right w:val="nil"/>
            </w:tcBorders>
            <w:noWrap/>
            <w:vAlign w:val="center"/>
            <w:hideMark/>
          </w:tcPr>
          <w:p w14:paraId="5FB21C60" w14:textId="587BCD3E"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150,690</w:t>
            </w:r>
          </w:p>
        </w:tc>
        <w:tc>
          <w:tcPr>
            <w:tcW w:w="865" w:type="dxa"/>
            <w:tcBorders>
              <w:top w:val="nil"/>
              <w:left w:val="nil"/>
              <w:bottom w:val="nil"/>
              <w:right w:val="nil"/>
            </w:tcBorders>
            <w:noWrap/>
            <w:vAlign w:val="center"/>
            <w:hideMark/>
          </w:tcPr>
          <w:p w14:paraId="4EF77B12" w14:textId="0EFF1F78"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158,676</w:t>
            </w:r>
          </w:p>
        </w:tc>
        <w:tc>
          <w:tcPr>
            <w:tcW w:w="865" w:type="dxa"/>
            <w:tcBorders>
              <w:top w:val="nil"/>
              <w:left w:val="nil"/>
              <w:bottom w:val="nil"/>
              <w:right w:val="nil"/>
            </w:tcBorders>
            <w:noWrap/>
            <w:vAlign w:val="center"/>
            <w:hideMark/>
          </w:tcPr>
          <w:p w14:paraId="07394679" w14:textId="438F97A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148,976</w:t>
            </w:r>
          </w:p>
        </w:tc>
        <w:tc>
          <w:tcPr>
            <w:tcW w:w="865" w:type="dxa"/>
            <w:tcBorders>
              <w:top w:val="nil"/>
              <w:left w:val="nil"/>
              <w:bottom w:val="nil"/>
              <w:right w:val="nil"/>
            </w:tcBorders>
            <w:noWrap/>
            <w:vAlign w:val="center"/>
            <w:hideMark/>
          </w:tcPr>
          <w:p w14:paraId="3B5136C5" w14:textId="4D64070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146,167</w:t>
            </w:r>
          </w:p>
        </w:tc>
        <w:tc>
          <w:tcPr>
            <w:tcW w:w="865" w:type="dxa"/>
            <w:tcBorders>
              <w:top w:val="nil"/>
              <w:left w:val="nil"/>
              <w:bottom w:val="nil"/>
              <w:right w:val="nil"/>
            </w:tcBorders>
            <w:noWrap/>
            <w:vAlign w:val="center"/>
            <w:hideMark/>
          </w:tcPr>
          <w:p w14:paraId="35AF00DA" w14:textId="4ACE83B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129,948</w:t>
            </w:r>
          </w:p>
        </w:tc>
        <w:tc>
          <w:tcPr>
            <w:tcW w:w="865" w:type="dxa"/>
            <w:tcBorders>
              <w:top w:val="nil"/>
              <w:left w:val="nil"/>
              <w:bottom w:val="nil"/>
              <w:right w:val="nil"/>
            </w:tcBorders>
            <w:noWrap/>
            <w:vAlign w:val="center"/>
            <w:hideMark/>
          </w:tcPr>
          <w:p w14:paraId="15C08A82" w14:textId="4F038A6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117,381</w:t>
            </w:r>
          </w:p>
        </w:tc>
        <w:tc>
          <w:tcPr>
            <w:tcW w:w="865" w:type="dxa"/>
            <w:tcBorders>
              <w:top w:val="nil"/>
              <w:left w:val="nil"/>
              <w:bottom w:val="nil"/>
              <w:right w:val="nil"/>
            </w:tcBorders>
            <w:noWrap/>
            <w:vAlign w:val="center"/>
            <w:hideMark/>
          </w:tcPr>
          <w:p w14:paraId="168E5281" w14:textId="43C595A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108,534</w:t>
            </w:r>
          </w:p>
        </w:tc>
        <w:tc>
          <w:tcPr>
            <w:tcW w:w="822" w:type="dxa"/>
            <w:tcBorders>
              <w:top w:val="nil"/>
              <w:left w:val="nil"/>
              <w:bottom w:val="nil"/>
              <w:right w:val="nil"/>
            </w:tcBorders>
            <w:noWrap/>
            <w:vAlign w:val="center"/>
            <w:hideMark/>
          </w:tcPr>
          <w:p w14:paraId="6CFFD7F5" w14:textId="0463624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104,487</w:t>
            </w:r>
          </w:p>
        </w:tc>
      </w:tr>
      <w:tr w:rsidR="00B00E10" w:rsidRPr="0022670C" w14:paraId="3EEC8288" w14:textId="77777777" w:rsidTr="00EA7835">
        <w:trPr>
          <w:trHeight w:val="250"/>
        </w:trPr>
        <w:tc>
          <w:tcPr>
            <w:tcW w:w="2268" w:type="dxa"/>
            <w:tcBorders>
              <w:top w:val="nil"/>
              <w:left w:val="nil"/>
              <w:bottom w:val="nil"/>
              <w:right w:val="nil"/>
            </w:tcBorders>
            <w:noWrap/>
            <w:vAlign w:val="center"/>
            <w:hideMark/>
          </w:tcPr>
          <w:p w14:paraId="3984F40F"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to reserve</w:t>
            </w:r>
          </w:p>
        </w:tc>
        <w:tc>
          <w:tcPr>
            <w:tcW w:w="1276" w:type="dxa"/>
            <w:tcBorders>
              <w:top w:val="nil"/>
              <w:left w:val="nil"/>
              <w:bottom w:val="nil"/>
              <w:right w:val="nil"/>
            </w:tcBorders>
            <w:noWrap/>
            <w:vAlign w:val="center"/>
            <w:hideMark/>
          </w:tcPr>
          <w:p w14:paraId="3C93AE61"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08958B4B" w14:textId="4F7AA1D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29,995</w:t>
            </w:r>
          </w:p>
        </w:tc>
        <w:tc>
          <w:tcPr>
            <w:tcW w:w="865" w:type="dxa"/>
            <w:tcBorders>
              <w:top w:val="nil"/>
              <w:left w:val="nil"/>
              <w:bottom w:val="nil"/>
              <w:right w:val="nil"/>
            </w:tcBorders>
            <w:noWrap/>
            <w:vAlign w:val="center"/>
            <w:hideMark/>
          </w:tcPr>
          <w:p w14:paraId="6C0D7DBB" w14:textId="500FB02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42,406</w:t>
            </w:r>
          </w:p>
        </w:tc>
        <w:tc>
          <w:tcPr>
            <w:tcW w:w="865" w:type="dxa"/>
            <w:tcBorders>
              <w:top w:val="nil"/>
              <w:left w:val="nil"/>
              <w:bottom w:val="nil"/>
              <w:right w:val="nil"/>
            </w:tcBorders>
            <w:noWrap/>
            <w:vAlign w:val="center"/>
            <w:hideMark/>
          </w:tcPr>
          <w:p w14:paraId="5C9D65B2" w14:textId="1BEF208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14,090</w:t>
            </w:r>
          </w:p>
        </w:tc>
        <w:tc>
          <w:tcPr>
            <w:tcW w:w="865" w:type="dxa"/>
            <w:tcBorders>
              <w:top w:val="nil"/>
              <w:left w:val="nil"/>
              <w:bottom w:val="nil"/>
              <w:right w:val="nil"/>
            </w:tcBorders>
            <w:noWrap/>
            <w:vAlign w:val="center"/>
            <w:hideMark/>
          </w:tcPr>
          <w:p w14:paraId="1D5333C2" w14:textId="1715152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22,829</w:t>
            </w:r>
          </w:p>
        </w:tc>
        <w:tc>
          <w:tcPr>
            <w:tcW w:w="865" w:type="dxa"/>
            <w:tcBorders>
              <w:top w:val="nil"/>
              <w:left w:val="nil"/>
              <w:bottom w:val="nil"/>
              <w:right w:val="nil"/>
            </w:tcBorders>
            <w:noWrap/>
            <w:vAlign w:val="center"/>
            <w:hideMark/>
          </w:tcPr>
          <w:p w14:paraId="1BF56801" w14:textId="242CB7C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15,754</w:t>
            </w:r>
          </w:p>
        </w:tc>
        <w:tc>
          <w:tcPr>
            <w:tcW w:w="865" w:type="dxa"/>
            <w:tcBorders>
              <w:top w:val="nil"/>
              <w:left w:val="nil"/>
              <w:bottom w:val="nil"/>
              <w:right w:val="nil"/>
            </w:tcBorders>
            <w:noWrap/>
            <w:vAlign w:val="center"/>
            <w:hideMark/>
          </w:tcPr>
          <w:p w14:paraId="30A3AFA1" w14:textId="37E58D0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22,891</w:t>
            </w:r>
          </w:p>
        </w:tc>
        <w:tc>
          <w:tcPr>
            <w:tcW w:w="865" w:type="dxa"/>
            <w:tcBorders>
              <w:top w:val="nil"/>
              <w:left w:val="nil"/>
              <w:bottom w:val="nil"/>
              <w:right w:val="nil"/>
            </w:tcBorders>
            <w:noWrap/>
            <w:vAlign w:val="center"/>
            <w:hideMark/>
          </w:tcPr>
          <w:p w14:paraId="12956EFC" w14:textId="1E02D31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7,981</w:t>
            </w:r>
          </w:p>
        </w:tc>
        <w:tc>
          <w:tcPr>
            <w:tcW w:w="865" w:type="dxa"/>
            <w:tcBorders>
              <w:top w:val="nil"/>
              <w:left w:val="nil"/>
              <w:bottom w:val="nil"/>
              <w:right w:val="nil"/>
            </w:tcBorders>
            <w:noWrap/>
            <w:vAlign w:val="center"/>
            <w:hideMark/>
          </w:tcPr>
          <w:p w14:paraId="09CF7591" w14:textId="78BD9E4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11,933</w:t>
            </w:r>
          </w:p>
        </w:tc>
        <w:tc>
          <w:tcPr>
            <w:tcW w:w="865" w:type="dxa"/>
            <w:tcBorders>
              <w:top w:val="nil"/>
              <w:left w:val="nil"/>
              <w:bottom w:val="nil"/>
              <w:right w:val="nil"/>
            </w:tcBorders>
            <w:noWrap/>
            <w:vAlign w:val="center"/>
            <w:hideMark/>
          </w:tcPr>
          <w:p w14:paraId="76DE021B" w14:textId="4348C85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15,953</w:t>
            </w:r>
          </w:p>
        </w:tc>
        <w:tc>
          <w:tcPr>
            <w:tcW w:w="865" w:type="dxa"/>
            <w:tcBorders>
              <w:top w:val="nil"/>
              <w:left w:val="nil"/>
              <w:bottom w:val="nil"/>
              <w:right w:val="nil"/>
            </w:tcBorders>
            <w:noWrap/>
            <w:vAlign w:val="center"/>
            <w:hideMark/>
          </w:tcPr>
          <w:p w14:paraId="3E03BC1F" w14:textId="4144716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22,453</w:t>
            </w:r>
          </w:p>
        </w:tc>
        <w:tc>
          <w:tcPr>
            <w:tcW w:w="822" w:type="dxa"/>
            <w:tcBorders>
              <w:top w:val="nil"/>
              <w:left w:val="nil"/>
              <w:bottom w:val="nil"/>
              <w:right w:val="nil"/>
            </w:tcBorders>
            <w:noWrap/>
            <w:vAlign w:val="center"/>
            <w:hideMark/>
          </w:tcPr>
          <w:p w14:paraId="3054C3E9" w14:textId="2E17780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23,014</w:t>
            </w:r>
          </w:p>
        </w:tc>
      </w:tr>
      <w:tr w:rsidR="00B00E10" w:rsidRPr="0022670C" w14:paraId="2AE3D5F8" w14:textId="77777777" w:rsidTr="00EA7835">
        <w:trPr>
          <w:trHeight w:val="250"/>
        </w:trPr>
        <w:tc>
          <w:tcPr>
            <w:tcW w:w="2268" w:type="dxa"/>
            <w:tcBorders>
              <w:top w:val="nil"/>
              <w:left w:val="nil"/>
              <w:bottom w:val="nil"/>
              <w:right w:val="nil"/>
            </w:tcBorders>
            <w:noWrap/>
            <w:vAlign w:val="center"/>
            <w:hideMark/>
          </w:tcPr>
          <w:p w14:paraId="125880CA"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from reserve</w:t>
            </w:r>
          </w:p>
        </w:tc>
        <w:tc>
          <w:tcPr>
            <w:tcW w:w="1276" w:type="dxa"/>
            <w:tcBorders>
              <w:top w:val="nil"/>
              <w:left w:val="nil"/>
              <w:bottom w:val="nil"/>
              <w:right w:val="nil"/>
            </w:tcBorders>
            <w:noWrap/>
            <w:vAlign w:val="center"/>
            <w:hideMark/>
          </w:tcPr>
          <w:p w14:paraId="68516FA4"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1734D181"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(12,344)</w:t>
            </w:r>
          </w:p>
        </w:tc>
        <w:tc>
          <w:tcPr>
            <w:tcW w:w="865" w:type="dxa"/>
            <w:tcBorders>
              <w:top w:val="nil"/>
              <w:left w:val="nil"/>
              <w:bottom w:val="nil"/>
              <w:right w:val="nil"/>
            </w:tcBorders>
            <w:noWrap/>
            <w:vAlign w:val="center"/>
            <w:hideMark/>
          </w:tcPr>
          <w:p w14:paraId="6055FD0E"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(3,982)</w:t>
            </w:r>
          </w:p>
        </w:tc>
        <w:tc>
          <w:tcPr>
            <w:tcW w:w="865" w:type="dxa"/>
            <w:tcBorders>
              <w:top w:val="nil"/>
              <w:left w:val="nil"/>
              <w:bottom w:val="nil"/>
              <w:right w:val="nil"/>
            </w:tcBorders>
            <w:noWrap/>
            <w:vAlign w:val="center"/>
            <w:hideMark/>
          </w:tcPr>
          <w:p w14:paraId="5DD9EEF5"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(5,792)</w:t>
            </w:r>
          </w:p>
        </w:tc>
        <w:tc>
          <w:tcPr>
            <w:tcW w:w="865" w:type="dxa"/>
            <w:tcBorders>
              <w:top w:val="nil"/>
              <w:left w:val="nil"/>
              <w:bottom w:val="nil"/>
              <w:right w:val="nil"/>
            </w:tcBorders>
            <w:noWrap/>
            <w:vAlign w:val="center"/>
            <w:hideMark/>
          </w:tcPr>
          <w:p w14:paraId="0CB103ED"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(14,843)</w:t>
            </w:r>
          </w:p>
        </w:tc>
        <w:tc>
          <w:tcPr>
            <w:tcW w:w="865" w:type="dxa"/>
            <w:tcBorders>
              <w:top w:val="nil"/>
              <w:left w:val="nil"/>
              <w:bottom w:val="nil"/>
              <w:right w:val="nil"/>
            </w:tcBorders>
            <w:noWrap/>
            <w:vAlign w:val="center"/>
            <w:hideMark/>
          </w:tcPr>
          <w:p w14:paraId="7DF0432E"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(25,454)</w:t>
            </w:r>
          </w:p>
        </w:tc>
        <w:tc>
          <w:tcPr>
            <w:tcW w:w="865" w:type="dxa"/>
            <w:tcBorders>
              <w:top w:val="nil"/>
              <w:left w:val="nil"/>
              <w:bottom w:val="nil"/>
              <w:right w:val="nil"/>
            </w:tcBorders>
            <w:noWrap/>
            <w:vAlign w:val="center"/>
            <w:hideMark/>
          </w:tcPr>
          <w:p w14:paraId="054E42BC"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(25,700)</w:t>
            </w:r>
          </w:p>
        </w:tc>
        <w:tc>
          <w:tcPr>
            <w:tcW w:w="865" w:type="dxa"/>
            <w:tcBorders>
              <w:top w:val="nil"/>
              <w:left w:val="nil"/>
              <w:bottom w:val="nil"/>
              <w:right w:val="nil"/>
            </w:tcBorders>
            <w:noWrap/>
            <w:vAlign w:val="center"/>
            <w:hideMark/>
          </w:tcPr>
          <w:p w14:paraId="2662E610"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(24,200)</w:t>
            </w:r>
          </w:p>
        </w:tc>
        <w:tc>
          <w:tcPr>
            <w:tcW w:w="865" w:type="dxa"/>
            <w:tcBorders>
              <w:top w:val="nil"/>
              <w:left w:val="nil"/>
              <w:bottom w:val="nil"/>
              <w:right w:val="nil"/>
            </w:tcBorders>
            <w:noWrap/>
            <w:vAlign w:val="center"/>
            <w:hideMark/>
          </w:tcPr>
          <w:p w14:paraId="3B20BD65"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(24,500)</w:t>
            </w:r>
          </w:p>
        </w:tc>
        <w:tc>
          <w:tcPr>
            <w:tcW w:w="865" w:type="dxa"/>
            <w:tcBorders>
              <w:top w:val="nil"/>
              <w:left w:val="nil"/>
              <w:bottom w:val="nil"/>
              <w:right w:val="nil"/>
            </w:tcBorders>
            <w:noWrap/>
            <w:vAlign w:val="center"/>
            <w:hideMark/>
          </w:tcPr>
          <w:p w14:paraId="720E8D67"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(24,800)</w:t>
            </w:r>
          </w:p>
        </w:tc>
        <w:tc>
          <w:tcPr>
            <w:tcW w:w="865" w:type="dxa"/>
            <w:tcBorders>
              <w:top w:val="nil"/>
              <w:left w:val="nil"/>
              <w:bottom w:val="nil"/>
              <w:right w:val="nil"/>
            </w:tcBorders>
            <w:noWrap/>
            <w:vAlign w:val="center"/>
            <w:hideMark/>
          </w:tcPr>
          <w:p w14:paraId="33538DB9"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(26,500)</w:t>
            </w:r>
          </w:p>
        </w:tc>
        <w:tc>
          <w:tcPr>
            <w:tcW w:w="822" w:type="dxa"/>
            <w:tcBorders>
              <w:top w:val="nil"/>
              <w:left w:val="nil"/>
              <w:bottom w:val="nil"/>
              <w:right w:val="nil"/>
            </w:tcBorders>
            <w:noWrap/>
            <w:vAlign w:val="center"/>
            <w:hideMark/>
          </w:tcPr>
          <w:p w14:paraId="2770BBDD"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(26,500)</w:t>
            </w:r>
          </w:p>
        </w:tc>
      </w:tr>
      <w:tr w:rsidR="00B00E10" w:rsidRPr="0022670C" w14:paraId="7F2E7941" w14:textId="77777777" w:rsidTr="00EA7835">
        <w:trPr>
          <w:trHeight w:val="250"/>
        </w:trPr>
        <w:tc>
          <w:tcPr>
            <w:tcW w:w="2268" w:type="dxa"/>
            <w:tcBorders>
              <w:top w:val="single" w:sz="4" w:space="0" w:color="auto"/>
              <w:left w:val="nil"/>
              <w:bottom w:val="nil"/>
              <w:right w:val="nil"/>
            </w:tcBorders>
            <w:noWrap/>
            <w:vAlign w:val="center"/>
            <w:hideMark/>
          </w:tcPr>
          <w:p w14:paraId="019445EB"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Closing balance</w:t>
            </w:r>
          </w:p>
        </w:tc>
        <w:tc>
          <w:tcPr>
            <w:tcW w:w="1276" w:type="dxa"/>
            <w:tcBorders>
              <w:top w:val="single" w:sz="4" w:space="0" w:color="auto"/>
              <w:left w:val="nil"/>
              <w:bottom w:val="nil"/>
              <w:right w:val="nil"/>
            </w:tcBorders>
            <w:noWrap/>
            <w:vAlign w:val="center"/>
            <w:hideMark/>
          </w:tcPr>
          <w:p w14:paraId="304AEC0A" w14:textId="4EE04F47" w:rsidR="00B00E10" w:rsidRPr="0022670C" w:rsidRDefault="00B00E10" w:rsidP="00EA7835">
            <w:pPr>
              <w:spacing w:before="0" w:after="0"/>
              <w:rPr>
                <w:rFonts w:ascii="Arial" w:hAnsi="Arial" w:cs="Arial"/>
                <w:sz w:val="16"/>
                <w:szCs w:val="16"/>
              </w:rPr>
            </w:pPr>
          </w:p>
        </w:tc>
        <w:tc>
          <w:tcPr>
            <w:tcW w:w="865" w:type="dxa"/>
            <w:tcBorders>
              <w:top w:val="single" w:sz="4" w:space="0" w:color="auto"/>
              <w:left w:val="nil"/>
              <w:bottom w:val="nil"/>
              <w:right w:val="nil"/>
            </w:tcBorders>
            <w:noWrap/>
            <w:vAlign w:val="center"/>
            <w:hideMark/>
          </w:tcPr>
          <w:p w14:paraId="454E00CB" w14:textId="02D4290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103,968</w:t>
            </w:r>
          </w:p>
        </w:tc>
        <w:tc>
          <w:tcPr>
            <w:tcW w:w="865" w:type="dxa"/>
            <w:tcBorders>
              <w:top w:val="single" w:sz="4" w:space="0" w:color="auto"/>
              <w:left w:val="nil"/>
              <w:bottom w:val="nil"/>
              <w:right w:val="nil"/>
            </w:tcBorders>
            <w:noWrap/>
            <w:vAlign w:val="center"/>
            <w:hideMark/>
          </w:tcPr>
          <w:p w14:paraId="5C8143D3" w14:textId="09496A3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142,392</w:t>
            </w:r>
          </w:p>
        </w:tc>
        <w:tc>
          <w:tcPr>
            <w:tcW w:w="865" w:type="dxa"/>
            <w:tcBorders>
              <w:top w:val="single" w:sz="4" w:space="0" w:color="auto"/>
              <w:left w:val="nil"/>
              <w:bottom w:val="nil"/>
              <w:right w:val="nil"/>
            </w:tcBorders>
            <w:noWrap/>
            <w:vAlign w:val="center"/>
            <w:hideMark/>
          </w:tcPr>
          <w:p w14:paraId="6613D02A" w14:textId="3645D0C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150,690</w:t>
            </w:r>
          </w:p>
        </w:tc>
        <w:tc>
          <w:tcPr>
            <w:tcW w:w="865" w:type="dxa"/>
            <w:tcBorders>
              <w:top w:val="single" w:sz="4" w:space="0" w:color="auto"/>
              <w:left w:val="nil"/>
              <w:bottom w:val="nil"/>
              <w:right w:val="nil"/>
            </w:tcBorders>
            <w:noWrap/>
            <w:vAlign w:val="center"/>
            <w:hideMark/>
          </w:tcPr>
          <w:p w14:paraId="2125C549" w14:textId="0B684DD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158,676</w:t>
            </w:r>
          </w:p>
        </w:tc>
        <w:tc>
          <w:tcPr>
            <w:tcW w:w="865" w:type="dxa"/>
            <w:tcBorders>
              <w:top w:val="single" w:sz="4" w:space="0" w:color="auto"/>
              <w:left w:val="nil"/>
              <w:bottom w:val="nil"/>
              <w:right w:val="nil"/>
            </w:tcBorders>
            <w:noWrap/>
            <w:vAlign w:val="center"/>
            <w:hideMark/>
          </w:tcPr>
          <w:p w14:paraId="410E35D2" w14:textId="027A9F6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148,976</w:t>
            </w:r>
          </w:p>
        </w:tc>
        <w:tc>
          <w:tcPr>
            <w:tcW w:w="865" w:type="dxa"/>
            <w:tcBorders>
              <w:top w:val="single" w:sz="4" w:space="0" w:color="auto"/>
              <w:left w:val="nil"/>
              <w:bottom w:val="nil"/>
              <w:right w:val="nil"/>
            </w:tcBorders>
            <w:noWrap/>
            <w:vAlign w:val="center"/>
            <w:hideMark/>
          </w:tcPr>
          <w:p w14:paraId="59338AE2" w14:textId="361B790E"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146,167</w:t>
            </w:r>
          </w:p>
        </w:tc>
        <w:tc>
          <w:tcPr>
            <w:tcW w:w="865" w:type="dxa"/>
            <w:tcBorders>
              <w:top w:val="single" w:sz="4" w:space="0" w:color="auto"/>
              <w:left w:val="nil"/>
              <w:bottom w:val="nil"/>
              <w:right w:val="nil"/>
            </w:tcBorders>
            <w:noWrap/>
            <w:vAlign w:val="center"/>
            <w:hideMark/>
          </w:tcPr>
          <w:p w14:paraId="2963F8E3" w14:textId="32C77CE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129,948</w:t>
            </w:r>
          </w:p>
        </w:tc>
        <w:tc>
          <w:tcPr>
            <w:tcW w:w="865" w:type="dxa"/>
            <w:tcBorders>
              <w:top w:val="single" w:sz="4" w:space="0" w:color="auto"/>
              <w:left w:val="nil"/>
              <w:bottom w:val="nil"/>
              <w:right w:val="nil"/>
            </w:tcBorders>
            <w:noWrap/>
            <w:vAlign w:val="center"/>
            <w:hideMark/>
          </w:tcPr>
          <w:p w14:paraId="7B4FEECF" w14:textId="1DA6515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117,381</w:t>
            </w:r>
          </w:p>
        </w:tc>
        <w:tc>
          <w:tcPr>
            <w:tcW w:w="865" w:type="dxa"/>
            <w:tcBorders>
              <w:top w:val="single" w:sz="4" w:space="0" w:color="auto"/>
              <w:left w:val="nil"/>
              <w:bottom w:val="nil"/>
              <w:right w:val="nil"/>
            </w:tcBorders>
            <w:noWrap/>
            <w:vAlign w:val="center"/>
            <w:hideMark/>
          </w:tcPr>
          <w:p w14:paraId="44896CF1" w14:textId="22A98E9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108,534</w:t>
            </w:r>
          </w:p>
        </w:tc>
        <w:tc>
          <w:tcPr>
            <w:tcW w:w="865" w:type="dxa"/>
            <w:tcBorders>
              <w:top w:val="single" w:sz="4" w:space="0" w:color="auto"/>
              <w:left w:val="nil"/>
              <w:bottom w:val="nil"/>
              <w:right w:val="nil"/>
            </w:tcBorders>
            <w:noWrap/>
            <w:vAlign w:val="center"/>
            <w:hideMark/>
          </w:tcPr>
          <w:p w14:paraId="67252933" w14:textId="2CD69A8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104,487</w:t>
            </w:r>
          </w:p>
        </w:tc>
        <w:tc>
          <w:tcPr>
            <w:tcW w:w="822" w:type="dxa"/>
            <w:tcBorders>
              <w:top w:val="single" w:sz="4" w:space="0" w:color="auto"/>
              <w:left w:val="nil"/>
              <w:bottom w:val="nil"/>
              <w:right w:val="nil"/>
            </w:tcBorders>
            <w:noWrap/>
            <w:vAlign w:val="center"/>
            <w:hideMark/>
          </w:tcPr>
          <w:p w14:paraId="17AA6697" w14:textId="7C7841A8"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101,001</w:t>
            </w:r>
          </w:p>
        </w:tc>
      </w:tr>
      <w:tr w:rsidR="00B00E10" w:rsidRPr="0022670C" w14:paraId="10541701" w14:textId="77777777" w:rsidTr="00EA7835">
        <w:trPr>
          <w:trHeight w:val="250"/>
        </w:trPr>
        <w:tc>
          <w:tcPr>
            <w:tcW w:w="2268" w:type="dxa"/>
            <w:tcBorders>
              <w:top w:val="nil"/>
              <w:left w:val="nil"/>
              <w:bottom w:val="nil"/>
              <w:right w:val="nil"/>
            </w:tcBorders>
            <w:noWrap/>
            <w:vAlign w:val="center"/>
            <w:hideMark/>
          </w:tcPr>
          <w:p w14:paraId="34EEC0FA" w14:textId="77777777" w:rsidR="00B00E10" w:rsidRPr="0022670C" w:rsidRDefault="00B00E10" w:rsidP="00EA7835">
            <w:pPr>
              <w:spacing w:before="0" w:after="0"/>
              <w:rPr>
                <w:rFonts w:ascii="Arial" w:hAnsi="Arial" w:cs="Arial"/>
                <w:sz w:val="16"/>
                <w:szCs w:val="16"/>
              </w:rPr>
            </w:pPr>
          </w:p>
        </w:tc>
        <w:tc>
          <w:tcPr>
            <w:tcW w:w="1276" w:type="dxa"/>
            <w:tcBorders>
              <w:top w:val="nil"/>
              <w:left w:val="nil"/>
              <w:bottom w:val="nil"/>
              <w:right w:val="nil"/>
            </w:tcBorders>
            <w:noWrap/>
            <w:vAlign w:val="center"/>
            <w:hideMark/>
          </w:tcPr>
          <w:p w14:paraId="466E1528"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082E6D50"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78243800"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20856312"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383661D0"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19532BDA"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26C60205"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154839A9"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0ED8B295"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2A47BBB9"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1CF96786" w14:textId="77777777" w:rsidR="00B00E10" w:rsidRPr="0022670C" w:rsidRDefault="00B00E10" w:rsidP="00B00E10">
            <w:pPr>
              <w:spacing w:before="0" w:after="0"/>
              <w:jc w:val="right"/>
              <w:rPr>
                <w:rFonts w:ascii="Arial" w:hAnsi="Arial" w:cs="Arial"/>
                <w:sz w:val="16"/>
                <w:szCs w:val="16"/>
              </w:rPr>
            </w:pPr>
          </w:p>
        </w:tc>
        <w:tc>
          <w:tcPr>
            <w:tcW w:w="822" w:type="dxa"/>
            <w:tcBorders>
              <w:top w:val="nil"/>
              <w:left w:val="nil"/>
              <w:bottom w:val="nil"/>
              <w:right w:val="nil"/>
            </w:tcBorders>
            <w:noWrap/>
            <w:vAlign w:val="center"/>
            <w:hideMark/>
          </w:tcPr>
          <w:p w14:paraId="270545D0" w14:textId="77777777" w:rsidR="00B00E10" w:rsidRPr="0022670C" w:rsidRDefault="00B00E10" w:rsidP="00B00E10">
            <w:pPr>
              <w:spacing w:before="0" w:after="0"/>
              <w:jc w:val="right"/>
              <w:rPr>
                <w:rFonts w:ascii="Arial" w:hAnsi="Arial" w:cs="Arial"/>
                <w:sz w:val="16"/>
                <w:szCs w:val="16"/>
              </w:rPr>
            </w:pPr>
          </w:p>
        </w:tc>
      </w:tr>
      <w:tr w:rsidR="00B00E10" w:rsidRPr="0022670C" w14:paraId="5EC63A5F" w14:textId="77777777" w:rsidTr="00EA7835">
        <w:trPr>
          <w:trHeight w:val="250"/>
        </w:trPr>
        <w:tc>
          <w:tcPr>
            <w:tcW w:w="2268" w:type="dxa"/>
            <w:tcBorders>
              <w:top w:val="nil"/>
              <w:left w:val="nil"/>
              <w:bottom w:val="nil"/>
              <w:right w:val="nil"/>
            </w:tcBorders>
            <w:shd w:val="clear" w:color="auto" w:fill="031F73" w:themeFill="text2"/>
            <w:noWrap/>
            <w:vAlign w:val="center"/>
            <w:hideMark/>
          </w:tcPr>
          <w:p w14:paraId="05033E0F" w14:textId="77777777" w:rsidR="00B00E10" w:rsidRPr="0022670C" w:rsidRDefault="00B00E10" w:rsidP="00EA7835">
            <w:pPr>
              <w:spacing w:before="0" w:after="0"/>
              <w:rPr>
                <w:rFonts w:ascii="Arial" w:hAnsi="Arial" w:cs="Arial"/>
                <w:color w:val="FFFFFF"/>
                <w:sz w:val="16"/>
                <w:szCs w:val="16"/>
              </w:rPr>
            </w:pPr>
            <w:r w:rsidRPr="0022670C">
              <w:rPr>
                <w:rFonts w:ascii="Arial" w:hAnsi="Arial" w:cs="Arial"/>
                <w:color w:val="FFFFFF"/>
                <w:sz w:val="16"/>
                <w:szCs w:val="16"/>
              </w:rPr>
              <w:t>Total discretionary</w:t>
            </w:r>
          </w:p>
        </w:tc>
        <w:tc>
          <w:tcPr>
            <w:tcW w:w="1276" w:type="dxa"/>
            <w:tcBorders>
              <w:top w:val="nil"/>
              <w:left w:val="nil"/>
              <w:bottom w:val="nil"/>
              <w:right w:val="nil"/>
            </w:tcBorders>
            <w:shd w:val="clear" w:color="auto" w:fill="031F73" w:themeFill="text2"/>
            <w:noWrap/>
            <w:vAlign w:val="center"/>
            <w:hideMark/>
          </w:tcPr>
          <w:p w14:paraId="68707DDE" w14:textId="0E4E31C2" w:rsidR="00B00E10" w:rsidRPr="0022670C" w:rsidRDefault="00B00E10" w:rsidP="00EA7835">
            <w:pPr>
              <w:spacing w:before="0" w:after="0"/>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3E99A53C" w14:textId="2C7BD03B"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2764C4BE" w14:textId="24F02733"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5FDC6D9C" w14:textId="2C1C991C"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2665E98B" w14:textId="602A88E2"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2EBD343E" w14:textId="5AD22B67"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2B89F196" w14:textId="4BD7FE6F"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6605D0C5" w14:textId="3848D75E"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08270823" w14:textId="5D7B1254"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5C6FCFC6" w14:textId="557B10E8" w:rsidR="00B00E10" w:rsidRPr="0022670C" w:rsidRDefault="00B00E10"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4882CD73" w14:textId="6D447FCD" w:rsidR="00B00E10" w:rsidRPr="0022670C" w:rsidRDefault="00B00E10" w:rsidP="00B00E10">
            <w:pPr>
              <w:spacing w:before="0" w:after="0"/>
              <w:jc w:val="right"/>
              <w:rPr>
                <w:rFonts w:ascii="Arial" w:hAnsi="Arial" w:cs="Arial"/>
                <w:color w:val="FFFFFF"/>
                <w:sz w:val="16"/>
                <w:szCs w:val="16"/>
              </w:rPr>
            </w:pPr>
          </w:p>
        </w:tc>
        <w:tc>
          <w:tcPr>
            <w:tcW w:w="822" w:type="dxa"/>
            <w:tcBorders>
              <w:top w:val="nil"/>
              <w:left w:val="nil"/>
              <w:bottom w:val="nil"/>
              <w:right w:val="nil"/>
            </w:tcBorders>
            <w:shd w:val="clear" w:color="auto" w:fill="031F73" w:themeFill="text2"/>
            <w:noWrap/>
            <w:vAlign w:val="center"/>
            <w:hideMark/>
          </w:tcPr>
          <w:p w14:paraId="5D108B8B" w14:textId="77E7CE69" w:rsidR="00B00E10" w:rsidRPr="0022670C" w:rsidRDefault="00B00E10" w:rsidP="00B00E10">
            <w:pPr>
              <w:spacing w:before="0" w:after="0"/>
              <w:jc w:val="right"/>
              <w:rPr>
                <w:rFonts w:ascii="Arial" w:hAnsi="Arial" w:cs="Arial"/>
                <w:color w:val="FFFFFF"/>
                <w:sz w:val="16"/>
                <w:szCs w:val="16"/>
              </w:rPr>
            </w:pPr>
          </w:p>
        </w:tc>
      </w:tr>
      <w:tr w:rsidR="00B00E10" w:rsidRPr="0022670C" w14:paraId="50F4C515" w14:textId="77777777" w:rsidTr="00EA7835">
        <w:trPr>
          <w:trHeight w:val="250"/>
        </w:trPr>
        <w:tc>
          <w:tcPr>
            <w:tcW w:w="2268" w:type="dxa"/>
            <w:tcBorders>
              <w:top w:val="nil"/>
              <w:left w:val="nil"/>
              <w:bottom w:val="nil"/>
              <w:right w:val="nil"/>
            </w:tcBorders>
            <w:noWrap/>
            <w:vAlign w:val="center"/>
            <w:hideMark/>
          </w:tcPr>
          <w:p w14:paraId="75BA3769"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Opening balance</w:t>
            </w:r>
          </w:p>
        </w:tc>
        <w:tc>
          <w:tcPr>
            <w:tcW w:w="1276" w:type="dxa"/>
            <w:tcBorders>
              <w:top w:val="nil"/>
              <w:left w:val="nil"/>
              <w:bottom w:val="nil"/>
              <w:right w:val="nil"/>
            </w:tcBorders>
            <w:noWrap/>
            <w:vAlign w:val="center"/>
            <w:hideMark/>
          </w:tcPr>
          <w:p w14:paraId="03EC9C60"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2737D1A3" w14:textId="307849E0"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8,956</w:t>
            </w:r>
          </w:p>
        </w:tc>
        <w:tc>
          <w:tcPr>
            <w:tcW w:w="865" w:type="dxa"/>
            <w:tcBorders>
              <w:top w:val="nil"/>
              <w:left w:val="nil"/>
              <w:bottom w:val="nil"/>
              <w:right w:val="nil"/>
            </w:tcBorders>
            <w:noWrap/>
            <w:vAlign w:val="center"/>
            <w:hideMark/>
          </w:tcPr>
          <w:p w14:paraId="23722DFD" w14:textId="31CB63E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nil"/>
              <w:left w:val="nil"/>
              <w:bottom w:val="nil"/>
              <w:right w:val="nil"/>
            </w:tcBorders>
            <w:noWrap/>
            <w:vAlign w:val="center"/>
            <w:hideMark/>
          </w:tcPr>
          <w:p w14:paraId="6E5AF93B" w14:textId="3EE98DF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nil"/>
              <w:left w:val="nil"/>
              <w:bottom w:val="nil"/>
              <w:right w:val="nil"/>
            </w:tcBorders>
            <w:noWrap/>
            <w:vAlign w:val="center"/>
            <w:hideMark/>
          </w:tcPr>
          <w:p w14:paraId="331840B9" w14:textId="03541C0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nil"/>
              <w:left w:val="nil"/>
              <w:bottom w:val="nil"/>
              <w:right w:val="nil"/>
            </w:tcBorders>
            <w:noWrap/>
            <w:vAlign w:val="center"/>
            <w:hideMark/>
          </w:tcPr>
          <w:p w14:paraId="4477CF73" w14:textId="7F8D907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nil"/>
              <w:left w:val="nil"/>
              <w:bottom w:val="nil"/>
              <w:right w:val="nil"/>
            </w:tcBorders>
            <w:noWrap/>
            <w:vAlign w:val="center"/>
            <w:hideMark/>
          </w:tcPr>
          <w:p w14:paraId="435E4B3D" w14:textId="11CC6438"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nil"/>
              <w:left w:val="nil"/>
              <w:bottom w:val="nil"/>
              <w:right w:val="nil"/>
            </w:tcBorders>
            <w:noWrap/>
            <w:vAlign w:val="center"/>
            <w:hideMark/>
          </w:tcPr>
          <w:p w14:paraId="1379428C" w14:textId="0E37ECD8"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nil"/>
              <w:left w:val="nil"/>
              <w:bottom w:val="nil"/>
              <w:right w:val="nil"/>
            </w:tcBorders>
            <w:noWrap/>
            <w:vAlign w:val="center"/>
            <w:hideMark/>
          </w:tcPr>
          <w:p w14:paraId="2DFAB11A" w14:textId="3371009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nil"/>
              <w:left w:val="nil"/>
              <w:bottom w:val="nil"/>
              <w:right w:val="nil"/>
            </w:tcBorders>
            <w:noWrap/>
            <w:vAlign w:val="center"/>
            <w:hideMark/>
          </w:tcPr>
          <w:p w14:paraId="05690DC9" w14:textId="3657273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nil"/>
              <w:left w:val="nil"/>
              <w:bottom w:val="nil"/>
              <w:right w:val="nil"/>
            </w:tcBorders>
            <w:noWrap/>
            <w:vAlign w:val="center"/>
            <w:hideMark/>
          </w:tcPr>
          <w:p w14:paraId="2A429B9B" w14:textId="3E198FF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22" w:type="dxa"/>
            <w:tcBorders>
              <w:top w:val="nil"/>
              <w:left w:val="nil"/>
              <w:bottom w:val="nil"/>
              <w:right w:val="nil"/>
            </w:tcBorders>
            <w:noWrap/>
            <w:vAlign w:val="center"/>
            <w:hideMark/>
          </w:tcPr>
          <w:p w14:paraId="58585D01" w14:textId="0F14B3F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r>
      <w:tr w:rsidR="00B00E10" w:rsidRPr="0022670C" w14:paraId="48E42338" w14:textId="77777777" w:rsidTr="00EA7835">
        <w:trPr>
          <w:trHeight w:val="250"/>
        </w:trPr>
        <w:tc>
          <w:tcPr>
            <w:tcW w:w="2268" w:type="dxa"/>
            <w:tcBorders>
              <w:top w:val="nil"/>
              <w:left w:val="nil"/>
              <w:bottom w:val="nil"/>
              <w:right w:val="nil"/>
            </w:tcBorders>
            <w:noWrap/>
            <w:vAlign w:val="center"/>
            <w:hideMark/>
          </w:tcPr>
          <w:p w14:paraId="593988AD"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to reserve</w:t>
            </w:r>
          </w:p>
        </w:tc>
        <w:tc>
          <w:tcPr>
            <w:tcW w:w="1276" w:type="dxa"/>
            <w:tcBorders>
              <w:top w:val="nil"/>
              <w:left w:val="nil"/>
              <w:bottom w:val="nil"/>
              <w:right w:val="nil"/>
            </w:tcBorders>
            <w:noWrap/>
            <w:vAlign w:val="center"/>
            <w:hideMark/>
          </w:tcPr>
          <w:p w14:paraId="0F3D2AB8"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389C8E77" w14:textId="7D5BD72E"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324</w:t>
            </w:r>
          </w:p>
        </w:tc>
        <w:tc>
          <w:tcPr>
            <w:tcW w:w="865" w:type="dxa"/>
            <w:tcBorders>
              <w:top w:val="nil"/>
              <w:left w:val="nil"/>
              <w:bottom w:val="nil"/>
              <w:right w:val="nil"/>
            </w:tcBorders>
            <w:noWrap/>
            <w:vAlign w:val="center"/>
            <w:hideMark/>
          </w:tcPr>
          <w:p w14:paraId="691238DB" w14:textId="09F8BBA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7B1C0A4A" w14:textId="2847E4E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7DC3A5D3" w14:textId="315FF2B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5BD940D" w14:textId="123BD1C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64E58F10" w14:textId="1B636CD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5AE3892" w14:textId="000B2DEE"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17BD1820" w14:textId="030923F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4C534A5B" w14:textId="1885F92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325870E2" w14:textId="07B9407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22" w:type="dxa"/>
            <w:tcBorders>
              <w:top w:val="nil"/>
              <w:left w:val="nil"/>
              <w:bottom w:val="nil"/>
              <w:right w:val="nil"/>
            </w:tcBorders>
            <w:noWrap/>
            <w:vAlign w:val="center"/>
            <w:hideMark/>
          </w:tcPr>
          <w:p w14:paraId="05EF5031" w14:textId="7855029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r>
      <w:tr w:rsidR="00B00E10" w:rsidRPr="0022670C" w14:paraId="5843D6CF" w14:textId="77777777" w:rsidTr="00EA7835">
        <w:trPr>
          <w:trHeight w:val="250"/>
        </w:trPr>
        <w:tc>
          <w:tcPr>
            <w:tcW w:w="2268" w:type="dxa"/>
            <w:tcBorders>
              <w:top w:val="nil"/>
              <w:left w:val="nil"/>
              <w:bottom w:val="nil"/>
              <w:right w:val="nil"/>
            </w:tcBorders>
            <w:noWrap/>
            <w:vAlign w:val="center"/>
            <w:hideMark/>
          </w:tcPr>
          <w:p w14:paraId="7327F6C1"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from reserve</w:t>
            </w:r>
          </w:p>
        </w:tc>
        <w:tc>
          <w:tcPr>
            <w:tcW w:w="1276" w:type="dxa"/>
            <w:tcBorders>
              <w:top w:val="nil"/>
              <w:left w:val="nil"/>
              <w:bottom w:val="nil"/>
              <w:right w:val="nil"/>
            </w:tcBorders>
            <w:noWrap/>
            <w:vAlign w:val="center"/>
            <w:hideMark/>
          </w:tcPr>
          <w:p w14:paraId="5F323B07"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250F718F"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(186)</w:t>
            </w:r>
          </w:p>
        </w:tc>
        <w:tc>
          <w:tcPr>
            <w:tcW w:w="865" w:type="dxa"/>
            <w:tcBorders>
              <w:top w:val="nil"/>
              <w:left w:val="nil"/>
              <w:bottom w:val="nil"/>
              <w:right w:val="nil"/>
            </w:tcBorders>
            <w:noWrap/>
            <w:vAlign w:val="center"/>
            <w:hideMark/>
          </w:tcPr>
          <w:p w14:paraId="5C8431A5"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67177B5"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A0A42C1"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56AFC472"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30103D8E"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7A1638E3"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41916788"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023DAB0B"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65" w:type="dxa"/>
            <w:tcBorders>
              <w:top w:val="nil"/>
              <w:left w:val="nil"/>
              <w:bottom w:val="nil"/>
              <w:right w:val="nil"/>
            </w:tcBorders>
            <w:noWrap/>
            <w:vAlign w:val="center"/>
            <w:hideMark/>
          </w:tcPr>
          <w:p w14:paraId="12D78849"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c>
          <w:tcPr>
            <w:tcW w:w="822" w:type="dxa"/>
            <w:tcBorders>
              <w:top w:val="nil"/>
              <w:left w:val="nil"/>
              <w:bottom w:val="nil"/>
              <w:right w:val="nil"/>
            </w:tcBorders>
            <w:noWrap/>
            <w:vAlign w:val="center"/>
            <w:hideMark/>
          </w:tcPr>
          <w:p w14:paraId="71941057"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w:t>
            </w:r>
          </w:p>
        </w:tc>
      </w:tr>
      <w:tr w:rsidR="00B00E10" w:rsidRPr="0022670C" w14:paraId="32A31A6B" w14:textId="77777777" w:rsidTr="00EA7835">
        <w:trPr>
          <w:trHeight w:val="250"/>
        </w:trPr>
        <w:tc>
          <w:tcPr>
            <w:tcW w:w="2268" w:type="dxa"/>
            <w:tcBorders>
              <w:top w:val="single" w:sz="4" w:space="0" w:color="auto"/>
              <w:left w:val="nil"/>
              <w:bottom w:val="nil"/>
              <w:right w:val="nil"/>
            </w:tcBorders>
            <w:noWrap/>
            <w:vAlign w:val="center"/>
            <w:hideMark/>
          </w:tcPr>
          <w:p w14:paraId="3D94B11F"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Closing balance</w:t>
            </w:r>
          </w:p>
        </w:tc>
        <w:tc>
          <w:tcPr>
            <w:tcW w:w="1276" w:type="dxa"/>
            <w:tcBorders>
              <w:top w:val="single" w:sz="4" w:space="0" w:color="auto"/>
              <w:left w:val="nil"/>
              <w:bottom w:val="nil"/>
              <w:right w:val="nil"/>
            </w:tcBorders>
            <w:noWrap/>
            <w:vAlign w:val="center"/>
            <w:hideMark/>
          </w:tcPr>
          <w:p w14:paraId="0C5BB7A6" w14:textId="68D7A695" w:rsidR="00B00E10" w:rsidRPr="0022670C" w:rsidRDefault="00B00E10" w:rsidP="00EA7835">
            <w:pPr>
              <w:spacing w:before="0" w:after="0"/>
              <w:rPr>
                <w:rFonts w:ascii="Arial" w:hAnsi="Arial" w:cs="Arial"/>
                <w:sz w:val="16"/>
                <w:szCs w:val="16"/>
              </w:rPr>
            </w:pPr>
          </w:p>
        </w:tc>
        <w:tc>
          <w:tcPr>
            <w:tcW w:w="865" w:type="dxa"/>
            <w:tcBorders>
              <w:top w:val="single" w:sz="4" w:space="0" w:color="auto"/>
              <w:left w:val="nil"/>
              <w:bottom w:val="nil"/>
              <w:right w:val="nil"/>
            </w:tcBorders>
            <w:noWrap/>
            <w:vAlign w:val="center"/>
            <w:hideMark/>
          </w:tcPr>
          <w:p w14:paraId="35A1166D" w14:textId="1DB79D4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single" w:sz="4" w:space="0" w:color="auto"/>
              <w:left w:val="nil"/>
              <w:bottom w:val="nil"/>
              <w:right w:val="nil"/>
            </w:tcBorders>
            <w:noWrap/>
            <w:vAlign w:val="center"/>
            <w:hideMark/>
          </w:tcPr>
          <w:p w14:paraId="7FE61322" w14:textId="5277635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single" w:sz="4" w:space="0" w:color="auto"/>
              <w:left w:val="nil"/>
              <w:bottom w:val="nil"/>
              <w:right w:val="nil"/>
            </w:tcBorders>
            <w:noWrap/>
            <w:vAlign w:val="center"/>
            <w:hideMark/>
          </w:tcPr>
          <w:p w14:paraId="387900C1" w14:textId="7FD96588"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single" w:sz="4" w:space="0" w:color="auto"/>
              <w:left w:val="nil"/>
              <w:bottom w:val="nil"/>
              <w:right w:val="nil"/>
            </w:tcBorders>
            <w:noWrap/>
            <w:vAlign w:val="center"/>
            <w:hideMark/>
          </w:tcPr>
          <w:p w14:paraId="151EBA44" w14:textId="24E653B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single" w:sz="4" w:space="0" w:color="auto"/>
              <w:left w:val="nil"/>
              <w:bottom w:val="nil"/>
              <w:right w:val="nil"/>
            </w:tcBorders>
            <w:noWrap/>
            <w:vAlign w:val="center"/>
            <w:hideMark/>
          </w:tcPr>
          <w:p w14:paraId="56DC877C" w14:textId="4A667E0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single" w:sz="4" w:space="0" w:color="auto"/>
              <w:left w:val="nil"/>
              <w:bottom w:val="nil"/>
              <w:right w:val="nil"/>
            </w:tcBorders>
            <w:noWrap/>
            <w:vAlign w:val="center"/>
            <w:hideMark/>
          </w:tcPr>
          <w:p w14:paraId="65469682" w14:textId="28FE8BA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single" w:sz="4" w:space="0" w:color="auto"/>
              <w:left w:val="nil"/>
              <w:bottom w:val="nil"/>
              <w:right w:val="nil"/>
            </w:tcBorders>
            <w:noWrap/>
            <w:vAlign w:val="center"/>
            <w:hideMark/>
          </w:tcPr>
          <w:p w14:paraId="6008D9BC" w14:textId="50CC023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single" w:sz="4" w:space="0" w:color="auto"/>
              <w:left w:val="nil"/>
              <w:bottom w:val="nil"/>
              <w:right w:val="nil"/>
            </w:tcBorders>
            <w:noWrap/>
            <w:vAlign w:val="center"/>
            <w:hideMark/>
          </w:tcPr>
          <w:p w14:paraId="4E95D956" w14:textId="06EE2B13"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single" w:sz="4" w:space="0" w:color="auto"/>
              <w:left w:val="nil"/>
              <w:bottom w:val="nil"/>
              <w:right w:val="nil"/>
            </w:tcBorders>
            <w:noWrap/>
            <w:vAlign w:val="center"/>
            <w:hideMark/>
          </w:tcPr>
          <w:p w14:paraId="65BFA27D" w14:textId="1C3383C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65" w:type="dxa"/>
            <w:tcBorders>
              <w:top w:val="single" w:sz="4" w:space="0" w:color="auto"/>
              <w:left w:val="nil"/>
              <w:bottom w:val="nil"/>
              <w:right w:val="nil"/>
            </w:tcBorders>
            <w:noWrap/>
            <w:vAlign w:val="center"/>
            <w:hideMark/>
          </w:tcPr>
          <w:p w14:paraId="03C984FB" w14:textId="52D44F0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c>
          <w:tcPr>
            <w:tcW w:w="822" w:type="dxa"/>
            <w:tcBorders>
              <w:top w:val="single" w:sz="4" w:space="0" w:color="auto"/>
              <w:left w:val="nil"/>
              <w:bottom w:val="nil"/>
              <w:right w:val="nil"/>
            </w:tcBorders>
            <w:noWrap/>
            <w:vAlign w:val="center"/>
            <w:hideMark/>
          </w:tcPr>
          <w:p w14:paraId="64FF566A" w14:textId="47935B0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9,094</w:t>
            </w:r>
          </w:p>
        </w:tc>
      </w:tr>
      <w:tr w:rsidR="00B00E10" w:rsidRPr="0022670C" w14:paraId="2D38DD75" w14:textId="77777777" w:rsidTr="00EA7835">
        <w:trPr>
          <w:trHeight w:val="250"/>
        </w:trPr>
        <w:tc>
          <w:tcPr>
            <w:tcW w:w="2268" w:type="dxa"/>
            <w:tcBorders>
              <w:top w:val="nil"/>
              <w:left w:val="nil"/>
              <w:bottom w:val="nil"/>
              <w:right w:val="nil"/>
            </w:tcBorders>
            <w:noWrap/>
            <w:vAlign w:val="center"/>
            <w:hideMark/>
          </w:tcPr>
          <w:p w14:paraId="363942A7" w14:textId="77777777" w:rsidR="00B00E10" w:rsidRPr="0022670C" w:rsidRDefault="00B00E10" w:rsidP="00EA7835">
            <w:pPr>
              <w:spacing w:before="0" w:after="0"/>
              <w:rPr>
                <w:rFonts w:ascii="Arial" w:hAnsi="Arial" w:cs="Arial"/>
                <w:sz w:val="16"/>
                <w:szCs w:val="16"/>
              </w:rPr>
            </w:pPr>
          </w:p>
        </w:tc>
        <w:tc>
          <w:tcPr>
            <w:tcW w:w="1276" w:type="dxa"/>
            <w:tcBorders>
              <w:top w:val="nil"/>
              <w:left w:val="nil"/>
              <w:bottom w:val="nil"/>
              <w:right w:val="nil"/>
            </w:tcBorders>
            <w:noWrap/>
            <w:vAlign w:val="center"/>
            <w:hideMark/>
          </w:tcPr>
          <w:p w14:paraId="4DBEDAF5"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2DE2BE20"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6EA49249"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3A8CF15B"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4C140D32"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384B0889"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319353A6"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7BFCE603"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3010F1B5"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151586E5" w14:textId="77777777" w:rsidR="00B00E10" w:rsidRPr="0022670C" w:rsidRDefault="00B00E10" w:rsidP="00B00E10">
            <w:pPr>
              <w:spacing w:before="0" w:after="0"/>
              <w:jc w:val="right"/>
              <w:rPr>
                <w:rFonts w:ascii="Arial" w:hAnsi="Arial" w:cs="Arial"/>
                <w:sz w:val="16"/>
                <w:szCs w:val="16"/>
              </w:rPr>
            </w:pPr>
          </w:p>
        </w:tc>
        <w:tc>
          <w:tcPr>
            <w:tcW w:w="865" w:type="dxa"/>
            <w:tcBorders>
              <w:top w:val="nil"/>
              <w:left w:val="nil"/>
              <w:bottom w:val="nil"/>
              <w:right w:val="nil"/>
            </w:tcBorders>
            <w:noWrap/>
            <w:vAlign w:val="center"/>
            <w:hideMark/>
          </w:tcPr>
          <w:p w14:paraId="75E4C65F" w14:textId="77777777" w:rsidR="00B00E10" w:rsidRPr="0022670C" w:rsidRDefault="00B00E10" w:rsidP="00B00E10">
            <w:pPr>
              <w:spacing w:before="0" w:after="0"/>
              <w:jc w:val="right"/>
              <w:rPr>
                <w:rFonts w:ascii="Arial" w:hAnsi="Arial" w:cs="Arial"/>
                <w:sz w:val="16"/>
                <w:szCs w:val="16"/>
              </w:rPr>
            </w:pPr>
          </w:p>
        </w:tc>
        <w:tc>
          <w:tcPr>
            <w:tcW w:w="822" w:type="dxa"/>
            <w:tcBorders>
              <w:top w:val="nil"/>
              <w:left w:val="nil"/>
              <w:bottom w:val="nil"/>
              <w:right w:val="nil"/>
            </w:tcBorders>
            <w:noWrap/>
            <w:vAlign w:val="center"/>
            <w:hideMark/>
          </w:tcPr>
          <w:p w14:paraId="649B19C7" w14:textId="77777777" w:rsidR="00B00E10" w:rsidRPr="0022670C" w:rsidRDefault="00B00E10" w:rsidP="00B00E10">
            <w:pPr>
              <w:spacing w:before="0" w:after="0"/>
              <w:jc w:val="right"/>
              <w:rPr>
                <w:rFonts w:ascii="Arial" w:hAnsi="Arial" w:cs="Arial"/>
                <w:sz w:val="16"/>
                <w:szCs w:val="16"/>
              </w:rPr>
            </w:pPr>
          </w:p>
        </w:tc>
      </w:tr>
      <w:tr w:rsidR="00EA7835" w:rsidRPr="0022670C" w14:paraId="7DD1D581" w14:textId="77777777" w:rsidTr="00EA7835">
        <w:trPr>
          <w:trHeight w:val="250"/>
        </w:trPr>
        <w:tc>
          <w:tcPr>
            <w:tcW w:w="3544" w:type="dxa"/>
            <w:gridSpan w:val="2"/>
            <w:tcBorders>
              <w:top w:val="nil"/>
              <w:left w:val="nil"/>
              <w:bottom w:val="nil"/>
              <w:right w:val="nil"/>
            </w:tcBorders>
            <w:shd w:val="clear" w:color="auto" w:fill="031F73" w:themeFill="text2"/>
            <w:noWrap/>
            <w:vAlign w:val="center"/>
            <w:hideMark/>
          </w:tcPr>
          <w:p w14:paraId="0AD199E0" w14:textId="77777777" w:rsidR="00EA7835" w:rsidRPr="0022670C" w:rsidRDefault="00EA7835" w:rsidP="00EA7835">
            <w:pPr>
              <w:spacing w:before="0" w:after="0"/>
              <w:rPr>
                <w:rFonts w:ascii="Arial" w:hAnsi="Arial" w:cs="Arial"/>
                <w:color w:val="FFFFFF"/>
                <w:sz w:val="16"/>
                <w:szCs w:val="16"/>
              </w:rPr>
            </w:pPr>
            <w:r w:rsidRPr="0022670C">
              <w:rPr>
                <w:rFonts w:ascii="Arial" w:hAnsi="Arial" w:cs="Arial"/>
                <w:color w:val="FFFFFF"/>
                <w:sz w:val="16"/>
                <w:szCs w:val="16"/>
              </w:rPr>
              <w:t>TOTAL RESERVES SUMMARY</w:t>
            </w:r>
          </w:p>
          <w:p w14:paraId="5450A53D" w14:textId="382610D0" w:rsidR="00EA7835" w:rsidRPr="0022670C" w:rsidRDefault="00EA7835" w:rsidP="00EA7835">
            <w:pPr>
              <w:spacing w:before="0" w:after="0"/>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34DFFDFC" w14:textId="7B17467F" w:rsidR="00EA7835" w:rsidRPr="0022670C" w:rsidRDefault="00EA7835"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101F8ACF" w14:textId="46F8701F" w:rsidR="00EA7835" w:rsidRPr="0022670C" w:rsidRDefault="00EA7835"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251CEE02" w14:textId="43F22403" w:rsidR="00EA7835" w:rsidRPr="0022670C" w:rsidRDefault="00EA7835"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61E38F27" w14:textId="3B5C5D42" w:rsidR="00EA7835" w:rsidRPr="0022670C" w:rsidRDefault="00EA7835"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71F7AF7F" w14:textId="61728278" w:rsidR="00EA7835" w:rsidRPr="0022670C" w:rsidRDefault="00EA7835"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46147D4B" w14:textId="0104191A" w:rsidR="00EA7835" w:rsidRPr="0022670C" w:rsidRDefault="00EA7835"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1B177E4A" w14:textId="1543B651" w:rsidR="00EA7835" w:rsidRPr="0022670C" w:rsidRDefault="00EA7835"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6F54A0C4" w14:textId="61B5F9EC" w:rsidR="00EA7835" w:rsidRPr="0022670C" w:rsidRDefault="00EA7835"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1CA86EC6" w14:textId="1D41B66E" w:rsidR="00EA7835" w:rsidRPr="0022670C" w:rsidRDefault="00EA7835" w:rsidP="00B00E10">
            <w:pPr>
              <w:spacing w:before="0" w:after="0"/>
              <w:jc w:val="right"/>
              <w:rPr>
                <w:rFonts w:ascii="Arial" w:hAnsi="Arial" w:cs="Arial"/>
                <w:color w:val="FFFFFF"/>
                <w:sz w:val="16"/>
                <w:szCs w:val="16"/>
              </w:rPr>
            </w:pPr>
          </w:p>
        </w:tc>
        <w:tc>
          <w:tcPr>
            <w:tcW w:w="865" w:type="dxa"/>
            <w:tcBorders>
              <w:top w:val="nil"/>
              <w:left w:val="nil"/>
              <w:bottom w:val="nil"/>
              <w:right w:val="nil"/>
            </w:tcBorders>
            <w:shd w:val="clear" w:color="auto" w:fill="031F73" w:themeFill="text2"/>
            <w:noWrap/>
            <w:vAlign w:val="center"/>
            <w:hideMark/>
          </w:tcPr>
          <w:p w14:paraId="04AE673E" w14:textId="7D00541A" w:rsidR="00EA7835" w:rsidRPr="0022670C" w:rsidRDefault="00EA7835" w:rsidP="00B00E10">
            <w:pPr>
              <w:spacing w:before="0" w:after="0"/>
              <w:jc w:val="right"/>
              <w:rPr>
                <w:rFonts w:ascii="Arial" w:hAnsi="Arial" w:cs="Arial"/>
                <w:color w:val="FFFFFF"/>
                <w:sz w:val="16"/>
                <w:szCs w:val="16"/>
              </w:rPr>
            </w:pPr>
          </w:p>
        </w:tc>
        <w:tc>
          <w:tcPr>
            <w:tcW w:w="822" w:type="dxa"/>
            <w:tcBorders>
              <w:top w:val="nil"/>
              <w:left w:val="nil"/>
              <w:bottom w:val="nil"/>
              <w:right w:val="nil"/>
            </w:tcBorders>
            <w:shd w:val="clear" w:color="auto" w:fill="031F73" w:themeFill="text2"/>
            <w:noWrap/>
            <w:vAlign w:val="center"/>
            <w:hideMark/>
          </w:tcPr>
          <w:p w14:paraId="31BB69AD" w14:textId="10A767DA" w:rsidR="00EA7835" w:rsidRPr="0022670C" w:rsidRDefault="00EA7835" w:rsidP="00B00E10">
            <w:pPr>
              <w:spacing w:before="0" w:after="0"/>
              <w:jc w:val="right"/>
              <w:rPr>
                <w:rFonts w:ascii="Arial" w:hAnsi="Arial" w:cs="Arial"/>
                <w:color w:val="FFFFFF"/>
                <w:sz w:val="16"/>
                <w:szCs w:val="16"/>
              </w:rPr>
            </w:pPr>
          </w:p>
        </w:tc>
      </w:tr>
      <w:tr w:rsidR="00B00E10" w:rsidRPr="0022670C" w14:paraId="2544328B" w14:textId="77777777" w:rsidTr="00EA7835">
        <w:trPr>
          <w:trHeight w:val="250"/>
        </w:trPr>
        <w:tc>
          <w:tcPr>
            <w:tcW w:w="2268" w:type="dxa"/>
            <w:tcBorders>
              <w:top w:val="nil"/>
              <w:left w:val="nil"/>
              <w:bottom w:val="nil"/>
              <w:right w:val="nil"/>
            </w:tcBorders>
            <w:noWrap/>
            <w:vAlign w:val="center"/>
            <w:hideMark/>
          </w:tcPr>
          <w:p w14:paraId="75F8B6E3"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Opening balance</w:t>
            </w:r>
          </w:p>
        </w:tc>
        <w:tc>
          <w:tcPr>
            <w:tcW w:w="1276" w:type="dxa"/>
            <w:tcBorders>
              <w:top w:val="nil"/>
              <w:left w:val="nil"/>
              <w:bottom w:val="nil"/>
              <w:right w:val="nil"/>
            </w:tcBorders>
            <w:noWrap/>
            <w:vAlign w:val="center"/>
            <w:hideMark/>
          </w:tcPr>
          <w:p w14:paraId="618D1A93"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7D4159D5" w14:textId="3C8900B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95,273</w:t>
            </w:r>
          </w:p>
        </w:tc>
        <w:tc>
          <w:tcPr>
            <w:tcW w:w="865" w:type="dxa"/>
            <w:tcBorders>
              <w:top w:val="nil"/>
              <w:left w:val="nil"/>
              <w:bottom w:val="nil"/>
              <w:right w:val="nil"/>
            </w:tcBorders>
            <w:noWrap/>
            <w:vAlign w:val="center"/>
            <w:hideMark/>
          </w:tcPr>
          <w:p w14:paraId="4F2037D0" w14:textId="107B8409"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113,062</w:t>
            </w:r>
          </w:p>
        </w:tc>
        <w:tc>
          <w:tcPr>
            <w:tcW w:w="865" w:type="dxa"/>
            <w:tcBorders>
              <w:top w:val="nil"/>
              <w:left w:val="nil"/>
              <w:bottom w:val="nil"/>
              <w:right w:val="nil"/>
            </w:tcBorders>
            <w:noWrap/>
            <w:vAlign w:val="center"/>
            <w:hideMark/>
          </w:tcPr>
          <w:p w14:paraId="220A1515" w14:textId="23CDA1C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151,486</w:t>
            </w:r>
          </w:p>
        </w:tc>
        <w:tc>
          <w:tcPr>
            <w:tcW w:w="865" w:type="dxa"/>
            <w:tcBorders>
              <w:top w:val="nil"/>
              <w:left w:val="nil"/>
              <w:bottom w:val="nil"/>
              <w:right w:val="nil"/>
            </w:tcBorders>
            <w:noWrap/>
            <w:vAlign w:val="center"/>
            <w:hideMark/>
          </w:tcPr>
          <w:p w14:paraId="77D79D65" w14:textId="78F56F4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159,784</w:t>
            </w:r>
          </w:p>
        </w:tc>
        <w:tc>
          <w:tcPr>
            <w:tcW w:w="865" w:type="dxa"/>
            <w:tcBorders>
              <w:top w:val="nil"/>
              <w:left w:val="nil"/>
              <w:bottom w:val="nil"/>
              <w:right w:val="nil"/>
            </w:tcBorders>
            <w:noWrap/>
            <w:vAlign w:val="center"/>
            <w:hideMark/>
          </w:tcPr>
          <w:p w14:paraId="25BE1292" w14:textId="4DFEC0DD"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167,770</w:t>
            </w:r>
          </w:p>
        </w:tc>
        <w:tc>
          <w:tcPr>
            <w:tcW w:w="865" w:type="dxa"/>
            <w:tcBorders>
              <w:top w:val="nil"/>
              <w:left w:val="nil"/>
              <w:bottom w:val="nil"/>
              <w:right w:val="nil"/>
            </w:tcBorders>
            <w:noWrap/>
            <w:vAlign w:val="center"/>
            <w:hideMark/>
          </w:tcPr>
          <w:p w14:paraId="07DB2DA7" w14:textId="5F172CC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158,070</w:t>
            </w:r>
          </w:p>
        </w:tc>
        <w:tc>
          <w:tcPr>
            <w:tcW w:w="865" w:type="dxa"/>
            <w:tcBorders>
              <w:top w:val="nil"/>
              <w:left w:val="nil"/>
              <w:bottom w:val="nil"/>
              <w:right w:val="nil"/>
            </w:tcBorders>
            <w:noWrap/>
            <w:vAlign w:val="center"/>
            <w:hideMark/>
          </w:tcPr>
          <w:p w14:paraId="7E73257F" w14:textId="5033819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155,261</w:t>
            </w:r>
          </w:p>
        </w:tc>
        <w:tc>
          <w:tcPr>
            <w:tcW w:w="865" w:type="dxa"/>
            <w:tcBorders>
              <w:top w:val="nil"/>
              <w:left w:val="nil"/>
              <w:bottom w:val="nil"/>
              <w:right w:val="nil"/>
            </w:tcBorders>
            <w:noWrap/>
            <w:vAlign w:val="center"/>
            <w:hideMark/>
          </w:tcPr>
          <w:p w14:paraId="2272846E" w14:textId="13202A7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139,042</w:t>
            </w:r>
          </w:p>
        </w:tc>
        <w:tc>
          <w:tcPr>
            <w:tcW w:w="865" w:type="dxa"/>
            <w:tcBorders>
              <w:top w:val="nil"/>
              <w:left w:val="nil"/>
              <w:bottom w:val="nil"/>
              <w:right w:val="nil"/>
            </w:tcBorders>
            <w:noWrap/>
            <w:vAlign w:val="center"/>
            <w:hideMark/>
          </w:tcPr>
          <w:p w14:paraId="1E4F3D37" w14:textId="0D88BCF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126,475</w:t>
            </w:r>
          </w:p>
        </w:tc>
        <w:tc>
          <w:tcPr>
            <w:tcW w:w="865" w:type="dxa"/>
            <w:tcBorders>
              <w:top w:val="nil"/>
              <w:left w:val="nil"/>
              <w:bottom w:val="nil"/>
              <w:right w:val="nil"/>
            </w:tcBorders>
            <w:noWrap/>
            <w:vAlign w:val="center"/>
            <w:hideMark/>
          </w:tcPr>
          <w:p w14:paraId="60EC24DF" w14:textId="2CAAF3AE"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117,628</w:t>
            </w:r>
          </w:p>
        </w:tc>
        <w:tc>
          <w:tcPr>
            <w:tcW w:w="822" w:type="dxa"/>
            <w:tcBorders>
              <w:top w:val="nil"/>
              <w:left w:val="nil"/>
              <w:bottom w:val="nil"/>
              <w:right w:val="nil"/>
            </w:tcBorders>
            <w:noWrap/>
            <w:vAlign w:val="center"/>
            <w:hideMark/>
          </w:tcPr>
          <w:p w14:paraId="5E4F5A33" w14:textId="515A46E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113,581</w:t>
            </w:r>
          </w:p>
        </w:tc>
      </w:tr>
      <w:tr w:rsidR="00B00E10" w:rsidRPr="0022670C" w14:paraId="6F2D5FB5" w14:textId="77777777" w:rsidTr="00EA7835">
        <w:trPr>
          <w:trHeight w:val="250"/>
        </w:trPr>
        <w:tc>
          <w:tcPr>
            <w:tcW w:w="2268" w:type="dxa"/>
            <w:tcBorders>
              <w:top w:val="nil"/>
              <w:left w:val="nil"/>
              <w:bottom w:val="nil"/>
              <w:right w:val="nil"/>
            </w:tcBorders>
            <w:noWrap/>
            <w:vAlign w:val="center"/>
            <w:hideMark/>
          </w:tcPr>
          <w:p w14:paraId="4453B412"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to reserve</w:t>
            </w:r>
          </w:p>
        </w:tc>
        <w:tc>
          <w:tcPr>
            <w:tcW w:w="1276" w:type="dxa"/>
            <w:tcBorders>
              <w:top w:val="nil"/>
              <w:left w:val="nil"/>
              <w:bottom w:val="nil"/>
              <w:right w:val="nil"/>
            </w:tcBorders>
            <w:noWrap/>
            <w:vAlign w:val="center"/>
            <w:hideMark/>
          </w:tcPr>
          <w:p w14:paraId="5A2FEB82"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7B6AB350" w14:textId="59D47800"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30,319</w:t>
            </w:r>
          </w:p>
        </w:tc>
        <w:tc>
          <w:tcPr>
            <w:tcW w:w="865" w:type="dxa"/>
            <w:tcBorders>
              <w:top w:val="nil"/>
              <w:left w:val="nil"/>
              <w:bottom w:val="nil"/>
              <w:right w:val="nil"/>
            </w:tcBorders>
            <w:noWrap/>
            <w:vAlign w:val="center"/>
            <w:hideMark/>
          </w:tcPr>
          <w:p w14:paraId="476E0324" w14:textId="452D031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42,406</w:t>
            </w:r>
          </w:p>
        </w:tc>
        <w:tc>
          <w:tcPr>
            <w:tcW w:w="865" w:type="dxa"/>
            <w:tcBorders>
              <w:top w:val="nil"/>
              <w:left w:val="nil"/>
              <w:bottom w:val="nil"/>
              <w:right w:val="nil"/>
            </w:tcBorders>
            <w:noWrap/>
            <w:vAlign w:val="center"/>
            <w:hideMark/>
          </w:tcPr>
          <w:p w14:paraId="627B5850" w14:textId="4FE00B9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14,090</w:t>
            </w:r>
          </w:p>
        </w:tc>
        <w:tc>
          <w:tcPr>
            <w:tcW w:w="865" w:type="dxa"/>
            <w:tcBorders>
              <w:top w:val="nil"/>
              <w:left w:val="nil"/>
              <w:bottom w:val="nil"/>
              <w:right w:val="nil"/>
            </w:tcBorders>
            <w:noWrap/>
            <w:vAlign w:val="center"/>
            <w:hideMark/>
          </w:tcPr>
          <w:p w14:paraId="30F7E5E8" w14:textId="3B54F6D4"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22,829</w:t>
            </w:r>
          </w:p>
        </w:tc>
        <w:tc>
          <w:tcPr>
            <w:tcW w:w="865" w:type="dxa"/>
            <w:tcBorders>
              <w:top w:val="nil"/>
              <w:left w:val="nil"/>
              <w:bottom w:val="nil"/>
              <w:right w:val="nil"/>
            </w:tcBorders>
            <w:noWrap/>
            <w:vAlign w:val="center"/>
            <w:hideMark/>
          </w:tcPr>
          <w:p w14:paraId="313BBDE3" w14:textId="70E5895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15,754</w:t>
            </w:r>
          </w:p>
        </w:tc>
        <w:tc>
          <w:tcPr>
            <w:tcW w:w="865" w:type="dxa"/>
            <w:tcBorders>
              <w:top w:val="nil"/>
              <w:left w:val="nil"/>
              <w:bottom w:val="nil"/>
              <w:right w:val="nil"/>
            </w:tcBorders>
            <w:noWrap/>
            <w:vAlign w:val="center"/>
            <w:hideMark/>
          </w:tcPr>
          <w:p w14:paraId="5BF087AD" w14:textId="31C7FAF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22,891</w:t>
            </w:r>
          </w:p>
        </w:tc>
        <w:tc>
          <w:tcPr>
            <w:tcW w:w="865" w:type="dxa"/>
            <w:tcBorders>
              <w:top w:val="nil"/>
              <w:left w:val="nil"/>
              <w:bottom w:val="nil"/>
              <w:right w:val="nil"/>
            </w:tcBorders>
            <w:noWrap/>
            <w:vAlign w:val="center"/>
            <w:hideMark/>
          </w:tcPr>
          <w:p w14:paraId="3591EC5D" w14:textId="4CEF7E8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7,981</w:t>
            </w:r>
          </w:p>
        </w:tc>
        <w:tc>
          <w:tcPr>
            <w:tcW w:w="865" w:type="dxa"/>
            <w:tcBorders>
              <w:top w:val="nil"/>
              <w:left w:val="nil"/>
              <w:bottom w:val="nil"/>
              <w:right w:val="nil"/>
            </w:tcBorders>
            <w:noWrap/>
            <w:vAlign w:val="center"/>
            <w:hideMark/>
          </w:tcPr>
          <w:p w14:paraId="3A257092" w14:textId="2C5FE54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11,933</w:t>
            </w:r>
          </w:p>
        </w:tc>
        <w:tc>
          <w:tcPr>
            <w:tcW w:w="865" w:type="dxa"/>
            <w:tcBorders>
              <w:top w:val="nil"/>
              <w:left w:val="nil"/>
              <w:bottom w:val="nil"/>
              <w:right w:val="nil"/>
            </w:tcBorders>
            <w:noWrap/>
            <w:vAlign w:val="center"/>
            <w:hideMark/>
          </w:tcPr>
          <w:p w14:paraId="495C6123" w14:textId="66E33BB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15,953</w:t>
            </w:r>
          </w:p>
        </w:tc>
        <w:tc>
          <w:tcPr>
            <w:tcW w:w="865" w:type="dxa"/>
            <w:tcBorders>
              <w:top w:val="nil"/>
              <w:left w:val="nil"/>
              <w:bottom w:val="nil"/>
              <w:right w:val="nil"/>
            </w:tcBorders>
            <w:noWrap/>
            <w:vAlign w:val="center"/>
            <w:hideMark/>
          </w:tcPr>
          <w:p w14:paraId="78075C38" w14:textId="1AC80B96"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22,453</w:t>
            </w:r>
          </w:p>
        </w:tc>
        <w:tc>
          <w:tcPr>
            <w:tcW w:w="822" w:type="dxa"/>
            <w:tcBorders>
              <w:top w:val="nil"/>
              <w:left w:val="nil"/>
              <w:bottom w:val="nil"/>
              <w:right w:val="nil"/>
            </w:tcBorders>
            <w:noWrap/>
            <w:vAlign w:val="center"/>
            <w:hideMark/>
          </w:tcPr>
          <w:p w14:paraId="4D69CEBF" w14:textId="1DB9E20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23,014</w:t>
            </w:r>
          </w:p>
        </w:tc>
      </w:tr>
      <w:tr w:rsidR="00B00E10" w:rsidRPr="0022670C" w14:paraId="11803119" w14:textId="77777777" w:rsidTr="00EA7835">
        <w:trPr>
          <w:trHeight w:val="250"/>
        </w:trPr>
        <w:tc>
          <w:tcPr>
            <w:tcW w:w="2268" w:type="dxa"/>
            <w:tcBorders>
              <w:top w:val="nil"/>
              <w:left w:val="nil"/>
              <w:bottom w:val="nil"/>
              <w:right w:val="nil"/>
            </w:tcBorders>
            <w:noWrap/>
            <w:vAlign w:val="center"/>
            <w:hideMark/>
          </w:tcPr>
          <w:p w14:paraId="3ABD994B"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Transfer from reserve</w:t>
            </w:r>
          </w:p>
        </w:tc>
        <w:tc>
          <w:tcPr>
            <w:tcW w:w="1276" w:type="dxa"/>
            <w:tcBorders>
              <w:top w:val="nil"/>
              <w:left w:val="nil"/>
              <w:bottom w:val="nil"/>
              <w:right w:val="nil"/>
            </w:tcBorders>
            <w:noWrap/>
            <w:vAlign w:val="center"/>
            <w:hideMark/>
          </w:tcPr>
          <w:p w14:paraId="16AE9383" w14:textId="77777777" w:rsidR="00B00E10" w:rsidRPr="0022670C" w:rsidRDefault="00B00E10" w:rsidP="00EA7835">
            <w:pPr>
              <w:spacing w:before="0" w:after="0"/>
              <w:rPr>
                <w:rFonts w:ascii="Arial" w:hAnsi="Arial" w:cs="Arial"/>
                <w:sz w:val="16"/>
                <w:szCs w:val="16"/>
              </w:rPr>
            </w:pPr>
          </w:p>
        </w:tc>
        <w:tc>
          <w:tcPr>
            <w:tcW w:w="865" w:type="dxa"/>
            <w:tcBorders>
              <w:top w:val="nil"/>
              <w:left w:val="nil"/>
              <w:bottom w:val="nil"/>
              <w:right w:val="nil"/>
            </w:tcBorders>
            <w:noWrap/>
            <w:vAlign w:val="center"/>
            <w:hideMark/>
          </w:tcPr>
          <w:p w14:paraId="425DC415"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(12,530)</w:t>
            </w:r>
          </w:p>
        </w:tc>
        <w:tc>
          <w:tcPr>
            <w:tcW w:w="865" w:type="dxa"/>
            <w:tcBorders>
              <w:top w:val="nil"/>
              <w:left w:val="nil"/>
              <w:bottom w:val="nil"/>
              <w:right w:val="nil"/>
            </w:tcBorders>
            <w:noWrap/>
            <w:vAlign w:val="center"/>
            <w:hideMark/>
          </w:tcPr>
          <w:p w14:paraId="22383C03"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(3,982)</w:t>
            </w:r>
          </w:p>
        </w:tc>
        <w:tc>
          <w:tcPr>
            <w:tcW w:w="865" w:type="dxa"/>
            <w:tcBorders>
              <w:top w:val="nil"/>
              <w:left w:val="nil"/>
              <w:bottom w:val="nil"/>
              <w:right w:val="nil"/>
            </w:tcBorders>
            <w:noWrap/>
            <w:vAlign w:val="center"/>
            <w:hideMark/>
          </w:tcPr>
          <w:p w14:paraId="62630585"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(5,792)</w:t>
            </w:r>
          </w:p>
        </w:tc>
        <w:tc>
          <w:tcPr>
            <w:tcW w:w="865" w:type="dxa"/>
            <w:tcBorders>
              <w:top w:val="nil"/>
              <w:left w:val="nil"/>
              <w:bottom w:val="nil"/>
              <w:right w:val="nil"/>
            </w:tcBorders>
            <w:noWrap/>
            <w:vAlign w:val="center"/>
            <w:hideMark/>
          </w:tcPr>
          <w:p w14:paraId="0BD7B5A2"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(14,843)</w:t>
            </w:r>
          </w:p>
        </w:tc>
        <w:tc>
          <w:tcPr>
            <w:tcW w:w="865" w:type="dxa"/>
            <w:tcBorders>
              <w:top w:val="nil"/>
              <w:left w:val="nil"/>
              <w:bottom w:val="nil"/>
              <w:right w:val="nil"/>
            </w:tcBorders>
            <w:noWrap/>
            <w:vAlign w:val="center"/>
            <w:hideMark/>
          </w:tcPr>
          <w:p w14:paraId="6D5FB40F"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(25,454)</w:t>
            </w:r>
          </w:p>
        </w:tc>
        <w:tc>
          <w:tcPr>
            <w:tcW w:w="865" w:type="dxa"/>
            <w:tcBorders>
              <w:top w:val="nil"/>
              <w:left w:val="nil"/>
              <w:bottom w:val="nil"/>
              <w:right w:val="nil"/>
            </w:tcBorders>
            <w:noWrap/>
            <w:vAlign w:val="center"/>
            <w:hideMark/>
          </w:tcPr>
          <w:p w14:paraId="0B8B83BC"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(25,700)</w:t>
            </w:r>
          </w:p>
        </w:tc>
        <w:tc>
          <w:tcPr>
            <w:tcW w:w="865" w:type="dxa"/>
            <w:tcBorders>
              <w:top w:val="nil"/>
              <w:left w:val="nil"/>
              <w:bottom w:val="nil"/>
              <w:right w:val="nil"/>
            </w:tcBorders>
            <w:noWrap/>
            <w:vAlign w:val="center"/>
            <w:hideMark/>
          </w:tcPr>
          <w:p w14:paraId="02498683"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(24,200)</w:t>
            </w:r>
          </w:p>
        </w:tc>
        <w:tc>
          <w:tcPr>
            <w:tcW w:w="865" w:type="dxa"/>
            <w:tcBorders>
              <w:top w:val="nil"/>
              <w:left w:val="nil"/>
              <w:bottom w:val="nil"/>
              <w:right w:val="nil"/>
            </w:tcBorders>
            <w:noWrap/>
            <w:vAlign w:val="center"/>
            <w:hideMark/>
          </w:tcPr>
          <w:p w14:paraId="59BA0071"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(24,500)</w:t>
            </w:r>
          </w:p>
        </w:tc>
        <w:tc>
          <w:tcPr>
            <w:tcW w:w="865" w:type="dxa"/>
            <w:tcBorders>
              <w:top w:val="nil"/>
              <w:left w:val="nil"/>
              <w:bottom w:val="nil"/>
              <w:right w:val="nil"/>
            </w:tcBorders>
            <w:noWrap/>
            <w:vAlign w:val="center"/>
            <w:hideMark/>
          </w:tcPr>
          <w:p w14:paraId="4FAFD960"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(24,800)</w:t>
            </w:r>
          </w:p>
        </w:tc>
        <w:tc>
          <w:tcPr>
            <w:tcW w:w="865" w:type="dxa"/>
            <w:tcBorders>
              <w:top w:val="nil"/>
              <w:left w:val="nil"/>
              <w:bottom w:val="nil"/>
              <w:right w:val="nil"/>
            </w:tcBorders>
            <w:noWrap/>
            <w:vAlign w:val="center"/>
            <w:hideMark/>
          </w:tcPr>
          <w:p w14:paraId="28331F0E"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(26,500)</w:t>
            </w:r>
          </w:p>
        </w:tc>
        <w:tc>
          <w:tcPr>
            <w:tcW w:w="822" w:type="dxa"/>
            <w:tcBorders>
              <w:top w:val="nil"/>
              <w:left w:val="nil"/>
              <w:bottom w:val="nil"/>
              <w:right w:val="nil"/>
            </w:tcBorders>
            <w:noWrap/>
            <w:vAlign w:val="center"/>
            <w:hideMark/>
          </w:tcPr>
          <w:p w14:paraId="4C3B1422" w14:textId="77777777"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(26,500)</w:t>
            </w:r>
          </w:p>
        </w:tc>
      </w:tr>
      <w:tr w:rsidR="00B00E10" w:rsidRPr="00551FBF" w14:paraId="611B496A" w14:textId="77777777" w:rsidTr="00EA7835">
        <w:trPr>
          <w:trHeight w:val="250"/>
        </w:trPr>
        <w:tc>
          <w:tcPr>
            <w:tcW w:w="2268" w:type="dxa"/>
            <w:tcBorders>
              <w:top w:val="single" w:sz="4" w:space="0" w:color="auto"/>
              <w:left w:val="nil"/>
              <w:bottom w:val="nil"/>
              <w:right w:val="nil"/>
            </w:tcBorders>
            <w:noWrap/>
            <w:vAlign w:val="center"/>
            <w:hideMark/>
          </w:tcPr>
          <w:p w14:paraId="7DE85043" w14:textId="77777777" w:rsidR="00B00E10" w:rsidRPr="0022670C" w:rsidRDefault="00B00E10" w:rsidP="00EA7835">
            <w:pPr>
              <w:spacing w:before="0" w:after="0"/>
              <w:rPr>
                <w:rFonts w:ascii="Arial" w:hAnsi="Arial" w:cs="Arial"/>
                <w:sz w:val="16"/>
                <w:szCs w:val="16"/>
              </w:rPr>
            </w:pPr>
            <w:r w:rsidRPr="0022670C">
              <w:rPr>
                <w:rFonts w:ascii="Arial" w:hAnsi="Arial" w:cs="Arial"/>
                <w:sz w:val="16"/>
                <w:szCs w:val="16"/>
              </w:rPr>
              <w:t>Closing balance</w:t>
            </w:r>
          </w:p>
        </w:tc>
        <w:tc>
          <w:tcPr>
            <w:tcW w:w="1276" w:type="dxa"/>
            <w:tcBorders>
              <w:top w:val="single" w:sz="4" w:space="0" w:color="auto"/>
              <w:left w:val="nil"/>
              <w:bottom w:val="nil"/>
              <w:right w:val="nil"/>
            </w:tcBorders>
            <w:noWrap/>
            <w:vAlign w:val="center"/>
            <w:hideMark/>
          </w:tcPr>
          <w:p w14:paraId="545C25C8" w14:textId="341E8A6E" w:rsidR="00B00E10" w:rsidRPr="0022670C" w:rsidRDefault="00B00E10" w:rsidP="00EA7835">
            <w:pPr>
              <w:spacing w:before="0" w:after="0"/>
              <w:rPr>
                <w:rFonts w:ascii="Arial" w:hAnsi="Arial" w:cs="Arial"/>
                <w:sz w:val="16"/>
                <w:szCs w:val="16"/>
              </w:rPr>
            </w:pPr>
          </w:p>
        </w:tc>
        <w:tc>
          <w:tcPr>
            <w:tcW w:w="865" w:type="dxa"/>
            <w:tcBorders>
              <w:top w:val="single" w:sz="4" w:space="0" w:color="auto"/>
              <w:left w:val="nil"/>
              <w:bottom w:val="nil"/>
              <w:right w:val="nil"/>
            </w:tcBorders>
            <w:noWrap/>
            <w:vAlign w:val="center"/>
            <w:hideMark/>
          </w:tcPr>
          <w:p w14:paraId="6E2244D7" w14:textId="41017E8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113,062</w:t>
            </w:r>
          </w:p>
        </w:tc>
        <w:tc>
          <w:tcPr>
            <w:tcW w:w="865" w:type="dxa"/>
            <w:tcBorders>
              <w:top w:val="single" w:sz="4" w:space="0" w:color="auto"/>
              <w:left w:val="nil"/>
              <w:bottom w:val="nil"/>
              <w:right w:val="nil"/>
            </w:tcBorders>
            <w:noWrap/>
            <w:vAlign w:val="center"/>
            <w:hideMark/>
          </w:tcPr>
          <w:p w14:paraId="33B7EE7B" w14:textId="69D49EE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151,486</w:t>
            </w:r>
          </w:p>
        </w:tc>
        <w:tc>
          <w:tcPr>
            <w:tcW w:w="865" w:type="dxa"/>
            <w:tcBorders>
              <w:top w:val="single" w:sz="4" w:space="0" w:color="auto"/>
              <w:left w:val="nil"/>
              <w:bottom w:val="nil"/>
              <w:right w:val="nil"/>
            </w:tcBorders>
            <w:noWrap/>
            <w:vAlign w:val="center"/>
            <w:hideMark/>
          </w:tcPr>
          <w:p w14:paraId="3244C09F" w14:textId="5968A092"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159,784</w:t>
            </w:r>
          </w:p>
        </w:tc>
        <w:tc>
          <w:tcPr>
            <w:tcW w:w="865" w:type="dxa"/>
            <w:tcBorders>
              <w:top w:val="single" w:sz="4" w:space="0" w:color="auto"/>
              <w:left w:val="nil"/>
              <w:bottom w:val="nil"/>
              <w:right w:val="nil"/>
            </w:tcBorders>
            <w:noWrap/>
            <w:vAlign w:val="center"/>
            <w:hideMark/>
          </w:tcPr>
          <w:p w14:paraId="129E68BC" w14:textId="72935A0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167,770</w:t>
            </w:r>
          </w:p>
        </w:tc>
        <w:tc>
          <w:tcPr>
            <w:tcW w:w="865" w:type="dxa"/>
            <w:tcBorders>
              <w:top w:val="single" w:sz="4" w:space="0" w:color="auto"/>
              <w:left w:val="nil"/>
              <w:bottom w:val="nil"/>
              <w:right w:val="nil"/>
            </w:tcBorders>
            <w:noWrap/>
            <w:vAlign w:val="center"/>
            <w:hideMark/>
          </w:tcPr>
          <w:p w14:paraId="6224A706" w14:textId="7D011E61"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158,070</w:t>
            </w:r>
          </w:p>
        </w:tc>
        <w:tc>
          <w:tcPr>
            <w:tcW w:w="865" w:type="dxa"/>
            <w:tcBorders>
              <w:top w:val="single" w:sz="4" w:space="0" w:color="auto"/>
              <w:left w:val="nil"/>
              <w:bottom w:val="nil"/>
              <w:right w:val="nil"/>
            </w:tcBorders>
            <w:noWrap/>
            <w:vAlign w:val="center"/>
            <w:hideMark/>
          </w:tcPr>
          <w:p w14:paraId="332869E5" w14:textId="663BAB3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155,261</w:t>
            </w:r>
          </w:p>
        </w:tc>
        <w:tc>
          <w:tcPr>
            <w:tcW w:w="865" w:type="dxa"/>
            <w:tcBorders>
              <w:top w:val="single" w:sz="4" w:space="0" w:color="auto"/>
              <w:left w:val="nil"/>
              <w:bottom w:val="nil"/>
              <w:right w:val="nil"/>
            </w:tcBorders>
            <w:noWrap/>
            <w:vAlign w:val="center"/>
            <w:hideMark/>
          </w:tcPr>
          <w:p w14:paraId="3073526E" w14:textId="6FBB822C"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139,042</w:t>
            </w:r>
          </w:p>
        </w:tc>
        <w:tc>
          <w:tcPr>
            <w:tcW w:w="865" w:type="dxa"/>
            <w:tcBorders>
              <w:top w:val="single" w:sz="4" w:space="0" w:color="auto"/>
              <w:left w:val="nil"/>
              <w:bottom w:val="nil"/>
              <w:right w:val="nil"/>
            </w:tcBorders>
            <w:noWrap/>
            <w:vAlign w:val="center"/>
            <w:hideMark/>
          </w:tcPr>
          <w:p w14:paraId="532E1070" w14:textId="7E184E15"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126,475</w:t>
            </w:r>
          </w:p>
        </w:tc>
        <w:tc>
          <w:tcPr>
            <w:tcW w:w="865" w:type="dxa"/>
            <w:tcBorders>
              <w:top w:val="single" w:sz="4" w:space="0" w:color="auto"/>
              <w:left w:val="nil"/>
              <w:bottom w:val="nil"/>
              <w:right w:val="nil"/>
            </w:tcBorders>
            <w:noWrap/>
            <w:vAlign w:val="center"/>
            <w:hideMark/>
          </w:tcPr>
          <w:p w14:paraId="293987A8" w14:textId="7C63F2FB"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117,628</w:t>
            </w:r>
          </w:p>
        </w:tc>
        <w:tc>
          <w:tcPr>
            <w:tcW w:w="865" w:type="dxa"/>
            <w:tcBorders>
              <w:top w:val="single" w:sz="4" w:space="0" w:color="auto"/>
              <w:left w:val="nil"/>
              <w:bottom w:val="nil"/>
              <w:right w:val="nil"/>
            </w:tcBorders>
            <w:noWrap/>
            <w:vAlign w:val="center"/>
            <w:hideMark/>
          </w:tcPr>
          <w:p w14:paraId="1F16123F" w14:textId="7E82FA3A"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113,581</w:t>
            </w:r>
          </w:p>
        </w:tc>
        <w:tc>
          <w:tcPr>
            <w:tcW w:w="822" w:type="dxa"/>
            <w:tcBorders>
              <w:top w:val="single" w:sz="4" w:space="0" w:color="auto"/>
              <w:left w:val="nil"/>
              <w:bottom w:val="nil"/>
              <w:right w:val="nil"/>
            </w:tcBorders>
            <w:noWrap/>
            <w:vAlign w:val="center"/>
            <w:hideMark/>
          </w:tcPr>
          <w:p w14:paraId="2CC6C90A" w14:textId="38507E9F" w:rsidR="00B00E10" w:rsidRPr="0022670C" w:rsidRDefault="00B00E10" w:rsidP="00B00E10">
            <w:pPr>
              <w:spacing w:before="0" w:after="0"/>
              <w:jc w:val="right"/>
              <w:rPr>
                <w:rFonts w:ascii="Arial" w:hAnsi="Arial" w:cs="Arial"/>
                <w:sz w:val="16"/>
                <w:szCs w:val="16"/>
              </w:rPr>
            </w:pPr>
            <w:r w:rsidRPr="0022670C">
              <w:rPr>
                <w:rFonts w:ascii="Arial" w:hAnsi="Arial" w:cs="Arial"/>
                <w:sz w:val="16"/>
                <w:szCs w:val="16"/>
              </w:rPr>
              <w:t>110,095</w:t>
            </w:r>
          </w:p>
        </w:tc>
      </w:tr>
    </w:tbl>
    <w:p w14:paraId="4945B58E" w14:textId="77777777" w:rsidR="00B00E10" w:rsidRPr="0022670C" w:rsidRDefault="00B00E10" w:rsidP="009C5E14">
      <w:pPr>
        <w:rPr>
          <w:lang w:eastAsia="en-US"/>
        </w:rPr>
      </w:pPr>
    </w:p>
    <w:p w14:paraId="5446FF0E" w14:textId="6F856133" w:rsidR="005B53A1" w:rsidRPr="0022670C" w:rsidRDefault="00BE5B36" w:rsidP="0022670C">
      <w:pPr>
        <w:pStyle w:val="Heading2"/>
      </w:pPr>
      <w:bookmarkStart w:id="73" w:name="_Toc210205650"/>
      <w:bookmarkStart w:id="74" w:name="_Toc211874604"/>
      <w:r>
        <w:t xml:space="preserve">9.3 </w:t>
      </w:r>
      <w:r w:rsidR="005B53A1" w:rsidRPr="0022670C">
        <w:t>Investment strategy</w:t>
      </w:r>
      <w:bookmarkEnd w:id="73"/>
      <w:bookmarkEnd w:id="74"/>
    </w:p>
    <w:p w14:paraId="62279DDF" w14:textId="7395F410" w:rsidR="005B53A1" w:rsidRDefault="005B53A1" w:rsidP="005B53A1">
      <w:pPr>
        <w:rPr>
          <w:lang w:eastAsia="en-US"/>
        </w:rPr>
      </w:pPr>
      <w:r w:rsidRPr="0022670C">
        <w:rPr>
          <w:lang w:eastAsia="en-US"/>
        </w:rPr>
        <w:t>Council invests funds held in trust and reserves in short to medium term investments such as term deposits</w:t>
      </w:r>
      <w:r w:rsidR="00261534" w:rsidRPr="0022670C">
        <w:rPr>
          <w:lang w:eastAsia="en-US"/>
        </w:rPr>
        <w:t xml:space="preserve">.  All investments are made in accordance with the </w:t>
      </w:r>
      <w:r w:rsidR="00261534" w:rsidRPr="0022670C">
        <w:rPr>
          <w:i/>
          <w:iCs/>
          <w:lang w:eastAsia="en-US"/>
        </w:rPr>
        <w:t>Local Government Act 2020</w:t>
      </w:r>
      <w:r w:rsidR="00261534" w:rsidRPr="0022670C">
        <w:rPr>
          <w:lang w:eastAsia="en-US"/>
        </w:rPr>
        <w:t xml:space="preserve"> and Council’s Investment Policy.</w:t>
      </w:r>
    </w:p>
    <w:p w14:paraId="36B63AB9" w14:textId="77777777" w:rsidR="00261534" w:rsidRDefault="00261534" w:rsidP="005B53A1">
      <w:pPr>
        <w:rPr>
          <w:lang w:eastAsia="en-US"/>
        </w:rPr>
      </w:pPr>
    </w:p>
    <w:p w14:paraId="1976114D" w14:textId="77777777" w:rsidR="00BE5B36" w:rsidRDefault="00BE5B36" w:rsidP="005B53A1">
      <w:pPr>
        <w:rPr>
          <w:lang w:eastAsia="en-US"/>
        </w:rPr>
      </w:pPr>
    </w:p>
    <w:p w14:paraId="62D3141A" w14:textId="77777777" w:rsidR="00BE5B36" w:rsidRDefault="00BE5B36" w:rsidP="005B53A1">
      <w:pPr>
        <w:rPr>
          <w:lang w:eastAsia="en-US"/>
        </w:rPr>
      </w:pPr>
    </w:p>
    <w:p w14:paraId="4AF0E08C" w14:textId="77777777" w:rsidR="00BE5B36" w:rsidRDefault="00BE5B36" w:rsidP="005B53A1">
      <w:pPr>
        <w:rPr>
          <w:lang w:eastAsia="en-US"/>
        </w:rPr>
      </w:pPr>
    </w:p>
    <w:p w14:paraId="480D8CD6" w14:textId="77777777" w:rsidR="00BE5B36" w:rsidRDefault="00BE5B36" w:rsidP="005B53A1">
      <w:pPr>
        <w:rPr>
          <w:lang w:eastAsia="en-US"/>
        </w:rPr>
      </w:pPr>
    </w:p>
    <w:p w14:paraId="2EC8149C" w14:textId="77777777" w:rsidR="00BE5B36" w:rsidRDefault="00BE5B36" w:rsidP="005B53A1">
      <w:pPr>
        <w:rPr>
          <w:lang w:eastAsia="en-US"/>
        </w:rPr>
      </w:pPr>
    </w:p>
    <w:p w14:paraId="3348D5B7" w14:textId="77777777" w:rsidR="00BE5B36" w:rsidRDefault="00BE5B36" w:rsidP="005B53A1">
      <w:pPr>
        <w:rPr>
          <w:lang w:eastAsia="en-US"/>
        </w:rPr>
      </w:pPr>
    </w:p>
    <w:p w14:paraId="6ED0C8DD" w14:textId="77777777" w:rsidR="00BE5B36" w:rsidRPr="00261534" w:rsidRDefault="00BE5B36" w:rsidP="005B53A1">
      <w:pPr>
        <w:rPr>
          <w:lang w:eastAsia="en-US"/>
        </w:rPr>
      </w:pPr>
    </w:p>
    <w:p w14:paraId="4BEEC35A" w14:textId="77777777" w:rsidR="002133EC" w:rsidRPr="00082E72" w:rsidRDefault="002133EC" w:rsidP="0022670C">
      <w:pPr>
        <w:pStyle w:val="ListParagraph"/>
        <w:keepNext/>
        <w:numPr>
          <w:ilvl w:val="0"/>
          <w:numId w:val="28"/>
        </w:numPr>
        <w:spacing w:after="60"/>
        <w:contextualSpacing w:val="0"/>
        <w:outlineLvl w:val="2"/>
        <w:rPr>
          <w:rFonts w:ascii="Franklin Gothic Demi" w:eastAsiaTheme="majorEastAsia" w:hAnsi="Franklin Gothic Demi" w:cstheme="majorBidi"/>
          <w:i/>
          <w:vanish/>
          <w:sz w:val="28"/>
          <w:lang w:eastAsia="en-US"/>
        </w:rPr>
      </w:pPr>
      <w:bookmarkStart w:id="75" w:name="_Toc204688571"/>
      <w:bookmarkStart w:id="76" w:name="_Toc204688631"/>
      <w:bookmarkStart w:id="77" w:name="_Toc204688673"/>
      <w:bookmarkStart w:id="78" w:name="_Toc204688723"/>
      <w:bookmarkStart w:id="79" w:name="_Toc204693343"/>
      <w:bookmarkStart w:id="80" w:name="_Toc205284644"/>
      <w:bookmarkStart w:id="81" w:name="_Toc205291247"/>
      <w:bookmarkStart w:id="82" w:name="_Toc205291281"/>
      <w:bookmarkStart w:id="83" w:name="_Toc205368169"/>
      <w:bookmarkStart w:id="84" w:name="_Toc206083659"/>
      <w:bookmarkStart w:id="85" w:name="_Toc206520470"/>
      <w:bookmarkStart w:id="86" w:name="_Toc206521167"/>
      <w:bookmarkStart w:id="87" w:name="_Toc206588438"/>
      <w:bookmarkStart w:id="88" w:name="_Toc206670518"/>
      <w:bookmarkStart w:id="89" w:name="_Toc206686246"/>
      <w:bookmarkStart w:id="90" w:name="_Toc206936902"/>
      <w:bookmarkStart w:id="91" w:name="_Toc21020565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020B8B5" w14:textId="77777777" w:rsidR="002133EC" w:rsidRPr="00082E72" w:rsidRDefault="002133EC" w:rsidP="0022670C">
      <w:pPr>
        <w:pStyle w:val="ListParagraph"/>
        <w:keepNext/>
        <w:numPr>
          <w:ilvl w:val="0"/>
          <w:numId w:val="28"/>
        </w:numPr>
        <w:spacing w:after="60"/>
        <w:contextualSpacing w:val="0"/>
        <w:outlineLvl w:val="2"/>
        <w:rPr>
          <w:rFonts w:ascii="Franklin Gothic Demi" w:eastAsiaTheme="majorEastAsia" w:hAnsi="Franklin Gothic Demi" w:cstheme="majorBidi"/>
          <w:i/>
          <w:vanish/>
          <w:sz w:val="28"/>
          <w:lang w:eastAsia="en-US"/>
        </w:rPr>
      </w:pPr>
      <w:bookmarkStart w:id="92" w:name="_Toc204688572"/>
      <w:bookmarkStart w:id="93" w:name="_Toc204688632"/>
      <w:bookmarkStart w:id="94" w:name="_Toc204688674"/>
      <w:bookmarkStart w:id="95" w:name="_Toc204688724"/>
      <w:bookmarkStart w:id="96" w:name="_Toc204693344"/>
      <w:bookmarkStart w:id="97" w:name="_Toc205284645"/>
      <w:bookmarkStart w:id="98" w:name="_Toc205291248"/>
      <w:bookmarkStart w:id="99" w:name="_Toc205291282"/>
      <w:bookmarkStart w:id="100" w:name="_Toc205368170"/>
      <w:bookmarkStart w:id="101" w:name="_Toc206083660"/>
      <w:bookmarkStart w:id="102" w:name="_Toc206520471"/>
      <w:bookmarkStart w:id="103" w:name="_Toc206521168"/>
      <w:bookmarkStart w:id="104" w:name="_Toc206588439"/>
      <w:bookmarkStart w:id="105" w:name="_Toc206670519"/>
      <w:bookmarkStart w:id="106" w:name="_Toc206686247"/>
      <w:bookmarkStart w:id="107" w:name="_Toc206936903"/>
      <w:bookmarkStart w:id="108" w:name="_Toc210205652"/>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EEB7FA1" w14:textId="77777777" w:rsidR="002133EC" w:rsidRPr="00082E72" w:rsidRDefault="002133EC" w:rsidP="0022670C">
      <w:pPr>
        <w:pStyle w:val="ListParagraph"/>
        <w:keepNext/>
        <w:numPr>
          <w:ilvl w:val="1"/>
          <w:numId w:val="28"/>
        </w:numPr>
        <w:spacing w:after="60"/>
        <w:contextualSpacing w:val="0"/>
        <w:outlineLvl w:val="2"/>
        <w:rPr>
          <w:rFonts w:ascii="Franklin Gothic Demi" w:eastAsiaTheme="majorEastAsia" w:hAnsi="Franklin Gothic Demi" w:cstheme="majorBidi"/>
          <w:i/>
          <w:vanish/>
          <w:sz w:val="28"/>
          <w:lang w:eastAsia="en-US"/>
        </w:rPr>
      </w:pPr>
    </w:p>
    <w:sectPr w:rsidR="002133EC" w:rsidRPr="00082E72" w:rsidSect="00F5254E">
      <w:pgSz w:w="16838" w:h="11906" w:orient="landscape" w:code="9"/>
      <w:pgMar w:top="1559" w:right="2268" w:bottom="992" w:left="1440" w:header="709"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4F4C" w14:textId="77777777" w:rsidR="00E63B7E" w:rsidRPr="00082E72" w:rsidRDefault="00E63B7E" w:rsidP="00756052">
      <w:r w:rsidRPr="00082E72">
        <w:separator/>
      </w:r>
    </w:p>
    <w:p w14:paraId="7952DFE3" w14:textId="77777777" w:rsidR="00E63B7E" w:rsidRPr="00082E72" w:rsidRDefault="00E63B7E"/>
  </w:endnote>
  <w:endnote w:type="continuationSeparator" w:id="0">
    <w:p w14:paraId="457BD468" w14:textId="77777777" w:rsidR="00E63B7E" w:rsidRPr="00082E72" w:rsidRDefault="00E63B7E" w:rsidP="00756052">
      <w:r w:rsidRPr="00082E72">
        <w:continuationSeparator/>
      </w:r>
    </w:p>
    <w:p w14:paraId="3A9068FB" w14:textId="77777777" w:rsidR="00E63B7E" w:rsidRPr="00082E72" w:rsidRDefault="00E63B7E"/>
  </w:endnote>
  <w:endnote w:type="continuationNotice" w:id="1">
    <w:p w14:paraId="2A2DFB3E" w14:textId="77777777" w:rsidR="00E63B7E" w:rsidRPr="00082E72" w:rsidRDefault="00E63B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0DF5" w14:textId="77777777" w:rsidR="00690649" w:rsidRPr="00082E72" w:rsidRDefault="00690649" w:rsidP="00756052">
    <w:r w:rsidRPr="00082E72">
      <w:t>Cardinia Shire Council</w:t>
    </w:r>
    <w:r w:rsidRPr="00082E72">
      <w:tab/>
      <w:t>[document title field]</w:t>
    </w:r>
    <w:r w:rsidRPr="00082E72">
      <w:tab/>
    </w:r>
    <w:r w:rsidRPr="00082E72">
      <w:tab/>
    </w:r>
    <w:r w:rsidRPr="00082E72">
      <w:fldChar w:fldCharType="begin"/>
    </w:r>
    <w:r w:rsidRPr="00082E72">
      <w:instrText xml:space="preserve"> PAGE   \* MERGEFORMAT </w:instrText>
    </w:r>
    <w:r w:rsidRPr="00082E72">
      <w:fldChar w:fldCharType="separate"/>
    </w:r>
    <w:r w:rsidRPr="00082E72">
      <w:t>2</w:t>
    </w:r>
    <w:r w:rsidRPr="00082E72">
      <w:fldChar w:fldCharType="end"/>
    </w:r>
  </w:p>
  <w:p w14:paraId="48A33949" w14:textId="77777777" w:rsidR="0023345A" w:rsidRPr="00082E72"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B37E" w14:textId="6A24F40E" w:rsidR="0022670C" w:rsidRPr="000B7550" w:rsidRDefault="0022670C" w:rsidP="000B7550">
    <w:pPr>
      <w:pStyle w:val="Footer"/>
    </w:pPr>
    <w:r w:rsidRPr="000B7550">
      <w:rPr>
        <w:rStyle w:val="FooterboldChar"/>
        <w:rFonts w:eastAsiaTheme="majorEastAsia"/>
      </w:rPr>
      <w:t>Cardinia Shire Council</w:t>
    </w:r>
    <w:r w:rsidRPr="000B7550">
      <w:tab/>
    </w:r>
    <w:sdt>
      <w:sdtPr>
        <w:alias w:val="Title"/>
        <w:tag w:val=""/>
        <w:id w:val="-1526314513"/>
        <w:dataBinding w:prefixMappings="xmlns:ns0='http://purl.org/dc/elements/1.1/' xmlns:ns1='http://schemas.openxmlformats.org/package/2006/metadata/core-properties' " w:xpath="/ns1:coreProperties[1]/ns0:title[1]" w:storeItemID="{6C3C8BC8-F283-45AE-878A-BAB7291924A1}"/>
        <w:text/>
      </w:sdtPr>
      <w:sdtContent>
        <w:r>
          <w:t>Financial Plan 2025/26 – 2034/35</w:t>
        </w:r>
      </w:sdtContent>
    </w:sdt>
    <w:r w:rsidRPr="000B7550">
      <w:tab/>
    </w:r>
    <w:sdt>
      <w:sdtPr>
        <w:id w:val="-1666396991"/>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08EC95A2" w14:textId="77777777" w:rsidR="00E420C1" w:rsidRPr="00082E72" w:rsidRDefault="00E420C1" w:rsidP="00E420C1">
    <w:pPr>
      <w:pStyle w:val="Footer"/>
      <w:tabs>
        <w:tab w:val="clear" w:pos="4320"/>
        <w:tab w:val="clear"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6AF7" w14:textId="77777777" w:rsidR="00E63B7E" w:rsidRPr="00082E72" w:rsidRDefault="00E63B7E" w:rsidP="00756052">
      <w:r w:rsidRPr="00082E72">
        <w:separator/>
      </w:r>
    </w:p>
    <w:p w14:paraId="35D0426C" w14:textId="77777777" w:rsidR="00E63B7E" w:rsidRPr="00082E72" w:rsidRDefault="00E63B7E"/>
  </w:footnote>
  <w:footnote w:type="continuationSeparator" w:id="0">
    <w:p w14:paraId="03ED790B" w14:textId="77777777" w:rsidR="00E63B7E" w:rsidRPr="00082E72" w:rsidRDefault="00E63B7E" w:rsidP="00756052">
      <w:r w:rsidRPr="00082E72">
        <w:continuationSeparator/>
      </w:r>
    </w:p>
    <w:p w14:paraId="48494A93" w14:textId="77777777" w:rsidR="00E63B7E" w:rsidRPr="00082E72" w:rsidRDefault="00E63B7E"/>
  </w:footnote>
  <w:footnote w:type="continuationNotice" w:id="1">
    <w:p w14:paraId="394BFC90" w14:textId="77777777" w:rsidR="00E63B7E" w:rsidRPr="00082E72" w:rsidRDefault="00E63B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41EC" w14:textId="0081096A" w:rsidR="00E420C1" w:rsidRPr="00082E72" w:rsidRDefault="009E3935">
    <w:pPr>
      <w:pStyle w:val="Header"/>
    </w:pPr>
    <w:r w:rsidRPr="00082E72">
      <w:rPr>
        <w:noProof/>
      </w:rPr>
      <mc:AlternateContent>
        <mc:Choice Requires="wps">
          <w:drawing>
            <wp:anchor distT="0" distB="0" distL="0" distR="0" simplePos="0" relativeHeight="251658242" behindDoc="0" locked="0" layoutInCell="1" allowOverlap="1" wp14:anchorId="33417178" wp14:editId="0094DF75">
              <wp:simplePos x="635" y="635"/>
              <wp:positionH relativeFrom="page">
                <wp:align>center</wp:align>
              </wp:positionH>
              <wp:positionV relativeFrom="page">
                <wp:align>top</wp:align>
              </wp:positionV>
              <wp:extent cx="5600700" cy="390525"/>
              <wp:effectExtent l="0" t="0" r="0" b="9525"/>
              <wp:wrapNone/>
              <wp:docPr id="1678115893" name="Text Box 17"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90525"/>
                      </a:xfrm>
                      <a:prstGeom prst="rect">
                        <a:avLst/>
                      </a:prstGeom>
                      <a:noFill/>
                      <a:ln>
                        <a:noFill/>
                      </a:ln>
                    </wps:spPr>
                    <wps:txbx>
                      <w:txbxContent>
                        <w:p w14:paraId="352B2409" w14:textId="53125006" w:rsidR="009E3935" w:rsidRPr="00082E72" w:rsidRDefault="009E3935" w:rsidP="009E3935">
                          <w:pPr>
                            <w:spacing w:after="0"/>
                            <w:rPr>
                              <w:rFonts w:ascii="Calibri" w:eastAsia="Calibri" w:hAnsi="Calibri" w:cs="Calibri"/>
                              <w:color w:val="000000"/>
                              <w:sz w:val="16"/>
                              <w:szCs w:val="16"/>
                            </w:rPr>
                          </w:pPr>
                          <w:r w:rsidRPr="00082E72">
                            <w:rPr>
                              <w:rFonts w:ascii="Calibri" w:eastAsia="Calibri" w:hAnsi="Calibri" w:cs="Calibri"/>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17178" id="_x0000_t202" coordsize="21600,21600" o:spt="202" path="m,l,21600r21600,l21600,xe">
              <v:stroke joinstyle="miter"/>
              <v:path gradientshapeok="t" o:connecttype="rect"/>
            </v:shapetype>
            <v:shape id="Text Box 17" o:spid="_x0000_s1026" type="#_x0000_t202" alt="OFFICIAL - This document is a record of a Council decision or action and MUST be stored to SharePoint or a Corporate system." style="position:absolute;margin-left:0;margin-top:0;width:441pt;height:30.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" filled="f" stroked="f">
              <v:textbox style="mso-fit-shape-to-text:t" inset="0,15pt,0,0">
                <w:txbxContent>
                  <w:p w14:paraId="352B2409" w14:textId="53125006" w:rsidR="009E3935" w:rsidRPr="00082E72" w:rsidRDefault="009E3935" w:rsidP="009E3935">
                    <w:pPr>
                      <w:spacing w:after="0"/>
                      <w:rPr>
                        <w:rFonts w:ascii="Calibri" w:eastAsia="Calibri" w:hAnsi="Calibri" w:cs="Calibri"/>
                        <w:color w:val="000000"/>
                        <w:sz w:val="16"/>
                        <w:szCs w:val="16"/>
                      </w:rPr>
                    </w:pPr>
                    <w:r w:rsidRPr="00082E72">
                      <w:rPr>
                        <w:rFonts w:ascii="Calibri" w:eastAsia="Calibri" w:hAnsi="Calibri" w:cs="Calibri"/>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449E" w14:textId="4F95A91E" w:rsidR="00330D19" w:rsidRPr="00082E72" w:rsidRDefault="00330D19" w:rsidP="00330D19">
    <w:pPr>
      <w:spacing w:after="0"/>
      <w:ind w:left="12" w:right="146"/>
    </w:pPr>
    <w:r w:rsidRPr="00082E72">
      <w:rPr>
        <w:rFonts w:ascii="Gill Sans MT" w:eastAsia="Gill Sans MT" w:hAnsi="Gill Sans MT" w:cs="Gill Sans MT"/>
        <w:b/>
        <w:color w:val="0070C0"/>
        <w:sz w:val="25"/>
      </w:rPr>
      <w:tab/>
    </w:r>
  </w:p>
  <w:p w14:paraId="3FB9E671" w14:textId="606F874C" w:rsidR="00E420C1" w:rsidRPr="00082E72" w:rsidRDefault="00E42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937E" w14:textId="649D4586" w:rsidR="00E420C1" w:rsidRPr="00082E72" w:rsidRDefault="009E3935">
    <w:pPr>
      <w:pStyle w:val="Header"/>
    </w:pPr>
    <w:r w:rsidRPr="00082E72">
      <w:rPr>
        <w:noProof/>
      </w:rPr>
      <mc:AlternateContent>
        <mc:Choice Requires="wps">
          <w:drawing>
            <wp:anchor distT="0" distB="0" distL="0" distR="0" simplePos="0" relativeHeight="251658241" behindDoc="0" locked="0" layoutInCell="1" allowOverlap="1" wp14:anchorId="5CDE6CD5" wp14:editId="1E08E65D">
              <wp:simplePos x="635" y="635"/>
              <wp:positionH relativeFrom="page">
                <wp:align>center</wp:align>
              </wp:positionH>
              <wp:positionV relativeFrom="page">
                <wp:align>top</wp:align>
              </wp:positionV>
              <wp:extent cx="5600700" cy="390525"/>
              <wp:effectExtent l="0" t="0" r="0" b="9525"/>
              <wp:wrapNone/>
              <wp:docPr id="910794838" name="Text Box 16"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90525"/>
                      </a:xfrm>
                      <a:prstGeom prst="rect">
                        <a:avLst/>
                      </a:prstGeom>
                      <a:noFill/>
                      <a:ln>
                        <a:noFill/>
                      </a:ln>
                    </wps:spPr>
                    <wps:txbx>
                      <w:txbxContent>
                        <w:p w14:paraId="5F7EA699" w14:textId="18CA2562" w:rsidR="009E3935" w:rsidRPr="00082E72" w:rsidRDefault="009E3935" w:rsidP="009E3935">
                          <w:pPr>
                            <w:spacing w:after="0"/>
                            <w:rPr>
                              <w:rFonts w:ascii="Calibri" w:eastAsia="Calibri" w:hAnsi="Calibri" w:cs="Calibri"/>
                              <w:color w:val="000000"/>
                              <w:sz w:val="16"/>
                              <w:szCs w:val="16"/>
                            </w:rPr>
                          </w:pPr>
                          <w:r w:rsidRPr="00082E72">
                            <w:rPr>
                              <w:rFonts w:ascii="Calibri" w:eastAsia="Calibri" w:hAnsi="Calibri" w:cs="Calibri"/>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E6CD5" id="_x0000_t202" coordsize="21600,21600" o:spt="202" path="m,l,21600r21600,l21600,xe">
              <v:stroke joinstyle="miter"/>
              <v:path gradientshapeok="t" o:connecttype="rect"/>
            </v:shapetype>
            <v:shape id="Text Box 16" o:spid="_x0000_s1027" type="#_x0000_t202" alt="OFFICIAL - This document is a record of a Council decision or action and MUST be stored to SharePoint or a Corporate system." style="position:absolute;margin-left:0;margin-top:0;width:441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" filled="f" stroked="f">
              <v:textbox style="mso-fit-shape-to-text:t" inset="0,15pt,0,0">
                <w:txbxContent>
                  <w:p w14:paraId="5F7EA699" w14:textId="18CA2562" w:rsidR="009E3935" w:rsidRPr="00082E72" w:rsidRDefault="009E3935" w:rsidP="009E3935">
                    <w:pPr>
                      <w:spacing w:after="0"/>
                      <w:rPr>
                        <w:rFonts w:ascii="Calibri" w:eastAsia="Calibri" w:hAnsi="Calibri" w:cs="Calibri"/>
                        <w:color w:val="000000"/>
                        <w:sz w:val="16"/>
                        <w:szCs w:val="16"/>
                      </w:rPr>
                    </w:pPr>
                    <w:r w:rsidRPr="00082E72">
                      <w:rPr>
                        <w:rFonts w:ascii="Calibri" w:eastAsia="Calibri" w:hAnsi="Calibri" w:cs="Calibri"/>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9Cnha9O98He59E" int2:id="RA0xhIG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B99"/>
    <w:multiLevelType w:val="multilevel"/>
    <w:tmpl w:val="A1B2D560"/>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 w15:restartNumberingAfterBreak="0">
    <w:nsid w:val="05E67C2C"/>
    <w:multiLevelType w:val="multilevel"/>
    <w:tmpl w:val="105AB5A0"/>
    <w:lvl w:ilvl="0">
      <w:start w:val="1"/>
      <w:numFmt w:val="decimal"/>
      <w:lvlText w:val="%1"/>
      <w:lvlJc w:val="left"/>
      <w:pPr>
        <w:ind w:left="360" w:hanging="360"/>
      </w:pPr>
      <w:rPr>
        <w:rFonts w:hint="default"/>
        <w:b w:val="0"/>
      </w:rPr>
    </w:lvl>
    <w:lvl w:ilvl="1">
      <w:start w:val="15"/>
      <w:numFmt w:val="decimal"/>
      <w:lvlText w:val="%1.%2"/>
      <w:lvlJc w:val="left"/>
      <w:pPr>
        <w:ind w:left="780" w:hanging="72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1260" w:hanging="1080"/>
      </w:pPr>
      <w:rPr>
        <w:rFonts w:hint="default"/>
        <w:b w:val="0"/>
      </w:rPr>
    </w:lvl>
    <w:lvl w:ilvl="4">
      <w:start w:val="1"/>
      <w:numFmt w:val="decimal"/>
      <w:lvlText w:val="%1.%2.%3.%4.%5"/>
      <w:lvlJc w:val="left"/>
      <w:pPr>
        <w:ind w:left="1680" w:hanging="1440"/>
      </w:pPr>
      <w:rPr>
        <w:rFonts w:hint="default"/>
        <w:b w:val="0"/>
      </w:rPr>
    </w:lvl>
    <w:lvl w:ilvl="5">
      <w:start w:val="1"/>
      <w:numFmt w:val="decimal"/>
      <w:lvlText w:val="%1.%2.%3.%4.%5.%6"/>
      <w:lvlJc w:val="left"/>
      <w:pPr>
        <w:ind w:left="1740" w:hanging="1440"/>
      </w:pPr>
      <w:rPr>
        <w:rFonts w:hint="default"/>
        <w:b w:val="0"/>
      </w:rPr>
    </w:lvl>
    <w:lvl w:ilvl="6">
      <w:start w:val="1"/>
      <w:numFmt w:val="decimal"/>
      <w:lvlText w:val="%1.%2.%3.%4.%5.%6.%7"/>
      <w:lvlJc w:val="left"/>
      <w:pPr>
        <w:ind w:left="2160" w:hanging="1800"/>
      </w:pPr>
      <w:rPr>
        <w:rFonts w:hint="default"/>
        <w:b w:val="0"/>
      </w:rPr>
    </w:lvl>
    <w:lvl w:ilvl="7">
      <w:start w:val="1"/>
      <w:numFmt w:val="decimal"/>
      <w:lvlText w:val="%1.%2.%3.%4.%5.%6.%7.%8"/>
      <w:lvlJc w:val="left"/>
      <w:pPr>
        <w:ind w:left="2580" w:hanging="2160"/>
      </w:pPr>
      <w:rPr>
        <w:rFonts w:hint="default"/>
        <w:b w:val="0"/>
      </w:rPr>
    </w:lvl>
    <w:lvl w:ilvl="8">
      <w:start w:val="1"/>
      <w:numFmt w:val="decimal"/>
      <w:lvlText w:val="%1.%2.%3.%4.%5.%6.%7.%8.%9"/>
      <w:lvlJc w:val="left"/>
      <w:pPr>
        <w:ind w:left="2640" w:hanging="2160"/>
      </w:pPr>
      <w:rPr>
        <w:rFonts w:hint="default"/>
        <w:b w:val="0"/>
      </w:rPr>
    </w:lvl>
  </w:abstractNum>
  <w:abstractNum w:abstractNumId="2" w15:restartNumberingAfterBreak="0">
    <w:nsid w:val="062F6446"/>
    <w:multiLevelType w:val="hybridMultilevel"/>
    <w:tmpl w:val="2CF07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56EE0"/>
    <w:multiLevelType w:val="hybridMultilevel"/>
    <w:tmpl w:val="A0BCB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B5132"/>
    <w:multiLevelType w:val="multilevel"/>
    <w:tmpl w:val="6CD6AF46"/>
    <w:lvl w:ilvl="0">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2209F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EC5C5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E39CA"/>
    <w:multiLevelType w:val="multilevel"/>
    <w:tmpl w:val="BB28812E"/>
    <w:styleLink w:val="CSCHeadinglistnumberstyl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F23981"/>
    <w:multiLevelType w:val="multilevel"/>
    <w:tmpl w:val="9964FC58"/>
    <w:lvl w:ilvl="0">
      <w:start w:val="6"/>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2C4C8C"/>
    <w:multiLevelType w:val="multilevel"/>
    <w:tmpl w:val="C13C926E"/>
    <w:lvl w:ilvl="0">
      <w:start w:val="6"/>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D61A50"/>
    <w:multiLevelType w:val="hybridMultilevel"/>
    <w:tmpl w:val="58040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1021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33027F"/>
    <w:multiLevelType w:val="hybridMultilevel"/>
    <w:tmpl w:val="F6E69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6040B6"/>
    <w:multiLevelType w:val="hybridMultilevel"/>
    <w:tmpl w:val="763A2D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A20F53"/>
    <w:multiLevelType w:val="multilevel"/>
    <w:tmpl w:val="43D822DC"/>
    <w:lvl w:ilvl="0">
      <w:start w:val="6"/>
      <w:numFmt w:val="decimal"/>
      <w:lvlText w:val="%1"/>
      <w:lvlJc w:val="left"/>
      <w:pPr>
        <w:ind w:left="360" w:hanging="360"/>
      </w:pPr>
      <w:rPr>
        <w:rFonts w:ascii="Franklin Gothic Book" w:eastAsia="Times New Roman" w:hAnsi="Franklin Gothic Book" w:cs="Times New Roman" w:hint="default"/>
        <w:i w:val="0"/>
        <w:sz w:val="22"/>
      </w:rPr>
    </w:lvl>
    <w:lvl w:ilvl="1">
      <w:start w:val="6"/>
      <w:numFmt w:val="decimal"/>
      <w:lvlText w:val="%1.%2"/>
      <w:lvlJc w:val="left"/>
      <w:pPr>
        <w:ind w:left="720" w:hanging="720"/>
      </w:pPr>
      <w:rPr>
        <w:rFonts w:ascii="Franklin Gothic Book" w:eastAsia="Times New Roman" w:hAnsi="Franklin Gothic Book" w:cs="Times New Roman" w:hint="default"/>
        <w:i w:val="0"/>
        <w:sz w:val="22"/>
      </w:rPr>
    </w:lvl>
    <w:lvl w:ilvl="2">
      <w:start w:val="1"/>
      <w:numFmt w:val="decimal"/>
      <w:lvlText w:val="%1.%2.%3"/>
      <w:lvlJc w:val="left"/>
      <w:pPr>
        <w:ind w:left="720" w:hanging="720"/>
      </w:pPr>
      <w:rPr>
        <w:rFonts w:ascii="Franklin Gothic Book" w:eastAsia="Times New Roman" w:hAnsi="Franklin Gothic Book" w:cs="Times New Roman" w:hint="default"/>
        <w:i w:val="0"/>
        <w:sz w:val="22"/>
      </w:rPr>
    </w:lvl>
    <w:lvl w:ilvl="3">
      <w:start w:val="1"/>
      <w:numFmt w:val="decimal"/>
      <w:lvlText w:val="%1.%2.%3.%4"/>
      <w:lvlJc w:val="left"/>
      <w:pPr>
        <w:ind w:left="1080" w:hanging="1080"/>
      </w:pPr>
      <w:rPr>
        <w:rFonts w:ascii="Franklin Gothic Book" w:eastAsia="Times New Roman" w:hAnsi="Franklin Gothic Book" w:cs="Times New Roman" w:hint="default"/>
        <w:i w:val="0"/>
        <w:sz w:val="22"/>
      </w:rPr>
    </w:lvl>
    <w:lvl w:ilvl="4">
      <w:start w:val="1"/>
      <w:numFmt w:val="decimal"/>
      <w:lvlText w:val="%1.%2.%3.%4.%5"/>
      <w:lvlJc w:val="left"/>
      <w:pPr>
        <w:ind w:left="1440" w:hanging="1440"/>
      </w:pPr>
      <w:rPr>
        <w:rFonts w:ascii="Franklin Gothic Book" w:eastAsia="Times New Roman" w:hAnsi="Franklin Gothic Book" w:cs="Times New Roman" w:hint="default"/>
        <w:i w:val="0"/>
        <w:sz w:val="22"/>
      </w:rPr>
    </w:lvl>
    <w:lvl w:ilvl="5">
      <w:start w:val="1"/>
      <w:numFmt w:val="decimal"/>
      <w:lvlText w:val="%1.%2.%3.%4.%5.%6"/>
      <w:lvlJc w:val="left"/>
      <w:pPr>
        <w:ind w:left="1440" w:hanging="1440"/>
      </w:pPr>
      <w:rPr>
        <w:rFonts w:ascii="Franklin Gothic Book" w:eastAsia="Times New Roman" w:hAnsi="Franklin Gothic Book" w:cs="Times New Roman" w:hint="default"/>
        <w:i w:val="0"/>
        <w:sz w:val="22"/>
      </w:rPr>
    </w:lvl>
    <w:lvl w:ilvl="6">
      <w:start w:val="1"/>
      <w:numFmt w:val="decimal"/>
      <w:lvlText w:val="%1.%2.%3.%4.%5.%6.%7"/>
      <w:lvlJc w:val="left"/>
      <w:pPr>
        <w:ind w:left="1800" w:hanging="1800"/>
      </w:pPr>
      <w:rPr>
        <w:rFonts w:ascii="Franklin Gothic Book" w:eastAsia="Times New Roman" w:hAnsi="Franklin Gothic Book" w:cs="Times New Roman" w:hint="default"/>
        <w:i w:val="0"/>
        <w:sz w:val="22"/>
      </w:rPr>
    </w:lvl>
    <w:lvl w:ilvl="7">
      <w:start w:val="1"/>
      <w:numFmt w:val="decimal"/>
      <w:lvlText w:val="%1.%2.%3.%4.%5.%6.%7.%8"/>
      <w:lvlJc w:val="left"/>
      <w:pPr>
        <w:ind w:left="2160" w:hanging="2160"/>
      </w:pPr>
      <w:rPr>
        <w:rFonts w:ascii="Franklin Gothic Book" w:eastAsia="Times New Roman" w:hAnsi="Franklin Gothic Book" w:cs="Times New Roman" w:hint="default"/>
        <w:i w:val="0"/>
        <w:sz w:val="22"/>
      </w:rPr>
    </w:lvl>
    <w:lvl w:ilvl="8">
      <w:start w:val="1"/>
      <w:numFmt w:val="decimal"/>
      <w:lvlText w:val="%1.%2.%3.%4.%5.%6.%7.%8.%9"/>
      <w:lvlJc w:val="left"/>
      <w:pPr>
        <w:ind w:left="2160" w:hanging="2160"/>
      </w:pPr>
      <w:rPr>
        <w:rFonts w:ascii="Franklin Gothic Book" w:eastAsia="Times New Roman" w:hAnsi="Franklin Gothic Book" w:cs="Times New Roman" w:hint="default"/>
        <w:i w:val="0"/>
        <w:sz w:val="22"/>
      </w:rPr>
    </w:lvl>
  </w:abstractNum>
  <w:abstractNum w:abstractNumId="15" w15:restartNumberingAfterBreak="0">
    <w:nsid w:val="304619B5"/>
    <w:multiLevelType w:val="hybridMultilevel"/>
    <w:tmpl w:val="4B9E51B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964170"/>
    <w:multiLevelType w:val="hybridMultilevel"/>
    <w:tmpl w:val="7480E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D5549"/>
    <w:multiLevelType w:val="hybridMultilevel"/>
    <w:tmpl w:val="16CC16E2"/>
    <w:styleLink w:val="CSCFigureheadinglist"/>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70698A"/>
    <w:multiLevelType w:val="multilevel"/>
    <w:tmpl w:val="27987734"/>
    <w:lvl w:ilvl="0">
      <w:start w:val="4"/>
      <w:numFmt w:val="decimal"/>
      <w:lvlText w:val="%1"/>
      <w:lvlJc w:val="left"/>
      <w:pPr>
        <w:ind w:left="405" w:hanging="40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FA54BB4"/>
    <w:multiLevelType w:val="hybridMultilevel"/>
    <w:tmpl w:val="02C8F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4430EC"/>
    <w:multiLevelType w:val="hybridMultilevel"/>
    <w:tmpl w:val="5956A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F45D71"/>
    <w:multiLevelType w:val="multilevel"/>
    <w:tmpl w:val="0F56A056"/>
    <w:lvl w:ilvl="0">
      <w:start w:val="6"/>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E55C87"/>
    <w:multiLevelType w:val="multilevel"/>
    <w:tmpl w:val="866EB94A"/>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3" w15:restartNumberingAfterBreak="0">
    <w:nsid w:val="4A1B3CEC"/>
    <w:multiLevelType w:val="multilevel"/>
    <w:tmpl w:val="E4006AFC"/>
    <w:lvl w:ilvl="0">
      <w:start w:val="1"/>
      <w:numFmt w:val="decimal"/>
      <w:lvlText w:val="%1.0"/>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4" w15:restartNumberingAfterBreak="0">
    <w:nsid w:val="4BAB2DF8"/>
    <w:multiLevelType w:val="hybridMultilevel"/>
    <w:tmpl w:val="87E6E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9B13ED"/>
    <w:multiLevelType w:val="hybridMultilevel"/>
    <w:tmpl w:val="4F363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75EF5"/>
    <w:multiLevelType w:val="multilevel"/>
    <w:tmpl w:val="6C8A7DC2"/>
    <w:lvl w:ilvl="0">
      <w:start w:val="1"/>
      <w:numFmt w:val="decimal"/>
      <w:lvlText w:val="%1."/>
      <w:lvlJc w:val="left"/>
      <w:pPr>
        <w:ind w:left="720" w:hanging="360"/>
      </w:pPr>
      <w:rPr>
        <w:rFonts w:hint="default"/>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622674"/>
    <w:multiLevelType w:val="multilevel"/>
    <w:tmpl w:val="DBFAC650"/>
    <w:lvl w:ilvl="0">
      <w:numFmt w:val="decimal"/>
      <w:lvlText w:val="%1"/>
      <w:lvlJc w:val="left"/>
      <w:pPr>
        <w:ind w:left="465" w:hanging="465"/>
      </w:pPr>
      <w:rPr>
        <w:rFonts w:asciiTheme="minorHAnsi" w:eastAsia="Times New Roman" w:hAnsiTheme="minorHAnsi" w:cs="Times New Roman" w:hint="default"/>
        <w:b/>
        <w:sz w:val="20"/>
      </w:rPr>
    </w:lvl>
    <w:lvl w:ilvl="1">
      <w:start w:val="5"/>
      <w:numFmt w:val="decimal"/>
      <w:lvlText w:val="%1.%2"/>
      <w:lvlJc w:val="left"/>
      <w:pPr>
        <w:ind w:left="720" w:hanging="720"/>
      </w:pPr>
      <w:rPr>
        <w:rFonts w:asciiTheme="minorHAnsi" w:eastAsia="Times New Roman" w:hAnsiTheme="minorHAnsi" w:cs="Times New Roman" w:hint="default"/>
        <w:b/>
        <w:sz w:val="20"/>
      </w:rPr>
    </w:lvl>
    <w:lvl w:ilvl="2">
      <w:start w:val="1"/>
      <w:numFmt w:val="decimal"/>
      <w:lvlText w:val="%1.%2.%3"/>
      <w:lvlJc w:val="left"/>
      <w:pPr>
        <w:ind w:left="720" w:hanging="720"/>
      </w:pPr>
      <w:rPr>
        <w:rFonts w:asciiTheme="minorHAnsi" w:eastAsia="Times New Roman" w:hAnsiTheme="minorHAnsi" w:cs="Times New Roman" w:hint="default"/>
        <w:b/>
        <w:sz w:val="20"/>
      </w:rPr>
    </w:lvl>
    <w:lvl w:ilvl="3">
      <w:start w:val="1"/>
      <w:numFmt w:val="decimal"/>
      <w:lvlText w:val="%1.%2.%3.%4"/>
      <w:lvlJc w:val="left"/>
      <w:pPr>
        <w:ind w:left="1080" w:hanging="1080"/>
      </w:pPr>
      <w:rPr>
        <w:rFonts w:asciiTheme="minorHAnsi" w:eastAsia="Times New Roman" w:hAnsiTheme="minorHAnsi" w:cs="Times New Roman" w:hint="default"/>
        <w:b/>
        <w:sz w:val="20"/>
      </w:rPr>
    </w:lvl>
    <w:lvl w:ilvl="4">
      <w:start w:val="1"/>
      <w:numFmt w:val="decimal"/>
      <w:lvlText w:val="%1.%2.%3.%4.%5"/>
      <w:lvlJc w:val="left"/>
      <w:pPr>
        <w:ind w:left="1440" w:hanging="1440"/>
      </w:pPr>
      <w:rPr>
        <w:rFonts w:asciiTheme="minorHAnsi" w:eastAsia="Times New Roman" w:hAnsiTheme="minorHAnsi" w:cs="Times New Roman" w:hint="default"/>
        <w:b/>
        <w:sz w:val="20"/>
      </w:rPr>
    </w:lvl>
    <w:lvl w:ilvl="5">
      <w:start w:val="1"/>
      <w:numFmt w:val="decimal"/>
      <w:lvlText w:val="%1.%2.%3.%4.%5.%6"/>
      <w:lvlJc w:val="left"/>
      <w:pPr>
        <w:ind w:left="1440" w:hanging="1440"/>
      </w:pPr>
      <w:rPr>
        <w:rFonts w:asciiTheme="minorHAnsi" w:eastAsia="Times New Roman" w:hAnsiTheme="minorHAnsi" w:cs="Times New Roman" w:hint="default"/>
        <w:b/>
        <w:sz w:val="20"/>
      </w:rPr>
    </w:lvl>
    <w:lvl w:ilvl="6">
      <w:start w:val="1"/>
      <w:numFmt w:val="decimal"/>
      <w:lvlText w:val="%1.%2.%3.%4.%5.%6.%7"/>
      <w:lvlJc w:val="left"/>
      <w:pPr>
        <w:ind w:left="1800" w:hanging="1800"/>
      </w:pPr>
      <w:rPr>
        <w:rFonts w:asciiTheme="minorHAnsi" w:eastAsia="Times New Roman" w:hAnsiTheme="minorHAnsi" w:cs="Times New Roman" w:hint="default"/>
        <w:b/>
        <w:sz w:val="20"/>
      </w:rPr>
    </w:lvl>
    <w:lvl w:ilvl="7">
      <w:start w:val="1"/>
      <w:numFmt w:val="decimal"/>
      <w:lvlText w:val="%1.%2.%3.%4.%5.%6.%7.%8"/>
      <w:lvlJc w:val="left"/>
      <w:pPr>
        <w:ind w:left="2160" w:hanging="2160"/>
      </w:pPr>
      <w:rPr>
        <w:rFonts w:asciiTheme="minorHAnsi" w:eastAsia="Times New Roman" w:hAnsiTheme="minorHAnsi" w:cs="Times New Roman" w:hint="default"/>
        <w:b/>
        <w:sz w:val="20"/>
      </w:rPr>
    </w:lvl>
    <w:lvl w:ilvl="8">
      <w:start w:val="1"/>
      <w:numFmt w:val="decimal"/>
      <w:lvlText w:val="%1.%2.%3.%4.%5.%6.%7.%8.%9"/>
      <w:lvlJc w:val="left"/>
      <w:pPr>
        <w:ind w:left="2160" w:hanging="2160"/>
      </w:pPr>
      <w:rPr>
        <w:rFonts w:asciiTheme="minorHAnsi" w:eastAsia="Times New Roman" w:hAnsiTheme="minorHAnsi" w:cs="Times New Roman" w:hint="default"/>
        <w:b/>
        <w:sz w:val="20"/>
      </w:rPr>
    </w:lvl>
  </w:abstractNum>
  <w:abstractNum w:abstractNumId="28" w15:restartNumberingAfterBreak="0">
    <w:nsid w:val="5D4853D7"/>
    <w:multiLevelType w:val="multilevel"/>
    <w:tmpl w:val="0C09001F"/>
    <w:styleLink w:val="CSCTableheadinglist"/>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29" w15:restartNumberingAfterBreak="0">
    <w:nsid w:val="68D90BB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B10D2C"/>
    <w:multiLevelType w:val="hybridMultilevel"/>
    <w:tmpl w:val="EF067174"/>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31" w15:restartNumberingAfterBreak="0">
    <w:nsid w:val="76D3456B"/>
    <w:multiLevelType w:val="hybridMultilevel"/>
    <w:tmpl w:val="BC443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9B367C"/>
    <w:multiLevelType w:val="hybridMultilevel"/>
    <w:tmpl w:val="051EA5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7AD51F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E25443"/>
    <w:multiLevelType w:val="hybridMultilevel"/>
    <w:tmpl w:val="8F0AE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5468408">
    <w:abstractNumId w:val="33"/>
  </w:num>
  <w:num w:numId="2" w16cid:durableId="903176668">
    <w:abstractNumId w:val="28"/>
  </w:num>
  <w:num w:numId="3" w16cid:durableId="704328266">
    <w:abstractNumId w:val="22"/>
  </w:num>
  <w:num w:numId="4" w16cid:durableId="193422497">
    <w:abstractNumId w:val="0"/>
  </w:num>
  <w:num w:numId="5" w16cid:durableId="1151827527">
    <w:abstractNumId w:val="17"/>
  </w:num>
  <w:num w:numId="6" w16cid:durableId="381641440">
    <w:abstractNumId w:val="7"/>
  </w:num>
  <w:num w:numId="7" w16cid:durableId="551967532">
    <w:abstractNumId w:val="30"/>
  </w:num>
  <w:num w:numId="8" w16cid:durableId="1714767643">
    <w:abstractNumId w:val="3"/>
  </w:num>
  <w:num w:numId="9" w16cid:durableId="1039864806">
    <w:abstractNumId w:val="10"/>
  </w:num>
  <w:num w:numId="10" w16cid:durableId="1741823472">
    <w:abstractNumId w:val="12"/>
  </w:num>
  <w:num w:numId="11" w16cid:durableId="1805807002">
    <w:abstractNumId w:val="31"/>
  </w:num>
  <w:num w:numId="12" w16cid:durableId="1453285249">
    <w:abstractNumId w:val="16"/>
  </w:num>
  <w:num w:numId="13" w16cid:durableId="2104300124">
    <w:abstractNumId w:val="2"/>
  </w:num>
  <w:num w:numId="14" w16cid:durableId="1171915049">
    <w:abstractNumId w:val="20"/>
  </w:num>
  <w:num w:numId="15" w16cid:durableId="1493565929">
    <w:abstractNumId w:val="34"/>
  </w:num>
  <w:num w:numId="16" w16cid:durableId="1907564646">
    <w:abstractNumId w:val="6"/>
  </w:num>
  <w:num w:numId="17" w16cid:durableId="2050445445">
    <w:abstractNumId w:val="19"/>
  </w:num>
  <w:num w:numId="18" w16cid:durableId="1429347738">
    <w:abstractNumId w:val="25"/>
  </w:num>
  <w:num w:numId="19" w16cid:durableId="1633635418">
    <w:abstractNumId w:val="29"/>
  </w:num>
  <w:num w:numId="20" w16cid:durableId="199784306">
    <w:abstractNumId w:val="5"/>
  </w:num>
  <w:num w:numId="21" w16cid:durableId="1946231572">
    <w:abstractNumId w:val="23"/>
  </w:num>
  <w:num w:numId="22" w16cid:durableId="184642039">
    <w:abstractNumId w:val="32"/>
  </w:num>
  <w:num w:numId="23" w16cid:durableId="1567717711">
    <w:abstractNumId w:val="13"/>
  </w:num>
  <w:num w:numId="24" w16cid:durableId="772089735">
    <w:abstractNumId w:val="11"/>
  </w:num>
  <w:num w:numId="25" w16cid:durableId="619995724">
    <w:abstractNumId w:val="24"/>
  </w:num>
  <w:num w:numId="26" w16cid:durableId="1737362358">
    <w:abstractNumId w:val="26"/>
  </w:num>
  <w:num w:numId="27" w16cid:durableId="1053112913">
    <w:abstractNumId w:val="18"/>
  </w:num>
  <w:num w:numId="28" w16cid:durableId="432359055">
    <w:abstractNumId w:val="15"/>
  </w:num>
  <w:num w:numId="29" w16cid:durableId="814492929">
    <w:abstractNumId w:val="27"/>
  </w:num>
  <w:num w:numId="30" w16cid:durableId="1462730307">
    <w:abstractNumId w:val="4"/>
  </w:num>
  <w:num w:numId="31" w16cid:durableId="775178542">
    <w:abstractNumId w:val="8"/>
  </w:num>
  <w:num w:numId="32" w16cid:durableId="1490753470">
    <w:abstractNumId w:val="21"/>
  </w:num>
  <w:num w:numId="33" w16cid:durableId="2003971202">
    <w:abstractNumId w:val="9"/>
  </w:num>
  <w:num w:numId="34" w16cid:durableId="1297369652">
    <w:abstractNumId w:val="14"/>
  </w:num>
  <w:num w:numId="35" w16cid:durableId="63761346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3D"/>
    <w:rsid w:val="000000B1"/>
    <w:rsid w:val="000004C1"/>
    <w:rsid w:val="000009C8"/>
    <w:rsid w:val="000012A7"/>
    <w:rsid w:val="00001368"/>
    <w:rsid w:val="00001412"/>
    <w:rsid w:val="00001EFE"/>
    <w:rsid w:val="00002076"/>
    <w:rsid w:val="00002771"/>
    <w:rsid w:val="000028CD"/>
    <w:rsid w:val="00002B8D"/>
    <w:rsid w:val="00002D75"/>
    <w:rsid w:val="00003155"/>
    <w:rsid w:val="000035AC"/>
    <w:rsid w:val="000035FD"/>
    <w:rsid w:val="00003765"/>
    <w:rsid w:val="000037CC"/>
    <w:rsid w:val="000038B4"/>
    <w:rsid w:val="00003CDF"/>
    <w:rsid w:val="00003EF1"/>
    <w:rsid w:val="000040DF"/>
    <w:rsid w:val="000041B9"/>
    <w:rsid w:val="00004232"/>
    <w:rsid w:val="0000437C"/>
    <w:rsid w:val="000043AF"/>
    <w:rsid w:val="00004435"/>
    <w:rsid w:val="000046A5"/>
    <w:rsid w:val="00004A52"/>
    <w:rsid w:val="00004E4E"/>
    <w:rsid w:val="0000516D"/>
    <w:rsid w:val="000051D8"/>
    <w:rsid w:val="00005508"/>
    <w:rsid w:val="00005888"/>
    <w:rsid w:val="00005FBE"/>
    <w:rsid w:val="0000600A"/>
    <w:rsid w:val="00006037"/>
    <w:rsid w:val="00006506"/>
    <w:rsid w:val="000065FA"/>
    <w:rsid w:val="00006628"/>
    <w:rsid w:val="000068A8"/>
    <w:rsid w:val="00006EF8"/>
    <w:rsid w:val="00007178"/>
    <w:rsid w:val="0000717B"/>
    <w:rsid w:val="0000781F"/>
    <w:rsid w:val="00007904"/>
    <w:rsid w:val="00007C68"/>
    <w:rsid w:val="00007D84"/>
    <w:rsid w:val="00007F36"/>
    <w:rsid w:val="0001029C"/>
    <w:rsid w:val="000104F3"/>
    <w:rsid w:val="0001065C"/>
    <w:rsid w:val="00011249"/>
    <w:rsid w:val="0001195D"/>
    <w:rsid w:val="00011BDD"/>
    <w:rsid w:val="00012006"/>
    <w:rsid w:val="000132E8"/>
    <w:rsid w:val="0001371D"/>
    <w:rsid w:val="000139D5"/>
    <w:rsid w:val="00013C2F"/>
    <w:rsid w:val="00014109"/>
    <w:rsid w:val="000144A1"/>
    <w:rsid w:val="0001483B"/>
    <w:rsid w:val="0001487D"/>
    <w:rsid w:val="00014AC5"/>
    <w:rsid w:val="00014B7D"/>
    <w:rsid w:val="00014D20"/>
    <w:rsid w:val="00014E0A"/>
    <w:rsid w:val="00014FA7"/>
    <w:rsid w:val="0001506A"/>
    <w:rsid w:val="00015595"/>
    <w:rsid w:val="00015650"/>
    <w:rsid w:val="00015B18"/>
    <w:rsid w:val="00015D27"/>
    <w:rsid w:val="000161DF"/>
    <w:rsid w:val="000165FE"/>
    <w:rsid w:val="00016663"/>
    <w:rsid w:val="00016D81"/>
    <w:rsid w:val="00016EA9"/>
    <w:rsid w:val="00016F73"/>
    <w:rsid w:val="00016FEB"/>
    <w:rsid w:val="00017093"/>
    <w:rsid w:val="00017579"/>
    <w:rsid w:val="00017B8E"/>
    <w:rsid w:val="00017CE4"/>
    <w:rsid w:val="00020174"/>
    <w:rsid w:val="000202D4"/>
    <w:rsid w:val="000203B9"/>
    <w:rsid w:val="000205B5"/>
    <w:rsid w:val="000205DE"/>
    <w:rsid w:val="000206BE"/>
    <w:rsid w:val="00020851"/>
    <w:rsid w:val="00020AF3"/>
    <w:rsid w:val="00021774"/>
    <w:rsid w:val="000217DF"/>
    <w:rsid w:val="00021AFF"/>
    <w:rsid w:val="00021DCC"/>
    <w:rsid w:val="00021FFF"/>
    <w:rsid w:val="00023090"/>
    <w:rsid w:val="000230D0"/>
    <w:rsid w:val="00023B0F"/>
    <w:rsid w:val="00023E62"/>
    <w:rsid w:val="000242AB"/>
    <w:rsid w:val="00024404"/>
    <w:rsid w:val="00024610"/>
    <w:rsid w:val="00024832"/>
    <w:rsid w:val="000249F3"/>
    <w:rsid w:val="00024C58"/>
    <w:rsid w:val="00024E3F"/>
    <w:rsid w:val="00024F76"/>
    <w:rsid w:val="0002543C"/>
    <w:rsid w:val="000257E8"/>
    <w:rsid w:val="00025B95"/>
    <w:rsid w:val="00025E51"/>
    <w:rsid w:val="00025FA2"/>
    <w:rsid w:val="0002640D"/>
    <w:rsid w:val="00026556"/>
    <w:rsid w:val="000267F9"/>
    <w:rsid w:val="00026FA5"/>
    <w:rsid w:val="000271D6"/>
    <w:rsid w:val="000273BA"/>
    <w:rsid w:val="0002746D"/>
    <w:rsid w:val="000275A0"/>
    <w:rsid w:val="00027AC5"/>
    <w:rsid w:val="00027ACC"/>
    <w:rsid w:val="00027BC1"/>
    <w:rsid w:val="00027DA5"/>
    <w:rsid w:val="00027FC4"/>
    <w:rsid w:val="00027FEC"/>
    <w:rsid w:val="000300C4"/>
    <w:rsid w:val="000301C4"/>
    <w:rsid w:val="00030287"/>
    <w:rsid w:val="00030293"/>
    <w:rsid w:val="0003030B"/>
    <w:rsid w:val="0003053C"/>
    <w:rsid w:val="0003060D"/>
    <w:rsid w:val="000306F5"/>
    <w:rsid w:val="00030764"/>
    <w:rsid w:val="0003083C"/>
    <w:rsid w:val="00030B49"/>
    <w:rsid w:val="00030BF2"/>
    <w:rsid w:val="00030E44"/>
    <w:rsid w:val="0003107B"/>
    <w:rsid w:val="000310E3"/>
    <w:rsid w:val="00031140"/>
    <w:rsid w:val="00031557"/>
    <w:rsid w:val="00031FCA"/>
    <w:rsid w:val="000320CF"/>
    <w:rsid w:val="00032106"/>
    <w:rsid w:val="000323E2"/>
    <w:rsid w:val="00032779"/>
    <w:rsid w:val="000327B9"/>
    <w:rsid w:val="00032B89"/>
    <w:rsid w:val="00032EC4"/>
    <w:rsid w:val="00032FB7"/>
    <w:rsid w:val="00033112"/>
    <w:rsid w:val="00033312"/>
    <w:rsid w:val="00033330"/>
    <w:rsid w:val="000333D2"/>
    <w:rsid w:val="0003348B"/>
    <w:rsid w:val="00033AC3"/>
    <w:rsid w:val="00034504"/>
    <w:rsid w:val="00034889"/>
    <w:rsid w:val="00034A7B"/>
    <w:rsid w:val="00034D73"/>
    <w:rsid w:val="00034E80"/>
    <w:rsid w:val="00034ECB"/>
    <w:rsid w:val="000353BD"/>
    <w:rsid w:val="000358F1"/>
    <w:rsid w:val="00035AE4"/>
    <w:rsid w:val="00035FE3"/>
    <w:rsid w:val="00036062"/>
    <w:rsid w:val="0003618D"/>
    <w:rsid w:val="00036569"/>
    <w:rsid w:val="000365E1"/>
    <w:rsid w:val="00036B56"/>
    <w:rsid w:val="00036F9C"/>
    <w:rsid w:val="00037049"/>
    <w:rsid w:val="00037052"/>
    <w:rsid w:val="0003754C"/>
    <w:rsid w:val="000376AF"/>
    <w:rsid w:val="000376ED"/>
    <w:rsid w:val="000378D1"/>
    <w:rsid w:val="00037D99"/>
    <w:rsid w:val="000401DE"/>
    <w:rsid w:val="000402ED"/>
    <w:rsid w:val="000405A2"/>
    <w:rsid w:val="000408FA"/>
    <w:rsid w:val="00040DD8"/>
    <w:rsid w:val="00040F4A"/>
    <w:rsid w:val="00041074"/>
    <w:rsid w:val="000412FA"/>
    <w:rsid w:val="00041370"/>
    <w:rsid w:val="00041676"/>
    <w:rsid w:val="000416BB"/>
    <w:rsid w:val="00041A72"/>
    <w:rsid w:val="00041AEF"/>
    <w:rsid w:val="00041F7A"/>
    <w:rsid w:val="00042220"/>
    <w:rsid w:val="00042897"/>
    <w:rsid w:val="00042C16"/>
    <w:rsid w:val="00042D62"/>
    <w:rsid w:val="00043F30"/>
    <w:rsid w:val="00044336"/>
    <w:rsid w:val="000449E4"/>
    <w:rsid w:val="00044A21"/>
    <w:rsid w:val="00044F14"/>
    <w:rsid w:val="0004509B"/>
    <w:rsid w:val="00045707"/>
    <w:rsid w:val="00045B34"/>
    <w:rsid w:val="00045C32"/>
    <w:rsid w:val="00045C7F"/>
    <w:rsid w:val="00045F62"/>
    <w:rsid w:val="0004606A"/>
    <w:rsid w:val="000460B9"/>
    <w:rsid w:val="00046498"/>
    <w:rsid w:val="00046644"/>
    <w:rsid w:val="0004668E"/>
    <w:rsid w:val="00046D58"/>
    <w:rsid w:val="0004713A"/>
    <w:rsid w:val="00047F61"/>
    <w:rsid w:val="00050007"/>
    <w:rsid w:val="0005079F"/>
    <w:rsid w:val="00050E8D"/>
    <w:rsid w:val="000511FA"/>
    <w:rsid w:val="00051263"/>
    <w:rsid w:val="0005135B"/>
    <w:rsid w:val="00051BCC"/>
    <w:rsid w:val="00051D91"/>
    <w:rsid w:val="00051EC1"/>
    <w:rsid w:val="0005205E"/>
    <w:rsid w:val="00052C34"/>
    <w:rsid w:val="000536BC"/>
    <w:rsid w:val="0005370D"/>
    <w:rsid w:val="00053A89"/>
    <w:rsid w:val="00054449"/>
    <w:rsid w:val="00054606"/>
    <w:rsid w:val="0005481E"/>
    <w:rsid w:val="00054922"/>
    <w:rsid w:val="00055089"/>
    <w:rsid w:val="0005554B"/>
    <w:rsid w:val="000557D0"/>
    <w:rsid w:val="0005593B"/>
    <w:rsid w:val="000559B4"/>
    <w:rsid w:val="00055C7A"/>
    <w:rsid w:val="000562A3"/>
    <w:rsid w:val="00056430"/>
    <w:rsid w:val="00056FCF"/>
    <w:rsid w:val="000575C0"/>
    <w:rsid w:val="000579DD"/>
    <w:rsid w:val="00057A43"/>
    <w:rsid w:val="00057C0E"/>
    <w:rsid w:val="00057ED7"/>
    <w:rsid w:val="00057F4C"/>
    <w:rsid w:val="00060026"/>
    <w:rsid w:val="00060A48"/>
    <w:rsid w:val="00060D1A"/>
    <w:rsid w:val="00060E33"/>
    <w:rsid w:val="00060F34"/>
    <w:rsid w:val="00060F5C"/>
    <w:rsid w:val="000616B8"/>
    <w:rsid w:val="00061A48"/>
    <w:rsid w:val="00061A4A"/>
    <w:rsid w:val="00061D5A"/>
    <w:rsid w:val="00061DB9"/>
    <w:rsid w:val="00061EA1"/>
    <w:rsid w:val="00061EBE"/>
    <w:rsid w:val="00061FAB"/>
    <w:rsid w:val="00062044"/>
    <w:rsid w:val="000624A4"/>
    <w:rsid w:val="000628A1"/>
    <w:rsid w:val="00062A9A"/>
    <w:rsid w:val="00062AA4"/>
    <w:rsid w:val="00062BDF"/>
    <w:rsid w:val="00062CED"/>
    <w:rsid w:val="00062E8C"/>
    <w:rsid w:val="00063116"/>
    <w:rsid w:val="00063807"/>
    <w:rsid w:val="00063997"/>
    <w:rsid w:val="00063A0E"/>
    <w:rsid w:val="00063BA3"/>
    <w:rsid w:val="00063BC4"/>
    <w:rsid w:val="00064026"/>
    <w:rsid w:val="0006405A"/>
    <w:rsid w:val="000642CA"/>
    <w:rsid w:val="00064746"/>
    <w:rsid w:val="000650DF"/>
    <w:rsid w:val="00065254"/>
    <w:rsid w:val="000654AB"/>
    <w:rsid w:val="0006554D"/>
    <w:rsid w:val="00065A1F"/>
    <w:rsid w:val="00065B24"/>
    <w:rsid w:val="00065B59"/>
    <w:rsid w:val="00065C0D"/>
    <w:rsid w:val="00065C28"/>
    <w:rsid w:val="00065C33"/>
    <w:rsid w:val="000661E4"/>
    <w:rsid w:val="0006620F"/>
    <w:rsid w:val="00066528"/>
    <w:rsid w:val="00066990"/>
    <w:rsid w:val="00066E88"/>
    <w:rsid w:val="00066EAB"/>
    <w:rsid w:val="00066EBF"/>
    <w:rsid w:val="00066F3D"/>
    <w:rsid w:val="000674D4"/>
    <w:rsid w:val="00067DFF"/>
    <w:rsid w:val="0007016E"/>
    <w:rsid w:val="0007049F"/>
    <w:rsid w:val="000708C5"/>
    <w:rsid w:val="00070B51"/>
    <w:rsid w:val="00070C5A"/>
    <w:rsid w:val="00070FCC"/>
    <w:rsid w:val="0007112F"/>
    <w:rsid w:val="000714EB"/>
    <w:rsid w:val="00071589"/>
    <w:rsid w:val="0007165E"/>
    <w:rsid w:val="000716B7"/>
    <w:rsid w:val="00071737"/>
    <w:rsid w:val="00071BF3"/>
    <w:rsid w:val="000722BF"/>
    <w:rsid w:val="0007250B"/>
    <w:rsid w:val="000728B1"/>
    <w:rsid w:val="0007318B"/>
    <w:rsid w:val="00073440"/>
    <w:rsid w:val="00073A7C"/>
    <w:rsid w:val="00073BED"/>
    <w:rsid w:val="00073E15"/>
    <w:rsid w:val="00073ED3"/>
    <w:rsid w:val="000741F4"/>
    <w:rsid w:val="0007473C"/>
    <w:rsid w:val="0007478D"/>
    <w:rsid w:val="00074A01"/>
    <w:rsid w:val="00074F14"/>
    <w:rsid w:val="00075B03"/>
    <w:rsid w:val="00075E5C"/>
    <w:rsid w:val="00076312"/>
    <w:rsid w:val="000763C6"/>
    <w:rsid w:val="000764C8"/>
    <w:rsid w:val="00076557"/>
    <w:rsid w:val="0007663C"/>
    <w:rsid w:val="00076764"/>
    <w:rsid w:val="000768FE"/>
    <w:rsid w:val="00076A29"/>
    <w:rsid w:val="00076CE5"/>
    <w:rsid w:val="00076F2C"/>
    <w:rsid w:val="00077066"/>
    <w:rsid w:val="000770F5"/>
    <w:rsid w:val="00077392"/>
    <w:rsid w:val="0007774E"/>
    <w:rsid w:val="000778AE"/>
    <w:rsid w:val="0008005A"/>
    <w:rsid w:val="00080124"/>
    <w:rsid w:val="0008026E"/>
    <w:rsid w:val="000807F9"/>
    <w:rsid w:val="00080827"/>
    <w:rsid w:val="00080A42"/>
    <w:rsid w:val="00080EE3"/>
    <w:rsid w:val="00080EEA"/>
    <w:rsid w:val="0008111E"/>
    <w:rsid w:val="000816D1"/>
    <w:rsid w:val="00081A85"/>
    <w:rsid w:val="00081B0E"/>
    <w:rsid w:val="00081B1A"/>
    <w:rsid w:val="00081C3D"/>
    <w:rsid w:val="00081F0D"/>
    <w:rsid w:val="0008266B"/>
    <w:rsid w:val="0008289B"/>
    <w:rsid w:val="00082ABC"/>
    <w:rsid w:val="00082AD3"/>
    <w:rsid w:val="00082DFD"/>
    <w:rsid w:val="00082E72"/>
    <w:rsid w:val="00082EFA"/>
    <w:rsid w:val="0008370C"/>
    <w:rsid w:val="00083806"/>
    <w:rsid w:val="00084424"/>
    <w:rsid w:val="000844D7"/>
    <w:rsid w:val="00084979"/>
    <w:rsid w:val="00084B87"/>
    <w:rsid w:val="00084B98"/>
    <w:rsid w:val="00084CF4"/>
    <w:rsid w:val="00084E3F"/>
    <w:rsid w:val="00085151"/>
    <w:rsid w:val="000851DC"/>
    <w:rsid w:val="0008529E"/>
    <w:rsid w:val="00085382"/>
    <w:rsid w:val="00085463"/>
    <w:rsid w:val="00085A07"/>
    <w:rsid w:val="00085A73"/>
    <w:rsid w:val="00085AA1"/>
    <w:rsid w:val="00085BF1"/>
    <w:rsid w:val="0008614D"/>
    <w:rsid w:val="00086589"/>
    <w:rsid w:val="00086C4B"/>
    <w:rsid w:val="00086EC1"/>
    <w:rsid w:val="00087055"/>
    <w:rsid w:val="00087431"/>
    <w:rsid w:val="00087950"/>
    <w:rsid w:val="00087C09"/>
    <w:rsid w:val="00090623"/>
    <w:rsid w:val="000906E6"/>
    <w:rsid w:val="00090A94"/>
    <w:rsid w:val="00090E2F"/>
    <w:rsid w:val="00090E5F"/>
    <w:rsid w:val="00090F35"/>
    <w:rsid w:val="00090F8E"/>
    <w:rsid w:val="00091058"/>
    <w:rsid w:val="00091400"/>
    <w:rsid w:val="00091585"/>
    <w:rsid w:val="000915A8"/>
    <w:rsid w:val="00091BA4"/>
    <w:rsid w:val="00091F0D"/>
    <w:rsid w:val="00092314"/>
    <w:rsid w:val="000923C9"/>
    <w:rsid w:val="00092847"/>
    <w:rsid w:val="00092C39"/>
    <w:rsid w:val="00092E75"/>
    <w:rsid w:val="00092F88"/>
    <w:rsid w:val="00092FBA"/>
    <w:rsid w:val="0009310C"/>
    <w:rsid w:val="0009333B"/>
    <w:rsid w:val="00093396"/>
    <w:rsid w:val="000937A0"/>
    <w:rsid w:val="0009381E"/>
    <w:rsid w:val="000938F9"/>
    <w:rsid w:val="00094005"/>
    <w:rsid w:val="0009412D"/>
    <w:rsid w:val="0009420D"/>
    <w:rsid w:val="000945EA"/>
    <w:rsid w:val="000946C6"/>
    <w:rsid w:val="0009471A"/>
    <w:rsid w:val="00094CE4"/>
    <w:rsid w:val="00094EA5"/>
    <w:rsid w:val="00094EAC"/>
    <w:rsid w:val="00095024"/>
    <w:rsid w:val="00095899"/>
    <w:rsid w:val="00095B85"/>
    <w:rsid w:val="000962C3"/>
    <w:rsid w:val="00096479"/>
    <w:rsid w:val="0009668F"/>
    <w:rsid w:val="000966FB"/>
    <w:rsid w:val="00096734"/>
    <w:rsid w:val="000968CC"/>
    <w:rsid w:val="0009760C"/>
    <w:rsid w:val="00097773"/>
    <w:rsid w:val="000977BF"/>
    <w:rsid w:val="00097FEE"/>
    <w:rsid w:val="000A048C"/>
    <w:rsid w:val="000A065C"/>
    <w:rsid w:val="000A094B"/>
    <w:rsid w:val="000A0D1E"/>
    <w:rsid w:val="000A0E9A"/>
    <w:rsid w:val="000A1287"/>
    <w:rsid w:val="000A1517"/>
    <w:rsid w:val="000A1F18"/>
    <w:rsid w:val="000A224E"/>
    <w:rsid w:val="000A261B"/>
    <w:rsid w:val="000A2872"/>
    <w:rsid w:val="000A288D"/>
    <w:rsid w:val="000A2ABC"/>
    <w:rsid w:val="000A2AE1"/>
    <w:rsid w:val="000A2DAC"/>
    <w:rsid w:val="000A2F43"/>
    <w:rsid w:val="000A3186"/>
    <w:rsid w:val="000A329B"/>
    <w:rsid w:val="000A3426"/>
    <w:rsid w:val="000A3A87"/>
    <w:rsid w:val="000A3D5D"/>
    <w:rsid w:val="000A3F08"/>
    <w:rsid w:val="000A42AA"/>
    <w:rsid w:val="000A4852"/>
    <w:rsid w:val="000A49FF"/>
    <w:rsid w:val="000A4AE2"/>
    <w:rsid w:val="000A4B5B"/>
    <w:rsid w:val="000A4C5C"/>
    <w:rsid w:val="000A4E61"/>
    <w:rsid w:val="000A4FA0"/>
    <w:rsid w:val="000A4FB4"/>
    <w:rsid w:val="000A5040"/>
    <w:rsid w:val="000A51DB"/>
    <w:rsid w:val="000A5213"/>
    <w:rsid w:val="000A56F1"/>
    <w:rsid w:val="000A5856"/>
    <w:rsid w:val="000A59B0"/>
    <w:rsid w:val="000A5A5E"/>
    <w:rsid w:val="000A5AD2"/>
    <w:rsid w:val="000A5B5A"/>
    <w:rsid w:val="000A5BDF"/>
    <w:rsid w:val="000A5F0F"/>
    <w:rsid w:val="000A5F89"/>
    <w:rsid w:val="000A60FB"/>
    <w:rsid w:val="000A6143"/>
    <w:rsid w:val="000A6712"/>
    <w:rsid w:val="000A68DA"/>
    <w:rsid w:val="000A70D6"/>
    <w:rsid w:val="000A71D7"/>
    <w:rsid w:val="000A72CB"/>
    <w:rsid w:val="000A77C4"/>
    <w:rsid w:val="000A7956"/>
    <w:rsid w:val="000A7C58"/>
    <w:rsid w:val="000B001C"/>
    <w:rsid w:val="000B01D7"/>
    <w:rsid w:val="000B0369"/>
    <w:rsid w:val="000B068A"/>
    <w:rsid w:val="000B06D2"/>
    <w:rsid w:val="000B0BD3"/>
    <w:rsid w:val="000B0D9C"/>
    <w:rsid w:val="000B1186"/>
    <w:rsid w:val="000B15DC"/>
    <w:rsid w:val="000B168C"/>
    <w:rsid w:val="000B1821"/>
    <w:rsid w:val="000B1962"/>
    <w:rsid w:val="000B1994"/>
    <w:rsid w:val="000B20AF"/>
    <w:rsid w:val="000B2139"/>
    <w:rsid w:val="000B358A"/>
    <w:rsid w:val="000B3B40"/>
    <w:rsid w:val="000B3CC9"/>
    <w:rsid w:val="000B4010"/>
    <w:rsid w:val="000B414C"/>
    <w:rsid w:val="000B41DD"/>
    <w:rsid w:val="000B4A26"/>
    <w:rsid w:val="000B4A67"/>
    <w:rsid w:val="000B4C1F"/>
    <w:rsid w:val="000B4D8E"/>
    <w:rsid w:val="000B5A59"/>
    <w:rsid w:val="000B64FF"/>
    <w:rsid w:val="000B66B0"/>
    <w:rsid w:val="000B67DE"/>
    <w:rsid w:val="000B6AC3"/>
    <w:rsid w:val="000B6D8B"/>
    <w:rsid w:val="000B6DE7"/>
    <w:rsid w:val="000B7070"/>
    <w:rsid w:val="000B7550"/>
    <w:rsid w:val="000B75FC"/>
    <w:rsid w:val="000B79CF"/>
    <w:rsid w:val="000B7A52"/>
    <w:rsid w:val="000B7C54"/>
    <w:rsid w:val="000B7DD3"/>
    <w:rsid w:val="000C0208"/>
    <w:rsid w:val="000C0A00"/>
    <w:rsid w:val="000C1921"/>
    <w:rsid w:val="000C1951"/>
    <w:rsid w:val="000C19B5"/>
    <w:rsid w:val="000C19C0"/>
    <w:rsid w:val="000C1A4E"/>
    <w:rsid w:val="000C1B08"/>
    <w:rsid w:val="000C2878"/>
    <w:rsid w:val="000C28AC"/>
    <w:rsid w:val="000C295E"/>
    <w:rsid w:val="000C2BD2"/>
    <w:rsid w:val="000C2C0B"/>
    <w:rsid w:val="000C3344"/>
    <w:rsid w:val="000C3551"/>
    <w:rsid w:val="000C35AE"/>
    <w:rsid w:val="000C35D1"/>
    <w:rsid w:val="000C39C9"/>
    <w:rsid w:val="000C39D8"/>
    <w:rsid w:val="000C3E43"/>
    <w:rsid w:val="000C4465"/>
    <w:rsid w:val="000C4481"/>
    <w:rsid w:val="000C4685"/>
    <w:rsid w:val="000C48B5"/>
    <w:rsid w:val="000C4B6E"/>
    <w:rsid w:val="000C4D84"/>
    <w:rsid w:val="000C5023"/>
    <w:rsid w:val="000C51C2"/>
    <w:rsid w:val="000C5481"/>
    <w:rsid w:val="000C56B0"/>
    <w:rsid w:val="000C5913"/>
    <w:rsid w:val="000C59D4"/>
    <w:rsid w:val="000C670F"/>
    <w:rsid w:val="000C673C"/>
    <w:rsid w:val="000C6749"/>
    <w:rsid w:val="000C682E"/>
    <w:rsid w:val="000C6F61"/>
    <w:rsid w:val="000C7343"/>
    <w:rsid w:val="000C7647"/>
    <w:rsid w:val="000C76CF"/>
    <w:rsid w:val="000C76E1"/>
    <w:rsid w:val="000C7740"/>
    <w:rsid w:val="000C7FF7"/>
    <w:rsid w:val="000D01A0"/>
    <w:rsid w:val="000D05E6"/>
    <w:rsid w:val="000D05EF"/>
    <w:rsid w:val="000D0A8F"/>
    <w:rsid w:val="000D0D69"/>
    <w:rsid w:val="000D0FB4"/>
    <w:rsid w:val="000D0FEA"/>
    <w:rsid w:val="000D1022"/>
    <w:rsid w:val="000D118B"/>
    <w:rsid w:val="000D11EA"/>
    <w:rsid w:val="000D13F7"/>
    <w:rsid w:val="000D1A1C"/>
    <w:rsid w:val="000D1B3E"/>
    <w:rsid w:val="000D1B59"/>
    <w:rsid w:val="000D1C30"/>
    <w:rsid w:val="000D1E94"/>
    <w:rsid w:val="000D23A5"/>
    <w:rsid w:val="000D2404"/>
    <w:rsid w:val="000D270A"/>
    <w:rsid w:val="000D277C"/>
    <w:rsid w:val="000D2B91"/>
    <w:rsid w:val="000D337A"/>
    <w:rsid w:val="000D3C16"/>
    <w:rsid w:val="000D3E5E"/>
    <w:rsid w:val="000D4059"/>
    <w:rsid w:val="000D4A3C"/>
    <w:rsid w:val="000D4D5B"/>
    <w:rsid w:val="000D5055"/>
    <w:rsid w:val="000D5268"/>
    <w:rsid w:val="000D5289"/>
    <w:rsid w:val="000D53E7"/>
    <w:rsid w:val="000D544F"/>
    <w:rsid w:val="000D54B9"/>
    <w:rsid w:val="000D54EF"/>
    <w:rsid w:val="000D5575"/>
    <w:rsid w:val="000D5861"/>
    <w:rsid w:val="000D5A8C"/>
    <w:rsid w:val="000D5EA2"/>
    <w:rsid w:val="000D606C"/>
    <w:rsid w:val="000D6123"/>
    <w:rsid w:val="000D660D"/>
    <w:rsid w:val="000D6643"/>
    <w:rsid w:val="000D67F6"/>
    <w:rsid w:val="000D6B32"/>
    <w:rsid w:val="000D6D93"/>
    <w:rsid w:val="000D6E6F"/>
    <w:rsid w:val="000D754D"/>
    <w:rsid w:val="000D758F"/>
    <w:rsid w:val="000E014A"/>
    <w:rsid w:val="000E019E"/>
    <w:rsid w:val="000E01C8"/>
    <w:rsid w:val="000E0585"/>
    <w:rsid w:val="000E0650"/>
    <w:rsid w:val="000E0692"/>
    <w:rsid w:val="000E074D"/>
    <w:rsid w:val="000E0861"/>
    <w:rsid w:val="000E0974"/>
    <w:rsid w:val="000E09FC"/>
    <w:rsid w:val="000E0A72"/>
    <w:rsid w:val="000E0C4C"/>
    <w:rsid w:val="000E1076"/>
    <w:rsid w:val="000E1478"/>
    <w:rsid w:val="000E17A5"/>
    <w:rsid w:val="000E1B27"/>
    <w:rsid w:val="000E1B8B"/>
    <w:rsid w:val="000E1D5A"/>
    <w:rsid w:val="000E1DC1"/>
    <w:rsid w:val="000E1E53"/>
    <w:rsid w:val="000E1F24"/>
    <w:rsid w:val="000E24B7"/>
    <w:rsid w:val="000E25AC"/>
    <w:rsid w:val="000E25EA"/>
    <w:rsid w:val="000E2CC4"/>
    <w:rsid w:val="000E2EF3"/>
    <w:rsid w:val="000E3170"/>
    <w:rsid w:val="000E379D"/>
    <w:rsid w:val="000E394C"/>
    <w:rsid w:val="000E3DA2"/>
    <w:rsid w:val="000E3E3E"/>
    <w:rsid w:val="000E3EA4"/>
    <w:rsid w:val="000E45C7"/>
    <w:rsid w:val="000E473D"/>
    <w:rsid w:val="000E4AD1"/>
    <w:rsid w:val="000E4B02"/>
    <w:rsid w:val="000E4C40"/>
    <w:rsid w:val="000E4E6B"/>
    <w:rsid w:val="000E4FF8"/>
    <w:rsid w:val="000E502E"/>
    <w:rsid w:val="000E5081"/>
    <w:rsid w:val="000E53E1"/>
    <w:rsid w:val="000E58F8"/>
    <w:rsid w:val="000E59DC"/>
    <w:rsid w:val="000E5F01"/>
    <w:rsid w:val="000E5F97"/>
    <w:rsid w:val="000E6116"/>
    <w:rsid w:val="000E6146"/>
    <w:rsid w:val="000E7513"/>
    <w:rsid w:val="000E756A"/>
    <w:rsid w:val="000E7D25"/>
    <w:rsid w:val="000E7D9C"/>
    <w:rsid w:val="000F0143"/>
    <w:rsid w:val="000F024A"/>
    <w:rsid w:val="000F0434"/>
    <w:rsid w:val="000F0BA3"/>
    <w:rsid w:val="000F14A6"/>
    <w:rsid w:val="000F1530"/>
    <w:rsid w:val="000F1A89"/>
    <w:rsid w:val="000F2131"/>
    <w:rsid w:val="000F2383"/>
    <w:rsid w:val="000F26EF"/>
    <w:rsid w:val="000F2B13"/>
    <w:rsid w:val="000F2E42"/>
    <w:rsid w:val="000F32CB"/>
    <w:rsid w:val="000F3457"/>
    <w:rsid w:val="000F352B"/>
    <w:rsid w:val="000F37E9"/>
    <w:rsid w:val="000F37FB"/>
    <w:rsid w:val="000F39CC"/>
    <w:rsid w:val="000F454B"/>
    <w:rsid w:val="000F4596"/>
    <w:rsid w:val="000F4673"/>
    <w:rsid w:val="000F46E1"/>
    <w:rsid w:val="000F4911"/>
    <w:rsid w:val="000F5152"/>
    <w:rsid w:val="000F520A"/>
    <w:rsid w:val="000F59C8"/>
    <w:rsid w:val="000F5A18"/>
    <w:rsid w:val="000F5A61"/>
    <w:rsid w:val="000F5ECD"/>
    <w:rsid w:val="000F6071"/>
    <w:rsid w:val="000F6115"/>
    <w:rsid w:val="000F6260"/>
    <w:rsid w:val="000F62EB"/>
    <w:rsid w:val="000F6AE8"/>
    <w:rsid w:val="000F6DBC"/>
    <w:rsid w:val="000F6DD2"/>
    <w:rsid w:val="000F6E69"/>
    <w:rsid w:val="000F73C5"/>
    <w:rsid w:val="000F73D9"/>
    <w:rsid w:val="000F743D"/>
    <w:rsid w:val="000F74C1"/>
    <w:rsid w:val="000F77BB"/>
    <w:rsid w:val="000F7A56"/>
    <w:rsid w:val="000F7AC1"/>
    <w:rsid w:val="000F7B8A"/>
    <w:rsid w:val="000F7EBB"/>
    <w:rsid w:val="000F7F18"/>
    <w:rsid w:val="00100169"/>
    <w:rsid w:val="00100316"/>
    <w:rsid w:val="0010042E"/>
    <w:rsid w:val="00100471"/>
    <w:rsid w:val="00100851"/>
    <w:rsid w:val="00100F58"/>
    <w:rsid w:val="001010FC"/>
    <w:rsid w:val="00101C0B"/>
    <w:rsid w:val="00101D1E"/>
    <w:rsid w:val="001021B3"/>
    <w:rsid w:val="001024FB"/>
    <w:rsid w:val="001026BD"/>
    <w:rsid w:val="00102844"/>
    <w:rsid w:val="00102B71"/>
    <w:rsid w:val="00102C2F"/>
    <w:rsid w:val="00102DD4"/>
    <w:rsid w:val="00102FB7"/>
    <w:rsid w:val="00103203"/>
    <w:rsid w:val="001032C5"/>
    <w:rsid w:val="00103916"/>
    <w:rsid w:val="001039D3"/>
    <w:rsid w:val="00103FDA"/>
    <w:rsid w:val="00104139"/>
    <w:rsid w:val="0010438E"/>
    <w:rsid w:val="0010448A"/>
    <w:rsid w:val="00104B43"/>
    <w:rsid w:val="00104B56"/>
    <w:rsid w:val="00104BED"/>
    <w:rsid w:val="00104E81"/>
    <w:rsid w:val="00105222"/>
    <w:rsid w:val="00105577"/>
    <w:rsid w:val="001055A9"/>
    <w:rsid w:val="0010563C"/>
    <w:rsid w:val="00105B91"/>
    <w:rsid w:val="00105DE7"/>
    <w:rsid w:val="00105EF9"/>
    <w:rsid w:val="001062A5"/>
    <w:rsid w:val="00106655"/>
    <w:rsid w:val="00106676"/>
    <w:rsid w:val="00106737"/>
    <w:rsid w:val="001067A9"/>
    <w:rsid w:val="0010681D"/>
    <w:rsid w:val="001071A1"/>
    <w:rsid w:val="00107508"/>
    <w:rsid w:val="00107681"/>
    <w:rsid w:val="00107806"/>
    <w:rsid w:val="00107A41"/>
    <w:rsid w:val="00107B7C"/>
    <w:rsid w:val="00107BE1"/>
    <w:rsid w:val="00107E66"/>
    <w:rsid w:val="0011054F"/>
    <w:rsid w:val="00110A91"/>
    <w:rsid w:val="00110C4E"/>
    <w:rsid w:val="00110C5C"/>
    <w:rsid w:val="0011102B"/>
    <w:rsid w:val="001111C7"/>
    <w:rsid w:val="00111510"/>
    <w:rsid w:val="0011176C"/>
    <w:rsid w:val="001118E8"/>
    <w:rsid w:val="00111B67"/>
    <w:rsid w:val="00111D08"/>
    <w:rsid w:val="00111E78"/>
    <w:rsid w:val="001120E3"/>
    <w:rsid w:val="00112A55"/>
    <w:rsid w:val="00112D07"/>
    <w:rsid w:val="00112DBD"/>
    <w:rsid w:val="001138CD"/>
    <w:rsid w:val="00114102"/>
    <w:rsid w:val="00114583"/>
    <w:rsid w:val="001147F1"/>
    <w:rsid w:val="00114D65"/>
    <w:rsid w:val="00114DF7"/>
    <w:rsid w:val="00114FA2"/>
    <w:rsid w:val="001151C3"/>
    <w:rsid w:val="001152B3"/>
    <w:rsid w:val="00115786"/>
    <w:rsid w:val="0011584D"/>
    <w:rsid w:val="00116417"/>
    <w:rsid w:val="0011662B"/>
    <w:rsid w:val="00116726"/>
    <w:rsid w:val="00116745"/>
    <w:rsid w:val="00116C2D"/>
    <w:rsid w:val="00116C85"/>
    <w:rsid w:val="00116E0F"/>
    <w:rsid w:val="00116FB4"/>
    <w:rsid w:val="00117201"/>
    <w:rsid w:val="001172C7"/>
    <w:rsid w:val="0011774A"/>
    <w:rsid w:val="001178C1"/>
    <w:rsid w:val="00117921"/>
    <w:rsid w:val="001179FE"/>
    <w:rsid w:val="00117AEF"/>
    <w:rsid w:val="00117B95"/>
    <w:rsid w:val="00117D58"/>
    <w:rsid w:val="00117FAA"/>
    <w:rsid w:val="0012012B"/>
    <w:rsid w:val="00120294"/>
    <w:rsid w:val="00120363"/>
    <w:rsid w:val="00121299"/>
    <w:rsid w:val="0012194E"/>
    <w:rsid w:val="00121B4E"/>
    <w:rsid w:val="00121BA7"/>
    <w:rsid w:val="00121F9A"/>
    <w:rsid w:val="00121FE3"/>
    <w:rsid w:val="001223C5"/>
    <w:rsid w:val="0012240C"/>
    <w:rsid w:val="00122491"/>
    <w:rsid w:val="001225DB"/>
    <w:rsid w:val="0012274E"/>
    <w:rsid w:val="0012281A"/>
    <w:rsid w:val="00122AC0"/>
    <w:rsid w:val="00122DEE"/>
    <w:rsid w:val="00122FFA"/>
    <w:rsid w:val="0012317B"/>
    <w:rsid w:val="001234A7"/>
    <w:rsid w:val="00123572"/>
    <w:rsid w:val="00123664"/>
    <w:rsid w:val="00123818"/>
    <w:rsid w:val="00124147"/>
    <w:rsid w:val="00124156"/>
    <w:rsid w:val="001244E9"/>
    <w:rsid w:val="00124533"/>
    <w:rsid w:val="00124C25"/>
    <w:rsid w:val="00124E25"/>
    <w:rsid w:val="00124E7C"/>
    <w:rsid w:val="00125261"/>
    <w:rsid w:val="0012572C"/>
    <w:rsid w:val="0012588D"/>
    <w:rsid w:val="00125CF9"/>
    <w:rsid w:val="001260FC"/>
    <w:rsid w:val="00126108"/>
    <w:rsid w:val="00126220"/>
    <w:rsid w:val="001262B7"/>
    <w:rsid w:val="0012635D"/>
    <w:rsid w:val="00126B14"/>
    <w:rsid w:val="00126BF8"/>
    <w:rsid w:val="00126F26"/>
    <w:rsid w:val="00126FF9"/>
    <w:rsid w:val="00127204"/>
    <w:rsid w:val="0012758F"/>
    <w:rsid w:val="0012793F"/>
    <w:rsid w:val="00127966"/>
    <w:rsid w:val="00127A9E"/>
    <w:rsid w:val="00127D16"/>
    <w:rsid w:val="00127DD2"/>
    <w:rsid w:val="00127E3D"/>
    <w:rsid w:val="0013007E"/>
    <w:rsid w:val="0013026A"/>
    <w:rsid w:val="00130770"/>
    <w:rsid w:val="001307CA"/>
    <w:rsid w:val="00130D14"/>
    <w:rsid w:val="00130D42"/>
    <w:rsid w:val="00130FE1"/>
    <w:rsid w:val="00131280"/>
    <w:rsid w:val="001312F1"/>
    <w:rsid w:val="0013140E"/>
    <w:rsid w:val="001314F3"/>
    <w:rsid w:val="00131657"/>
    <w:rsid w:val="00131D42"/>
    <w:rsid w:val="00131E11"/>
    <w:rsid w:val="00131ED8"/>
    <w:rsid w:val="00131F04"/>
    <w:rsid w:val="001321F7"/>
    <w:rsid w:val="00132262"/>
    <w:rsid w:val="0013279D"/>
    <w:rsid w:val="00132A8A"/>
    <w:rsid w:val="00132FBA"/>
    <w:rsid w:val="001330D4"/>
    <w:rsid w:val="0013329C"/>
    <w:rsid w:val="001334D0"/>
    <w:rsid w:val="001336CC"/>
    <w:rsid w:val="0013373A"/>
    <w:rsid w:val="001337E9"/>
    <w:rsid w:val="00133AA6"/>
    <w:rsid w:val="00134ABD"/>
    <w:rsid w:val="00134AF7"/>
    <w:rsid w:val="00134BEA"/>
    <w:rsid w:val="00134FCC"/>
    <w:rsid w:val="00135035"/>
    <w:rsid w:val="00135076"/>
    <w:rsid w:val="00135392"/>
    <w:rsid w:val="00135C63"/>
    <w:rsid w:val="00135F1E"/>
    <w:rsid w:val="00135F8F"/>
    <w:rsid w:val="00136076"/>
    <w:rsid w:val="00136871"/>
    <w:rsid w:val="00136C8B"/>
    <w:rsid w:val="00137052"/>
    <w:rsid w:val="00137076"/>
    <w:rsid w:val="00137B47"/>
    <w:rsid w:val="00137C08"/>
    <w:rsid w:val="00137CFF"/>
    <w:rsid w:val="00140024"/>
    <w:rsid w:val="001400E0"/>
    <w:rsid w:val="00140160"/>
    <w:rsid w:val="00140935"/>
    <w:rsid w:val="00140A2C"/>
    <w:rsid w:val="00140A60"/>
    <w:rsid w:val="00140AC4"/>
    <w:rsid w:val="00140F9B"/>
    <w:rsid w:val="0014134F"/>
    <w:rsid w:val="00141471"/>
    <w:rsid w:val="001415BA"/>
    <w:rsid w:val="0014175E"/>
    <w:rsid w:val="00141C6B"/>
    <w:rsid w:val="00141CF2"/>
    <w:rsid w:val="00141CFB"/>
    <w:rsid w:val="0014200F"/>
    <w:rsid w:val="00142F50"/>
    <w:rsid w:val="001431D8"/>
    <w:rsid w:val="001432E8"/>
    <w:rsid w:val="0014330B"/>
    <w:rsid w:val="00143350"/>
    <w:rsid w:val="001438E2"/>
    <w:rsid w:val="00143BAA"/>
    <w:rsid w:val="00144015"/>
    <w:rsid w:val="00144165"/>
    <w:rsid w:val="0014484B"/>
    <w:rsid w:val="00144DD9"/>
    <w:rsid w:val="001451A6"/>
    <w:rsid w:val="00145487"/>
    <w:rsid w:val="001454C3"/>
    <w:rsid w:val="00145904"/>
    <w:rsid w:val="00145EF5"/>
    <w:rsid w:val="00146287"/>
    <w:rsid w:val="0014649B"/>
    <w:rsid w:val="00146761"/>
    <w:rsid w:val="001468F6"/>
    <w:rsid w:val="00146E09"/>
    <w:rsid w:val="0014777E"/>
    <w:rsid w:val="00147881"/>
    <w:rsid w:val="001478C6"/>
    <w:rsid w:val="00147CA3"/>
    <w:rsid w:val="00147D4E"/>
    <w:rsid w:val="00150264"/>
    <w:rsid w:val="001502BD"/>
    <w:rsid w:val="00150576"/>
    <w:rsid w:val="001506DF"/>
    <w:rsid w:val="00150936"/>
    <w:rsid w:val="00150AE2"/>
    <w:rsid w:val="00150D73"/>
    <w:rsid w:val="00150FD2"/>
    <w:rsid w:val="00151356"/>
    <w:rsid w:val="00151A77"/>
    <w:rsid w:val="001521C3"/>
    <w:rsid w:val="0015243E"/>
    <w:rsid w:val="001524FC"/>
    <w:rsid w:val="0015286A"/>
    <w:rsid w:val="00152DF6"/>
    <w:rsid w:val="00153644"/>
    <w:rsid w:val="0015369D"/>
    <w:rsid w:val="00153A8A"/>
    <w:rsid w:val="00153C49"/>
    <w:rsid w:val="00153DFE"/>
    <w:rsid w:val="00153DFF"/>
    <w:rsid w:val="0015401C"/>
    <w:rsid w:val="001541B8"/>
    <w:rsid w:val="0015449E"/>
    <w:rsid w:val="001545D3"/>
    <w:rsid w:val="0015476D"/>
    <w:rsid w:val="001548AC"/>
    <w:rsid w:val="00154DDF"/>
    <w:rsid w:val="001551CE"/>
    <w:rsid w:val="001552AC"/>
    <w:rsid w:val="00155C0A"/>
    <w:rsid w:val="00155EA3"/>
    <w:rsid w:val="00155F4D"/>
    <w:rsid w:val="001561EF"/>
    <w:rsid w:val="0015666D"/>
    <w:rsid w:val="00156CAE"/>
    <w:rsid w:val="00156E2A"/>
    <w:rsid w:val="001572F0"/>
    <w:rsid w:val="001573ED"/>
    <w:rsid w:val="00157673"/>
    <w:rsid w:val="0015784C"/>
    <w:rsid w:val="00157A86"/>
    <w:rsid w:val="00157EC5"/>
    <w:rsid w:val="00157FB5"/>
    <w:rsid w:val="00160465"/>
    <w:rsid w:val="0016082A"/>
    <w:rsid w:val="00160A9E"/>
    <w:rsid w:val="00160F15"/>
    <w:rsid w:val="001618A8"/>
    <w:rsid w:val="00161C68"/>
    <w:rsid w:val="00161D94"/>
    <w:rsid w:val="00161E53"/>
    <w:rsid w:val="00161F98"/>
    <w:rsid w:val="00162281"/>
    <w:rsid w:val="00162330"/>
    <w:rsid w:val="00162356"/>
    <w:rsid w:val="001623A3"/>
    <w:rsid w:val="001627B4"/>
    <w:rsid w:val="00162A08"/>
    <w:rsid w:val="00162B6C"/>
    <w:rsid w:val="00162EF5"/>
    <w:rsid w:val="0016319A"/>
    <w:rsid w:val="001635A2"/>
    <w:rsid w:val="00163BCF"/>
    <w:rsid w:val="00163FE5"/>
    <w:rsid w:val="00164008"/>
    <w:rsid w:val="001644FB"/>
    <w:rsid w:val="0016472B"/>
    <w:rsid w:val="00164B9A"/>
    <w:rsid w:val="00164CAC"/>
    <w:rsid w:val="00165155"/>
    <w:rsid w:val="0016532F"/>
    <w:rsid w:val="001653C0"/>
    <w:rsid w:val="00165585"/>
    <w:rsid w:val="0016572A"/>
    <w:rsid w:val="001657AF"/>
    <w:rsid w:val="001657BF"/>
    <w:rsid w:val="00165ACA"/>
    <w:rsid w:val="00165B76"/>
    <w:rsid w:val="00165BAA"/>
    <w:rsid w:val="00166137"/>
    <w:rsid w:val="001661BA"/>
    <w:rsid w:val="0016623A"/>
    <w:rsid w:val="001663B3"/>
    <w:rsid w:val="001666EC"/>
    <w:rsid w:val="00166DBB"/>
    <w:rsid w:val="00167100"/>
    <w:rsid w:val="0016718E"/>
    <w:rsid w:val="0016720F"/>
    <w:rsid w:val="00167260"/>
    <w:rsid w:val="00167F64"/>
    <w:rsid w:val="001702E6"/>
    <w:rsid w:val="001702E8"/>
    <w:rsid w:val="0017067A"/>
    <w:rsid w:val="00170867"/>
    <w:rsid w:val="00170DB7"/>
    <w:rsid w:val="00171055"/>
    <w:rsid w:val="001712ED"/>
    <w:rsid w:val="00171459"/>
    <w:rsid w:val="0017145B"/>
    <w:rsid w:val="001714DF"/>
    <w:rsid w:val="001716C4"/>
    <w:rsid w:val="00171A03"/>
    <w:rsid w:val="00171C44"/>
    <w:rsid w:val="00171C4B"/>
    <w:rsid w:val="00171EA0"/>
    <w:rsid w:val="00171F5A"/>
    <w:rsid w:val="00172206"/>
    <w:rsid w:val="00172381"/>
    <w:rsid w:val="0017268B"/>
    <w:rsid w:val="00172AE6"/>
    <w:rsid w:val="00172B5B"/>
    <w:rsid w:val="00173755"/>
    <w:rsid w:val="0017378F"/>
    <w:rsid w:val="001738EE"/>
    <w:rsid w:val="0017394C"/>
    <w:rsid w:val="00173CC3"/>
    <w:rsid w:val="00173DCB"/>
    <w:rsid w:val="00173E23"/>
    <w:rsid w:val="001742EE"/>
    <w:rsid w:val="001742F2"/>
    <w:rsid w:val="00174510"/>
    <w:rsid w:val="00174A57"/>
    <w:rsid w:val="00174FA9"/>
    <w:rsid w:val="00175630"/>
    <w:rsid w:val="00175A3E"/>
    <w:rsid w:val="00175B23"/>
    <w:rsid w:val="00175C38"/>
    <w:rsid w:val="00176ABA"/>
    <w:rsid w:val="00176B98"/>
    <w:rsid w:val="00176F48"/>
    <w:rsid w:val="00176F6B"/>
    <w:rsid w:val="001771FA"/>
    <w:rsid w:val="001773CA"/>
    <w:rsid w:val="001774F6"/>
    <w:rsid w:val="00177598"/>
    <w:rsid w:val="00177AD0"/>
    <w:rsid w:val="00177AF0"/>
    <w:rsid w:val="001805C4"/>
    <w:rsid w:val="00180D72"/>
    <w:rsid w:val="00180E75"/>
    <w:rsid w:val="0018116A"/>
    <w:rsid w:val="001811D4"/>
    <w:rsid w:val="001817C7"/>
    <w:rsid w:val="00181A59"/>
    <w:rsid w:val="001821F0"/>
    <w:rsid w:val="0018257D"/>
    <w:rsid w:val="001826D9"/>
    <w:rsid w:val="00182746"/>
    <w:rsid w:val="00182A08"/>
    <w:rsid w:val="00182DDC"/>
    <w:rsid w:val="0018303F"/>
    <w:rsid w:val="001834CE"/>
    <w:rsid w:val="0018371B"/>
    <w:rsid w:val="00183808"/>
    <w:rsid w:val="0018389E"/>
    <w:rsid w:val="00183B06"/>
    <w:rsid w:val="00184A40"/>
    <w:rsid w:val="00184B31"/>
    <w:rsid w:val="00184C3E"/>
    <w:rsid w:val="00184C41"/>
    <w:rsid w:val="00184F0D"/>
    <w:rsid w:val="001853CB"/>
    <w:rsid w:val="00185544"/>
    <w:rsid w:val="001859BF"/>
    <w:rsid w:val="00185F70"/>
    <w:rsid w:val="00186119"/>
    <w:rsid w:val="00186222"/>
    <w:rsid w:val="00186314"/>
    <w:rsid w:val="001869A9"/>
    <w:rsid w:val="00186C9B"/>
    <w:rsid w:val="0018742E"/>
    <w:rsid w:val="001874B1"/>
    <w:rsid w:val="001875C2"/>
    <w:rsid w:val="00187655"/>
    <w:rsid w:val="0018781A"/>
    <w:rsid w:val="00187973"/>
    <w:rsid w:val="0019007C"/>
    <w:rsid w:val="001905E1"/>
    <w:rsid w:val="001906A0"/>
    <w:rsid w:val="001906C3"/>
    <w:rsid w:val="00190841"/>
    <w:rsid w:val="0019098A"/>
    <w:rsid w:val="00190B42"/>
    <w:rsid w:val="00190BA2"/>
    <w:rsid w:val="00190EC2"/>
    <w:rsid w:val="00190FD2"/>
    <w:rsid w:val="00191100"/>
    <w:rsid w:val="001912F6"/>
    <w:rsid w:val="00191478"/>
    <w:rsid w:val="00191730"/>
    <w:rsid w:val="00191739"/>
    <w:rsid w:val="001918F5"/>
    <w:rsid w:val="00191915"/>
    <w:rsid w:val="001923B5"/>
    <w:rsid w:val="0019247D"/>
    <w:rsid w:val="00192689"/>
    <w:rsid w:val="0019285B"/>
    <w:rsid w:val="00192FF3"/>
    <w:rsid w:val="00193054"/>
    <w:rsid w:val="001930E0"/>
    <w:rsid w:val="0019322A"/>
    <w:rsid w:val="00193825"/>
    <w:rsid w:val="00193C1E"/>
    <w:rsid w:val="00193DF3"/>
    <w:rsid w:val="00193ED9"/>
    <w:rsid w:val="00193F03"/>
    <w:rsid w:val="00193F41"/>
    <w:rsid w:val="0019435F"/>
    <w:rsid w:val="001943F6"/>
    <w:rsid w:val="00194405"/>
    <w:rsid w:val="0019443B"/>
    <w:rsid w:val="00194759"/>
    <w:rsid w:val="00194C2B"/>
    <w:rsid w:val="00194D29"/>
    <w:rsid w:val="00195163"/>
    <w:rsid w:val="00195481"/>
    <w:rsid w:val="0019551F"/>
    <w:rsid w:val="001956C3"/>
    <w:rsid w:val="00195C92"/>
    <w:rsid w:val="00195CF0"/>
    <w:rsid w:val="00195E5C"/>
    <w:rsid w:val="00196139"/>
    <w:rsid w:val="00196290"/>
    <w:rsid w:val="00196370"/>
    <w:rsid w:val="001963E4"/>
    <w:rsid w:val="00196612"/>
    <w:rsid w:val="00196BF3"/>
    <w:rsid w:val="00196CDC"/>
    <w:rsid w:val="00196D07"/>
    <w:rsid w:val="00196D0D"/>
    <w:rsid w:val="00196E11"/>
    <w:rsid w:val="00196E21"/>
    <w:rsid w:val="00197026"/>
    <w:rsid w:val="00197301"/>
    <w:rsid w:val="001973B4"/>
    <w:rsid w:val="001A0362"/>
    <w:rsid w:val="001A0F24"/>
    <w:rsid w:val="001A1126"/>
    <w:rsid w:val="001A1329"/>
    <w:rsid w:val="001A1461"/>
    <w:rsid w:val="001A1527"/>
    <w:rsid w:val="001A15A7"/>
    <w:rsid w:val="001A161D"/>
    <w:rsid w:val="001A1896"/>
    <w:rsid w:val="001A18DA"/>
    <w:rsid w:val="001A1FB0"/>
    <w:rsid w:val="001A2777"/>
    <w:rsid w:val="001A2BC5"/>
    <w:rsid w:val="001A2C3C"/>
    <w:rsid w:val="001A2F3E"/>
    <w:rsid w:val="001A316B"/>
    <w:rsid w:val="001A3574"/>
    <w:rsid w:val="001A36FB"/>
    <w:rsid w:val="001A3C7A"/>
    <w:rsid w:val="001A3D4F"/>
    <w:rsid w:val="001A3F29"/>
    <w:rsid w:val="001A433F"/>
    <w:rsid w:val="001A45E8"/>
    <w:rsid w:val="001A4AA5"/>
    <w:rsid w:val="001A4BCE"/>
    <w:rsid w:val="001A4E76"/>
    <w:rsid w:val="001A4EC2"/>
    <w:rsid w:val="001A4EEA"/>
    <w:rsid w:val="001A4FD4"/>
    <w:rsid w:val="001A51B8"/>
    <w:rsid w:val="001A5713"/>
    <w:rsid w:val="001A57BF"/>
    <w:rsid w:val="001A58A0"/>
    <w:rsid w:val="001A5AD9"/>
    <w:rsid w:val="001A5B09"/>
    <w:rsid w:val="001A5E8D"/>
    <w:rsid w:val="001A5EBC"/>
    <w:rsid w:val="001A5F6B"/>
    <w:rsid w:val="001A5F85"/>
    <w:rsid w:val="001A62BD"/>
    <w:rsid w:val="001A6967"/>
    <w:rsid w:val="001A76BB"/>
    <w:rsid w:val="001A782B"/>
    <w:rsid w:val="001A7925"/>
    <w:rsid w:val="001A7A15"/>
    <w:rsid w:val="001B0069"/>
    <w:rsid w:val="001B051F"/>
    <w:rsid w:val="001B058B"/>
    <w:rsid w:val="001B069A"/>
    <w:rsid w:val="001B0E51"/>
    <w:rsid w:val="001B0E60"/>
    <w:rsid w:val="001B0FFA"/>
    <w:rsid w:val="001B1068"/>
    <w:rsid w:val="001B135D"/>
    <w:rsid w:val="001B14C0"/>
    <w:rsid w:val="001B1635"/>
    <w:rsid w:val="001B1822"/>
    <w:rsid w:val="001B18D1"/>
    <w:rsid w:val="001B18ED"/>
    <w:rsid w:val="001B1A7D"/>
    <w:rsid w:val="001B1B0F"/>
    <w:rsid w:val="001B1C10"/>
    <w:rsid w:val="001B1DD3"/>
    <w:rsid w:val="001B215B"/>
    <w:rsid w:val="001B2647"/>
    <w:rsid w:val="001B28BB"/>
    <w:rsid w:val="001B2B6E"/>
    <w:rsid w:val="001B31B2"/>
    <w:rsid w:val="001B358B"/>
    <w:rsid w:val="001B362C"/>
    <w:rsid w:val="001B3D44"/>
    <w:rsid w:val="001B4169"/>
    <w:rsid w:val="001B427A"/>
    <w:rsid w:val="001B438C"/>
    <w:rsid w:val="001B45E4"/>
    <w:rsid w:val="001B481F"/>
    <w:rsid w:val="001B49F1"/>
    <w:rsid w:val="001B4B81"/>
    <w:rsid w:val="001B4DAF"/>
    <w:rsid w:val="001B4DC2"/>
    <w:rsid w:val="001B50D5"/>
    <w:rsid w:val="001B52D2"/>
    <w:rsid w:val="001B5ED4"/>
    <w:rsid w:val="001B5F72"/>
    <w:rsid w:val="001B63C6"/>
    <w:rsid w:val="001B64F5"/>
    <w:rsid w:val="001B66C0"/>
    <w:rsid w:val="001B676C"/>
    <w:rsid w:val="001B6B91"/>
    <w:rsid w:val="001B6CA6"/>
    <w:rsid w:val="001B6F74"/>
    <w:rsid w:val="001B70DC"/>
    <w:rsid w:val="001B70DF"/>
    <w:rsid w:val="001B7160"/>
    <w:rsid w:val="001B76CB"/>
    <w:rsid w:val="001B7C08"/>
    <w:rsid w:val="001B7D9D"/>
    <w:rsid w:val="001C0318"/>
    <w:rsid w:val="001C0499"/>
    <w:rsid w:val="001C0675"/>
    <w:rsid w:val="001C0D36"/>
    <w:rsid w:val="001C0D7B"/>
    <w:rsid w:val="001C0D8D"/>
    <w:rsid w:val="001C146E"/>
    <w:rsid w:val="001C1F3D"/>
    <w:rsid w:val="001C210D"/>
    <w:rsid w:val="001C211D"/>
    <w:rsid w:val="001C21BE"/>
    <w:rsid w:val="001C22F2"/>
    <w:rsid w:val="001C2594"/>
    <w:rsid w:val="001C2878"/>
    <w:rsid w:val="001C3266"/>
    <w:rsid w:val="001C3492"/>
    <w:rsid w:val="001C3510"/>
    <w:rsid w:val="001C35C3"/>
    <w:rsid w:val="001C369A"/>
    <w:rsid w:val="001C36A7"/>
    <w:rsid w:val="001C39CE"/>
    <w:rsid w:val="001C39FD"/>
    <w:rsid w:val="001C3DF0"/>
    <w:rsid w:val="001C4213"/>
    <w:rsid w:val="001C458D"/>
    <w:rsid w:val="001C4795"/>
    <w:rsid w:val="001C4D63"/>
    <w:rsid w:val="001C4F04"/>
    <w:rsid w:val="001C5513"/>
    <w:rsid w:val="001C567C"/>
    <w:rsid w:val="001C577F"/>
    <w:rsid w:val="001C597D"/>
    <w:rsid w:val="001C5AFC"/>
    <w:rsid w:val="001C5B87"/>
    <w:rsid w:val="001C5C49"/>
    <w:rsid w:val="001C5D87"/>
    <w:rsid w:val="001C5F02"/>
    <w:rsid w:val="001C5F08"/>
    <w:rsid w:val="001C615E"/>
    <w:rsid w:val="001C62FB"/>
    <w:rsid w:val="001C63D1"/>
    <w:rsid w:val="001C64C6"/>
    <w:rsid w:val="001C68C3"/>
    <w:rsid w:val="001C6D17"/>
    <w:rsid w:val="001C6F41"/>
    <w:rsid w:val="001C7054"/>
    <w:rsid w:val="001C7126"/>
    <w:rsid w:val="001C7229"/>
    <w:rsid w:val="001C7444"/>
    <w:rsid w:val="001C7577"/>
    <w:rsid w:val="001C7A56"/>
    <w:rsid w:val="001C7AF8"/>
    <w:rsid w:val="001D0152"/>
    <w:rsid w:val="001D02F6"/>
    <w:rsid w:val="001D0626"/>
    <w:rsid w:val="001D08FA"/>
    <w:rsid w:val="001D0918"/>
    <w:rsid w:val="001D09C6"/>
    <w:rsid w:val="001D0A46"/>
    <w:rsid w:val="001D0D26"/>
    <w:rsid w:val="001D11A4"/>
    <w:rsid w:val="001D159C"/>
    <w:rsid w:val="001D168F"/>
    <w:rsid w:val="001D1751"/>
    <w:rsid w:val="001D1993"/>
    <w:rsid w:val="001D19FD"/>
    <w:rsid w:val="001D20FF"/>
    <w:rsid w:val="001D2796"/>
    <w:rsid w:val="001D2990"/>
    <w:rsid w:val="001D2A8E"/>
    <w:rsid w:val="001D2B31"/>
    <w:rsid w:val="001D3187"/>
    <w:rsid w:val="001D345E"/>
    <w:rsid w:val="001D3491"/>
    <w:rsid w:val="001D3681"/>
    <w:rsid w:val="001D396B"/>
    <w:rsid w:val="001D3D32"/>
    <w:rsid w:val="001D4225"/>
    <w:rsid w:val="001D49ED"/>
    <w:rsid w:val="001D4CAC"/>
    <w:rsid w:val="001D4D29"/>
    <w:rsid w:val="001D4D45"/>
    <w:rsid w:val="001D4DD3"/>
    <w:rsid w:val="001D4DE6"/>
    <w:rsid w:val="001D5012"/>
    <w:rsid w:val="001D52BE"/>
    <w:rsid w:val="001D5319"/>
    <w:rsid w:val="001D536B"/>
    <w:rsid w:val="001D55BB"/>
    <w:rsid w:val="001D57D8"/>
    <w:rsid w:val="001D5899"/>
    <w:rsid w:val="001D66A6"/>
    <w:rsid w:val="001D6CC0"/>
    <w:rsid w:val="001D7066"/>
    <w:rsid w:val="001D710D"/>
    <w:rsid w:val="001D71D9"/>
    <w:rsid w:val="001D73C0"/>
    <w:rsid w:val="001D76F2"/>
    <w:rsid w:val="001D78B1"/>
    <w:rsid w:val="001D7DBB"/>
    <w:rsid w:val="001E0285"/>
    <w:rsid w:val="001E0681"/>
    <w:rsid w:val="001E0F49"/>
    <w:rsid w:val="001E0F6C"/>
    <w:rsid w:val="001E0FAE"/>
    <w:rsid w:val="001E1022"/>
    <w:rsid w:val="001E1464"/>
    <w:rsid w:val="001E1684"/>
    <w:rsid w:val="001E1713"/>
    <w:rsid w:val="001E2055"/>
    <w:rsid w:val="001E2133"/>
    <w:rsid w:val="001E25B2"/>
    <w:rsid w:val="001E2B18"/>
    <w:rsid w:val="001E2EA6"/>
    <w:rsid w:val="001E303A"/>
    <w:rsid w:val="001E3407"/>
    <w:rsid w:val="001E3854"/>
    <w:rsid w:val="001E3C9F"/>
    <w:rsid w:val="001E3EE7"/>
    <w:rsid w:val="001E409C"/>
    <w:rsid w:val="001E4746"/>
    <w:rsid w:val="001E47B5"/>
    <w:rsid w:val="001E4828"/>
    <w:rsid w:val="001E4A7A"/>
    <w:rsid w:val="001E4D91"/>
    <w:rsid w:val="001E512B"/>
    <w:rsid w:val="001E5D54"/>
    <w:rsid w:val="001E5D99"/>
    <w:rsid w:val="001E628E"/>
    <w:rsid w:val="001E67B5"/>
    <w:rsid w:val="001E6965"/>
    <w:rsid w:val="001E6AD3"/>
    <w:rsid w:val="001E6FB9"/>
    <w:rsid w:val="001E7165"/>
    <w:rsid w:val="001E71D1"/>
    <w:rsid w:val="001E7595"/>
    <w:rsid w:val="001E7605"/>
    <w:rsid w:val="001E7B39"/>
    <w:rsid w:val="001E7D77"/>
    <w:rsid w:val="001E7F9F"/>
    <w:rsid w:val="001F03C8"/>
    <w:rsid w:val="001F0932"/>
    <w:rsid w:val="001F0B74"/>
    <w:rsid w:val="001F0C2C"/>
    <w:rsid w:val="001F0D0B"/>
    <w:rsid w:val="001F0DB7"/>
    <w:rsid w:val="001F0E8F"/>
    <w:rsid w:val="001F0FFD"/>
    <w:rsid w:val="001F1699"/>
    <w:rsid w:val="001F189F"/>
    <w:rsid w:val="001F23EF"/>
    <w:rsid w:val="001F27BF"/>
    <w:rsid w:val="001F2BEA"/>
    <w:rsid w:val="001F32CE"/>
    <w:rsid w:val="001F37BD"/>
    <w:rsid w:val="001F37C0"/>
    <w:rsid w:val="001F3D1E"/>
    <w:rsid w:val="001F437E"/>
    <w:rsid w:val="001F43A6"/>
    <w:rsid w:val="001F45B0"/>
    <w:rsid w:val="001F46C0"/>
    <w:rsid w:val="001F483C"/>
    <w:rsid w:val="001F4A4E"/>
    <w:rsid w:val="001F4AC9"/>
    <w:rsid w:val="001F4D3E"/>
    <w:rsid w:val="001F50ED"/>
    <w:rsid w:val="001F58F9"/>
    <w:rsid w:val="001F590C"/>
    <w:rsid w:val="001F5B0E"/>
    <w:rsid w:val="001F6383"/>
    <w:rsid w:val="001F6A1D"/>
    <w:rsid w:val="001F7024"/>
    <w:rsid w:val="001F703E"/>
    <w:rsid w:val="001F71EC"/>
    <w:rsid w:val="001F72B4"/>
    <w:rsid w:val="001F7428"/>
    <w:rsid w:val="001F74E7"/>
    <w:rsid w:val="001F7D71"/>
    <w:rsid w:val="00200210"/>
    <w:rsid w:val="002007AF"/>
    <w:rsid w:val="002008C8"/>
    <w:rsid w:val="0020098C"/>
    <w:rsid w:val="00200A71"/>
    <w:rsid w:val="00200D46"/>
    <w:rsid w:val="00200E86"/>
    <w:rsid w:val="00201061"/>
    <w:rsid w:val="00201284"/>
    <w:rsid w:val="00201897"/>
    <w:rsid w:val="00201D9D"/>
    <w:rsid w:val="0020282A"/>
    <w:rsid w:val="00202FF5"/>
    <w:rsid w:val="00202FFD"/>
    <w:rsid w:val="00203138"/>
    <w:rsid w:val="00203389"/>
    <w:rsid w:val="002034F2"/>
    <w:rsid w:val="002038CC"/>
    <w:rsid w:val="002040EC"/>
    <w:rsid w:val="0020415C"/>
    <w:rsid w:val="00204405"/>
    <w:rsid w:val="002047A9"/>
    <w:rsid w:val="0020484E"/>
    <w:rsid w:val="00204C2A"/>
    <w:rsid w:val="00204F62"/>
    <w:rsid w:val="00204F9E"/>
    <w:rsid w:val="002052D9"/>
    <w:rsid w:val="002052F0"/>
    <w:rsid w:val="00205A34"/>
    <w:rsid w:val="00205B11"/>
    <w:rsid w:val="00205EA8"/>
    <w:rsid w:val="00206269"/>
    <w:rsid w:val="002062CA"/>
    <w:rsid w:val="00206351"/>
    <w:rsid w:val="002067A2"/>
    <w:rsid w:val="00206834"/>
    <w:rsid w:val="00206878"/>
    <w:rsid w:val="0020694F"/>
    <w:rsid w:val="00206A75"/>
    <w:rsid w:val="00206C32"/>
    <w:rsid w:val="002079F1"/>
    <w:rsid w:val="00207A8F"/>
    <w:rsid w:val="00207DC0"/>
    <w:rsid w:val="002109CE"/>
    <w:rsid w:val="002113A3"/>
    <w:rsid w:val="00211725"/>
    <w:rsid w:val="0021176A"/>
    <w:rsid w:val="00211BC1"/>
    <w:rsid w:val="00211C02"/>
    <w:rsid w:val="00211D4E"/>
    <w:rsid w:val="00211EDF"/>
    <w:rsid w:val="002122F6"/>
    <w:rsid w:val="002126B4"/>
    <w:rsid w:val="002127EC"/>
    <w:rsid w:val="002130ED"/>
    <w:rsid w:val="002132CE"/>
    <w:rsid w:val="002133EC"/>
    <w:rsid w:val="00213B15"/>
    <w:rsid w:val="00213B70"/>
    <w:rsid w:val="002140E2"/>
    <w:rsid w:val="002144E4"/>
    <w:rsid w:val="0021486E"/>
    <w:rsid w:val="0021492F"/>
    <w:rsid w:val="00214B79"/>
    <w:rsid w:val="0021534D"/>
    <w:rsid w:val="00215562"/>
    <w:rsid w:val="00215600"/>
    <w:rsid w:val="00215B4D"/>
    <w:rsid w:val="00215C63"/>
    <w:rsid w:val="0021619A"/>
    <w:rsid w:val="00216437"/>
    <w:rsid w:val="00216579"/>
    <w:rsid w:val="00216842"/>
    <w:rsid w:val="002169BA"/>
    <w:rsid w:val="00216A35"/>
    <w:rsid w:val="00216AF8"/>
    <w:rsid w:val="00216C83"/>
    <w:rsid w:val="00216D5D"/>
    <w:rsid w:val="00216DD3"/>
    <w:rsid w:val="00216F33"/>
    <w:rsid w:val="00216FFE"/>
    <w:rsid w:val="002174D6"/>
    <w:rsid w:val="00217653"/>
    <w:rsid w:val="002179B8"/>
    <w:rsid w:val="00220046"/>
    <w:rsid w:val="002203CC"/>
    <w:rsid w:val="002203DD"/>
    <w:rsid w:val="00220483"/>
    <w:rsid w:val="002204DB"/>
    <w:rsid w:val="00220770"/>
    <w:rsid w:val="00220A16"/>
    <w:rsid w:val="00220E82"/>
    <w:rsid w:val="0022101C"/>
    <w:rsid w:val="002218F2"/>
    <w:rsid w:val="00221B30"/>
    <w:rsid w:val="00221B33"/>
    <w:rsid w:val="00221D3F"/>
    <w:rsid w:val="00221DFA"/>
    <w:rsid w:val="00221F6D"/>
    <w:rsid w:val="0022253B"/>
    <w:rsid w:val="00222734"/>
    <w:rsid w:val="0022282C"/>
    <w:rsid w:val="00222CBE"/>
    <w:rsid w:val="00223284"/>
    <w:rsid w:val="0022347E"/>
    <w:rsid w:val="002234CF"/>
    <w:rsid w:val="0022352B"/>
    <w:rsid w:val="00223546"/>
    <w:rsid w:val="002239D9"/>
    <w:rsid w:val="00223B8D"/>
    <w:rsid w:val="00223BD3"/>
    <w:rsid w:val="00223C20"/>
    <w:rsid w:val="00223C81"/>
    <w:rsid w:val="00223D30"/>
    <w:rsid w:val="00223D74"/>
    <w:rsid w:val="0022429B"/>
    <w:rsid w:val="00224949"/>
    <w:rsid w:val="00224D6E"/>
    <w:rsid w:val="00225383"/>
    <w:rsid w:val="00225C9D"/>
    <w:rsid w:val="00226238"/>
    <w:rsid w:val="0022626D"/>
    <w:rsid w:val="0022670C"/>
    <w:rsid w:val="00226E60"/>
    <w:rsid w:val="00226FC3"/>
    <w:rsid w:val="0022763A"/>
    <w:rsid w:val="00227886"/>
    <w:rsid w:val="00227BCA"/>
    <w:rsid w:val="00227CF0"/>
    <w:rsid w:val="00227FA3"/>
    <w:rsid w:val="002300F3"/>
    <w:rsid w:val="0023014C"/>
    <w:rsid w:val="0023028C"/>
    <w:rsid w:val="002302F9"/>
    <w:rsid w:val="002303A9"/>
    <w:rsid w:val="0023048B"/>
    <w:rsid w:val="0023074D"/>
    <w:rsid w:val="00230D39"/>
    <w:rsid w:val="00230FAD"/>
    <w:rsid w:val="00231714"/>
    <w:rsid w:val="00231C88"/>
    <w:rsid w:val="00232141"/>
    <w:rsid w:val="002324B2"/>
    <w:rsid w:val="0023254A"/>
    <w:rsid w:val="0023282C"/>
    <w:rsid w:val="00232B89"/>
    <w:rsid w:val="00232DEA"/>
    <w:rsid w:val="00232F85"/>
    <w:rsid w:val="0023329D"/>
    <w:rsid w:val="0023338E"/>
    <w:rsid w:val="0023345A"/>
    <w:rsid w:val="0023372C"/>
    <w:rsid w:val="002338B7"/>
    <w:rsid w:val="00233917"/>
    <w:rsid w:val="00233AD7"/>
    <w:rsid w:val="00233E55"/>
    <w:rsid w:val="0023423F"/>
    <w:rsid w:val="00234482"/>
    <w:rsid w:val="0023451A"/>
    <w:rsid w:val="002347C7"/>
    <w:rsid w:val="002349BF"/>
    <w:rsid w:val="00234A08"/>
    <w:rsid w:val="00234B7C"/>
    <w:rsid w:val="00235488"/>
    <w:rsid w:val="0023564B"/>
    <w:rsid w:val="0023572B"/>
    <w:rsid w:val="00235C8A"/>
    <w:rsid w:val="00235ECF"/>
    <w:rsid w:val="002361AC"/>
    <w:rsid w:val="00236246"/>
    <w:rsid w:val="00236291"/>
    <w:rsid w:val="00236317"/>
    <w:rsid w:val="002363C3"/>
    <w:rsid w:val="0023647C"/>
    <w:rsid w:val="00236623"/>
    <w:rsid w:val="00236758"/>
    <w:rsid w:val="002370F9"/>
    <w:rsid w:val="00237606"/>
    <w:rsid w:val="0023778C"/>
    <w:rsid w:val="00237C2E"/>
    <w:rsid w:val="00237CA9"/>
    <w:rsid w:val="00240073"/>
    <w:rsid w:val="002401C5"/>
    <w:rsid w:val="002402C1"/>
    <w:rsid w:val="00240397"/>
    <w:rsid w:val="00240479"/>
    <w:rsid w:val="00240864"/>
    <w:rsid w:val="0024097D"/>
    <w:rsid w:val="0024104D"/>
    <w:rsid w:val="00241126"/>
    <w:rsid w:val="00241B50"/>
    <w:rsid w:val="002424D1"/>
    <w:rsid w:val="00242604"/>
    <w:rsid w:val="002426E3"/>
    <w:rsid w:val="00242982"/>
    <w:rsid w:val="002429F6"/>
    <w:rsid w:val="002434D3"/>
    <w:rsid w:val="0024371F"/>
    <w:rsid w:val="00243839"/>
    <w:rsid w:val="00243849"/>
    <w:rsid w:val="00243A74"/>
    <w:rsid w:val="00243AFA"/>
    <w:rsid w:val="00243E87"/>
    <w:rsid w:val="00243EA5"/>
    <w:rsid w:val="00243F22"/>
    <w:rsid w:val="00243F76"/>
    <w:rsid w:val="002442B6"/>
    <w:rsid w:val="002444B5"/>
    <w:rsid w:val="00244E1E"/>
    <w:rsid w:val="00244F09"/>
    <w:rsid w:val="00244F29"/>
    <w:rsid w:val="00245082"/>
    <w:rsid w:val="00245897"/>
    <w:rsid w:val="0024595C"/>
    <w:rsid w:val="00245A6E"/>
    <w:rsid w:val="00245D14"/>
    <w:rsid w:val="00245D44"/>
    <w:rsid w:val="00245F35"/>
    <w:rsid w:val="00245F50"/>
    <w:rsid w:val="00245F7B"/>
    <w:rsid w:val="00246112"/>
    <w:rsid w:val="002462DC"/>
    <w:rsid w:val="002468D7"/>
    <w:rsid w:val="00246B7B"/>
    <w:rsid w:val="00246BDB"/>
    <w:rsid w:val="00246EFB"/>
    <w:rsid w:val="00246F0E"/>
    <w:rsid w:val="002473BE"/>
    <w:rsid w:val="00247673"/>
    <w:rsid w:val="0024774E"/>
    <w:rsid w:val="00247877"/>
    <w:rsid w:val="00247FC5"/>
    <w:rsid w:val="00250185"/>
    <w:rsid w:val="0025048B"/>
    <w:rsid w:val="002504C0"/>
    <w:rsid w:val="002505B1"/>
    <w:rsid w:val="002505E0"/>
    <w:rsid w:val="002506F5"/>
    <w:rsid w:val="0025078D"/>
    <w:rsid w:val="00250B72"/>
    <w:rsid w:val="00250DCD"/>
    <w:rsid w:val="002510BD"/>
    <w:rsid w:val="0025221F"/>
    <w:rsid w:val="00252351"/>
    <w:rsid w:val="002524CE"/>
    <w:rsid w:val="00252548"/>
    <w:rsid w:val="0025276E"/>
    <w:rsid w:val="00252A3C"/>
    <w:rsid w:val="00252F4B"/>
    <w:rsid w:val="0025304A"/>
    <w:rsid w:val="002530DC"/>
    <w:rsid w:val="0025354C"/>
    <w:rsid w:val="00253807"/>
    <w:rsid w:val="00253A71"/>
    <w:rsid w:val="002543F1"/>
    <w:rsid w:val="00254B02"/>
    <w:rsid w:val="00254E9C"/>
    <w:rsid w:val="00254F27"/>
    <w:rsid w:val="00255008"/>
    <w:rsid w:val="002552F3"/>
    <w:rsid w:val="00255725"/>
    <w:rsid w:val="00255ACC"/>
    <w:rsid w:val="00255F20"/>
    <w:rsid w:val="00255FA7"/>
    <w:rsid w:val="0025600C"/>
    <w:rsid w:val="00256224"/>
    <w:rsid w:val="0025629D"/>
    <w:rsid w:val="0025645E"/>
    <w:rsid w:val="0025657F"/>
    <w:rsid w:val="002569E1"/>
    <w:rsid w:val="00256A06"/>
    <w:rsid w:val="00256F14"/>
    <w:rsid w:val="002570F2"/>
    <w:rsid w:val="002571BB"/>
    <w:rsid w:val="00257234"/>
    <w:rsid w:val="0025732A"/>
    <w:rsid w:val="00257498"/>
    <w:rsid w:val="00257744"/>
    <w:rsid w:val="00257C5C"/>
    <w:rsid w:val="00257C7C"/>
    <w:rsid w:val="002600D4"/>
    <w:rsid w:val="00260450"/>
    <w:rsid w:val="00260506"/>
    <w:rsid w:val="002609A2"/>
    <w:rsid w:val="00260D65"/>
    <w:rsid w:val="0026148D"/>
    <w:rsid w:val="00261534"/>
    <w:rsid w:val="0026172C"/>
    <w:rsid w:val="0026191B"/>
    <w:rsid w:val="00261CF5"/>
    <w:rsid w:val="002622A9"/>
    <w:rsid w:val="002622DE"/>
    <w:rsid w:val="0026230C"/>
    <w:rsid w:val="002626F9"/>
    <w:rsid w:val="002627B7"/>
    <w:rsid w:val="002627CA"/>
    <w:rsid w:val="00262F34"/>
    <w:rsid w:val="00262FB7"/>
    <w:rsid w:val="00263012"/>
    <w:rsid w:val="00263349"/>
    <w:rsid w:val="002633B9"/>
    <w:rsid w:val="00263400"/>
    <w:rsid w:val="0026391D"/>
    <w:rsid w:val="002639C1"/>
    <w:rsid w:val="00263ABF"/>
    <w:rsid w:val="00263D22"/>
    <w:rsid w:val="00263DB0"/>
    <w:rsid w:val="002644E7"/>
    <w:rsid w:val="00264E83"/>
    <w:rsid w:val="002652BE"/>
    <w:rsid w:val="00265485"/>
    <w:rsid w:val="0026551E"/>
    <w:rsid w:val="002656A3"/>
    <w:rsid w:val="0026587D"/>
    <w:rsid w:val="00265994"/>
    <w:rsid w:val="00265ED6"/>
    <w:rsid w:val="0026657C"/>
    <w:rsid w:val="00266643"/>
    <w:rsid w:val="0026679C"/>
    <w:rsid w:val="00266915"/>
    <w:rsid w:val="00266A61"/>
    <w:rsid w:val="00266ABD"/>
    <w:rsid w:val="00266BD3"/>
    <w:rsid w:val="0026714D"/>
    <w:rsid w:val="00267530"/>
    <w:rsid w:val="002675A4"/>
    <w:rsid w:val="0026774F"/>
    <w:rsid w:val="00267A95"/>
    <w:rsid w:val="00267D64"/>
    <w:rsid w:val="00267E49"/>
    <w:rsid w:val="00267EC6"/>
    <w:rsid w:val="002701AD"/>
    <w:rsid w:val="002701B8"/>
    <w:rsid w:val="0027020E"/>
    <w:rsid w:val="00270590"/>
    <w:rsid w:val="002706B2"/>
    <w:rsid w:val="002709FF"/>
    <w:rsid w:val="002711A3"/>
    <w:rsid w:val="0027127A"/>
    <w:rsid w:val="0027165D"/>
    <w:rsid w:val="0027178C"/>
    <w:rsid w:val="00271B29"/>
    <w:rsid w:val="00271FF9"/>
    <w:rsid w:val="00272008"/>
    <w:rsid w:val="002720C8"/>
    <w:rsid w:val="00272B4E"/>
    <w:rsid w:val="0027360D"/>
    <w:rsid w:val="00273642"/>
    <w:rsid w:val="00273E5C"/>
    <w:rsid w:val="00273EFA"/>
    <w:rsid w:val="0027421B"/>
    <w:rsid w:val="00274A0E"/>
    <w:rsid w:val="00274CAB"/>
    <w:rsid w:val="00275382"/>
    <w:rsid w:val="002759C7"/>
    <w:rsid w:val="002767F4"/>
    <w:rsid w:val="00276B79"/>
    <w:rsid w:val="00276BD1"/>
    <w:rsid w:val="0027738A"/>
    <w:rsid w:val="00277434"/>
    <w:rsid w:val="00277587"/>
    <w:rsid w:val="00277918"/>
    <w:rsid w:val="00277BDE"/>
    <w:rsid w:val="00277C11"/>
    <w:rsid w:val="00277D4D"/>
    <w:rsid w:val="00277DB8"/>
    <w:rsid w:val="00277E7B"/>
    <w:rsid w:val="0028022C"/>
    <w:rsid w:val="0028039E"/>
    <w:rsid w:val="002806C7"/>
    <w:rsid w:val="002808A3"/>
    <w:rsid w:val="00280AEA"/>
    <w:rsid w:val="00280D18"/>
    <w:rsid w:val="00280E7D"/>
    <w:rsid w:val="002810EE"/>
    <w:rsid w:val="00281309"/>
    <w:rsid w:val="00281438"/>
    <w:rsid w:val="002814EC"/>
    <w:rsid w:val="002815E3"/>
    <w:rsid w:val="002817B7"/>
    <w:rsid w:val="002817C6"/>
    <w:rsid w:val="00281841"/>
    <w:rsid w:val="00281B28"/>
    <w:rsid w:val="00281CA4"/>
    <w:rsid w:val="00281D37"/>
    <w:rsid w:val="002823A2"/>
    <w:rsid w:val="0028271D"/>
    <w:rsid w:val="00282814"/>
    <w:rsid w:val="00282958"/>
    <w:rsid w:val="002829F2"/>
    <w:rsid w:val="00282B2E"/>
    <w:rsid w:val="00282E95"/>
    <w:rsid w:val="00282F52"/>
    <w:rsid w:val="00282F83"/>
    <w:rsid w:val="00282F91"/>
    <w:rsid w:val="00283160"/>
    <w:rsid w:val="0028355A"/>
    <w:rsid w:val="00283A4B"/>
    <w:rsid w:val="002840C8"/>
    <w:rsid w:val="00284355"/>
    <w:rsid w:val="002845C1"/>
    <w:rsid w:val="002846BA"/>
    <w:rsid w:val="00284962"/>
    <w:rsid w:val="0028542C"/>
    <w:rsid w:val="00285482"/>
    <w:rsid w:val="002855F8"/>
    <w:rsid w:val="0028586B"/>
    <w:rsid w:val="002859BC"/>
    <w:rsid w:val="00285A33"/>
    <w:rsid w:val="00285D91"/>
    <w:rsid w:val="002861D8"/>
    <w:rsid w:val="00286231"/>
    <w:rsid w:val="00286596"/>
    <w:rsid w:val="002868B4"/>
    <w:rsid w:val="00286974"/>
    <w:rsid w:val="00286B35"/>
    <w:rsid w:val="00287582"/>
    <w:rsid w:val="00287645"/>
    <w:rsid w:val="00287B81"/>
    <w:rsid w:val="00287D46"/>
    <w:rsid w:val="002900C1"/>
    <w:rsid w:val="00290474"/>
    <w:rsid w:val="00290AD4"/>
    <w:rsid w:val="002911CC"/>
    <w:rsid w:val="0029134C"/>
    <w:rsid w:val="0029161D"/>
    <w:rsid w:val="00291ECC"/>
    <w:rsid w:val="002920D7"/>
    <w:rsid w:val="002921B8"/>
    <w:rsid w:val="00292345"/>
    <w:rsid w:val="002923F9"/>
    <w:rsid w:val="00292459"/>
    <w:rsid w:val="002928D4"/>
    <w:rsid w:val="002928DD"/>
    <w:rsid w:val="00292914"/>
    <w:rsid w:val="00292BC5"/>
    <w:rsid w:val="00292D2C"/>
    <w:rsid w:val="00292FB9"/>
    <w:rsid w:val="002930A9"/>
    <w:rsid w:val="0029336D"/>
    <w:rsid w:val="002933AA"/>
    <w:rsid w:val="0029350E"/>
    <w:rsid w:val="0029370F"/>
    <w:rsid w:val="0029380F"/>
    <w:rsid w:val="002939D7"/>
    <w:rsid w:val="002939D8"/>
    <w:rsid w:val="002939FF"/>
    <w:rsid w:val="00293E2B"/>
    <w:rsid w:val="00293F96"/>
    <w:rsid w:val="00294017"/>
    <w:rsid w:val="002941E1"/>
    <w:rsid w:val="00294742"/>
    <w:rsid w:val="0029493A"/>
    <w:rsid w:val="0029556D"/>
    <w:rsid w:val="00295BA8"/>
    <w:rsid w:val="00295F98"/>
    <w:rsid w:val="00296054"/>
    <w:rsid w:val="00296073"/>
    <w:rsid w:val="00296165"/>
    <w:rsid w:val="0029619B"/>
    <w:rsid w:val="002961DD"/>
    <w:rsid w:val="00296AC0"/>
    <w:rsid w:val="00296D56"/>
    <w:rsid w:val="00296DE2"/>
    <w:rsid w:val="002972BA"/>
    <w:rsid w:val="00297908"/>
    <w:rsid w:val="00297A61"/>
    <w:rsid w:val="002A001F"/>
    <w:rsid w:val="002A02A1"/>
    <w:rsid w:val="002A05E8"/>
    <w:rsid w:val="002A0B20"/>
    <w:rsid w:val="002A10B2"/>
    <w:rsid w:val="002A10FB"/>
    <w:rsid w:val="002A1344"/>
    <w:rsid w:val="002A150F"/>
    <w:rsid w:val="002A18C1"/>
    <w:rsid w:val="002A1929"/>
    <w:rsid w:val="002A194D"/>
    <w:rsid w:val="002A2007"/>
    <w:rsid w:val="002A2271"/>
    <w:rsid w:val="002A2D71"/>
    <w:rsid w:val="002A3716"/>
    <w:rsid w:val="002A3760"/>
    <w:rsid w:val="002A4409"/>
    <w:rsid w:val="002A48B8"/>
    <w:rsid w:val="002A4DCB"/>
    <w:rsid w:val="002A4EBB"/>
    <w:rsid w:val="002A56AD"/>
    <w:rsid w:val="002A5A88"/>
    <w:rsid w:val="002A5AFA"/>
    <w:rsid w:val="002A5C1A"/>
    <w:rsid w:val="002A5C37"/>
    <w:rsid w:val="002A5D54"/>
    <w:rsid w:val="002A5E31"/>
    <w:rsid w:val="002A5F14"/>
    <w:rsid w:val="002A5F6C"/>
    <w:rsid w:val="002A6253"/>
    <w:rsid w:val="002A65E6"/>
    <w:rsid w:val="002A6807"/>
    <w:rsid w:val="002A6825"/>
    <w:rsid w:val="002A68BA"/>
    <w:rsid w:val="002A68C8"/>
    <w:rsid w:val="002A6926"/>
    <w:rsid w:val="002A6FFC"/>
    <w:rsid w:val="002A7232"/>
    <w:rsid w:val="002A7796"/>
    <w:rsid w:val="002A77D7"/>
    <w:rsid w:val="002A7CFD"/>
    <w:rsid w:val="002A7FB9"/>
    <w:rsid w:val="002B02F9"/>
    <w:rsid w:val="002B0372"/>
    <w:rsid w:val="002B0A7F"/>
    <w:rsid w:val="002B0BDE"/>
    <w:rsid w:val="002B0EB8"/>
    <w:rsid w:val="002B0EC7"/>
    <w:rsid w:val="002B1908"/>
    <w:rsid w:val="002B19A1"/>
    <w:rsid w:val="002B1A15"/>
    <w:rsid w:val="002B1A4D"/>
    <w:rsid w:val="002B1A55"/>
    <w:rsid w:val="002B1BC8"/>
    <w:rsid w:val="002B1BD1"/>
    <w:rsid w:val="002B1EDC"/>
    <w:rsid w:val="002B1FB7"/>
    <w:rsid w:val="002B21F2"/>
    <w:rsid w:val="002B25B2"/>
    <w:rsid w:val="002B2DFB"/>
    <w:rsid w:val="002B2E7F"/>
    <w:rsid w:val="002B3333"/>
    <w:rsid w:val="002B4018"/>
    <w:rsid w:val="002B43D5"/>
    <w:rsid w:val="002B43DC"/>
    <w:rsid w:val="002B44E3"/>
    <w:rsid w:val="002B4D24"/>
    <w:rsid w:val="002B4DA2"/>
    <w:rsid w:val="002B4F06"/>
    <w:rsid w:val="002B4F7D"/>
    <w:rsid w:val="002B4FAE"/>
    <w:rsid w:val="002B5197"/>
    <w:rsid w:val="002B525B"/>
    <w:rsid w:val="002B5375"/>
    <w:rsid w:val="002B53B8"/>
    <w:rsid w:val="002B5571"/>
    <w:rsid w:val="002B58C7"/>
    <w:rsid w:val="002B5965"/>
    <w:rsid w:val="002B5990"/>
    <w:rsid w:val="002B5A71"/>
    <w:rsid w:val="002B5E14"/>
    <w:rsid w:val="002B5EAF"/>
    <w:rsid w:val="002B5F17"/>
    <w:rsid w:val="002B5F9B"/>
    <w:rsid w:val="002B61AE"/>
    <w:rsid w:val="002B64E1"/>
    <w:rsid w:val="002B688D"/>
    <w:rsid w:val="002B695E"/>
    <w:rsid w:val="002B6B0D"/>
    <w:rsid w:val="002B6C15"/>
    <w:rsid w:val="002B70EF"/>
    <w:rsid w:val="002B74A8"/>
    <w:rsid w:val="002B779E"/>
    <w:rsid w:val="002B796A"/>
    <w:rsid w:val="002B7BB7"/>
    <w:rsid w:val="002B7DA3"/>
    <w:rsid w:val="002B7E2A"/>
    <w:rsid w:val="002B7EC2"/>
    <w:rsid w:val="002C05FC"/>
    <w:rsid w:val="002C0BCF"/>
    <w:rsid w:val="002C0C2D"/>
    <w:rsid w:val="002C0CD6"/>
    <w:rsid w:val="002C0D7A"/>
    <w:rsid w:val="002C0DEF"/>
    <w:rsid w:val="002C0EE5"/>
    <w:rsid w:val="002C10AA"/>
    <w:rsid w:val="002C111B"/>
    <w:rsid w:val="002C177F"/>
    <w:rsid w:val="002C1867"/>
    <w:rsid w:val="002C2314"/>
    <w:rsid w:val="002C26BF"/>
    <w:rsid w:val="002C27B2"/>
    <w:rsid w:val="002C2B33"/>
    <w:rsid w:val="002C2B4B"/>
    <w:rsid w:val="002C2F9C"/>
    <w:rsid w:val="002C320C"/>
    <w:rsid w:val="002C365B"/>
    <w:rsid w:val="002C36FE"/>
    <w:rsid w:val="002C39BA"/>
    <w:rsid w:val="002C3AAA"/>
    <w:rsid w:val="002C3C53"/>
    <w:rsid w:val="002C4BC2"/>
    <w:rsid w:val="002C4BCE"/>
    <w:rsid w:val="002C4EA2"/>
    <w:rsid w:val="002C4F74"/>
    <w:rsid w:val="002C53C0"/>
    <w:rsid w:val="002C544E"/>
    <w:rsid w:val="002C5492"/>
    <w:rsid w:val="002C59A6"/>
    <w:rsid w:val="002C5D21"/>
    <w:rsid w:val="002C6010"/>
    <w:rsid w:val="002C61B8"/>
    <w:rsid w:val="002C6EC3"/>
    <w:rsid w:val="002C6F83"/>
    <w:rsid w:val="002C70D1"/>
    <w:rsid w:val="002C725B"/>
    <w:rsid w:val="002C73ED"/>
    <w:rsid w:val="002C76AC"/>
    <w:rsid w:val="002C77F8"/>
    <w:rsid w:val="002D064B"/>
    <w:rsid w:val="002D0A5E"/>
    <w:rsid w:val="002D0C6C"/>
    <w:rsid w:val="002D0E10"/>
    <w:rsid w:val="002D113F"/>
    <w:rsid w:val="002D119A"/>
    <w:rsid w:val="002D1330"/>
    <w:rsid w:val="002D1594"/>
    <w:rsid w:val="002D1663"/>
    <w:rsid w:val="002D1D42"/>
    <w:rsid w:val="002D1EAA"/>
    <w:rsid w:val="002D2318"/>
    <w:rsid w:val="002D238B"/>
    <w:rsid w:val="002D23E6"/>
    <w:rsid w:val="002D24C1"/>
    <w:rsid w:val="002D254F"/>
    <w:rsid w:val="002D2A27"/>
    <w:rsid w:val="002D2B15"/>
    <w:rsid w:val="002D2CF9"/>
    <w:rsid w:val="002D2DC9"/>
    <w:rsid w:val="002D3380"/>
    <w:rsid w:val="002D3646"/>
    <w:rsid w:val="002D387A"/>
    <w:rsid w:val="002D3A33"/>
    <w:rsid w:val="002D3AC4"/>
    <w:rsid w:val="002D3EC6"/>
    <w:rsid w:val="002D405F"/>
    <w:rsid w:val="002D48F1"/>
    <w:rsid w:val="002D49FC"/>
    <w:rsid w:val="002D4A7D"/>
    <w:rsid w:val="002D53A3"/>
    <w:rsid w:val="002D5696"/>
    <w:rsid w:val="002D57C0"/>
    <w:rsid w:val="002D5896"/>
    <w:rsid w:val="002D5B80"/>
    <w:rsid w:val="002D5D06"/>
    <w:rsid w:val="002D5F87"/>
    <w:rsid w:val="002D666C"/>
    <w:rsid w:val="002D7121"/>
    <w:rsid w:val="002D7830"/>
    <w:rsid w:val="002D786F"/>
    <w:rsid w:val="002D7AB8"/>
    <w:rsid w:val="002D7B0A"/>
    <w:rsid w:val="002D7B3D"/>
    <w:rsid w:val="002D7EB7"/>
    <w:rsid w:val="002E00C0"/>
    <w:rsid w:val="002E0355"/>
    <w:rsid w:val="002E0385"/>
    <w:rsid w:val="002E0BBA"/>
    <w:rsid w:val="002E0CBE"/>
    <w:rsid w:val="002E0F3F"/>
    <w:rsid w:val="002E0FB7"/>
    <w:rsid w:val="002E104C"/>
    <w:rsid w:val="002E187E"/>
    <w:rsid w:val="002E1AE2"/>
    <w:rsid w:val="002E1CF2"/>
    <w:rsid w:val="002E2728"/>
    <w:rsid w:val="002E27A0"/>
    <w:rsid w:val="002E2C5C"/>
    <w:rsid w:val="002E2F47"/>
    <w:rsid w:val="002E30C6"/>
    <w:rsid w:val="002E318B"/>
    <w:rsid w:val="002E3497"/>
    <w:rsid w:val="002E34C1"/>
    <w:rsid w:val="002E3661"/>
    <w:rsid w:val="002E39B5"/>
    <w:rsid w:val="002E3BBA"/>
    <w:rsid w:val="002E3DB6"/>
    <w:rsid w:val="002E4849"/>
    <w:rsid w:val="002E48A5"/>
    <w:rsid w:val="002E4939"/>
    <w:rsid w:val="002E49A3"/>
    <w:rsid w:val="002E4A4E"/>
    <w:rsid w:val="002E50E2"/>
    <w:rsid w:val="002E528D"/>
    <w:rsid w:val="002E5665"/>
    <w:rsid w:val="002E59BF"/>
    <w:rsid w:val="002E59F8"/>
    <w:rsid w:val="002E5CBA"/>
    <w:rsid w:val="002E6628"/>
    <w:rsid w:val="002E66EB"/>
    <w:rsid w:val="002E66F5"/>
    <w:rsid w:val="002E6827"/>
    <w:rsid w:val="002E6A20"/>
    <w:rsid w:val="002E6FC8"/>
    <w:rsid w:val="002E76BC"/>
    <w:rsid w:val="002E780A"/>
    <w:rsid w:val="002E7A61"/>
    <w:rsid w:val="002F017E"/>
    <w:rsid w:val="002F018D"/>
    <w:rsid w:val="002F056E"/>
    <w:rsid w:val="002F06B4"/>
    <w:rsid w:val="002F06E1"/>
    <w:rsid w:val="002F06E5"/>
    <w:rsid w:val="002F0A3A"/>
    <w:rsid w:val="002F0B8B"/>
    <w:rsid w:val="002F0EC2"/>
    <w:rsid w:val="002F10C0"/>
    <w:rsid w:val="002F119E"/>
    <w:rsid w:val="002F1455"/>
    <w:rsid w:val="002F1C36"/>
    <w:rsid w:val="002F1EA5"/>
    <w:rsid w:val="002F2179"/>
    <w:rsid w:val="002F236E"/>
    <w:rsid w:val="002F2688"/>
    <w:rsid w:val="002F2D62"/>
    <w:rsid w:val="002F319C"/>
    <w:rsid w:val="002F3295"/>
    <w:rsid w:val="002F334D"/>
    <w:rsid w:val="002F3371"/>
    <w:rsid w:val="002F3974"/>
    <w:rsid w:val="002F39C1"/>
    <w:rsid w:val="002F3B33"/>
    <w:rsid w:val="002F3DED"/>
    <w:rsid w:val="002F3EDB"/>
    <w:rsid w:val="002F4079"/>
    <w:rsid w:val="002F40E9"/>
    <w:rsid w:val="002F4A62"/>
    <w:rsid w:val="002F4B65"/>
    <w:rsid w:val="002F4BE6"/>
    <w:rsid w:val="002F5565"/>
    <w:rsid w:val="002F563E"/>
    <w:rsid w:val="002F5867"/>
    <w:rsid w:val="002F58C4"/>
    <w:rsid w:val="002F5AA2"/>
    <w:rsid w:val="002F5EB4"/>
    <w:rsid w:val="002F6C66"/>
    <w:rsid w:val="002F6E54"/>
    <w:rsid w:val="002F6F5B"/>
    <w:rsid w:val="002F708E"/>
    <w:rsid w:val="002F7195"/>
    <w:rsid w:val="002F71EB"/>
    <w:rsid w:val="002F7218"/>
    <w:rsid w:val="002F75C0"/>
    <w:rsid w:val="002F7A98"/>
    <w:rsid w:val="002F7B05"/>
    <w:rsid w:val="002F7B82"/>
    <w:rsid w:val="002F7BCF"/>
    <w:rsid w:val="002F7D77"/>
    <w:rsid w:val="002F7FF0"/>
    <w:rsid w:val="003000AF"/>
    <w:rsid w:val="003003DB"/>
    <w:rsid w:val="0030080C"/>
    <w:rsid w:val="003009E6"/>
    <w:rsid w:val="0030112F"/>
    <w:rsid w:val="00301639"/>
    <w:rsid w:val="00301827"/>
    <w:rsid w:val="003019C6"/>
    <w:rsid w:val="00301AC4"/>
    <w:rsid w:val="00301D64"/>
    <w:rsid w:val="00301DD0"/>
    <w:rsid w:val="003023B4"/>
    <w:rsid w:val="0030293B"/>
    <w:rsid w:val="00302AFC"/>
    <w:rsid w:val="00302B28"/>
    <w:rsid w:val="00302ECD"/>
    <w:rsid w:val="00303266"/>
    <w:rsid w:val="00303D2B"/>
    <w:rsid w:val="003043A4"/>
    <w:rsid w:val="00304DB8"/>
    <w:rsid w:val="00305051"/>
    <w:rsid w:val="003053F2"/>
    <w:rsid w:val="00305C3B"/>
    <w:rsid w:val="00305CA2"/>
    <w:rsid w:val="003062F8"/>
    <w:rsid w:val="00306383"/>
    <w:rsid w:val="00306456"/>
    <w:rsid w:val="003064D0"/>
    <w:rsid w:val="00306A04"/>
    <w:rsid w:val="00306BBA"/>
    <w:rsid w:val="00306E36"/>
    <w:rsid w:val="00307089"/>
    <w:rsid w:val="00307167"/>
    <w:rsid w:val="00307B09"/>
    <w:rsid w:val="00307BC8"/>
    <w:rsid w:val="003103D6"/>
    <w:rsid w:val="00310753"/>
    <w:rsid w:val="003107B3"/>
    <w:rsid w:val="003107E8"/>
    <w:rsid w:val="00310C0E"/>
    <w:rsid w:val="00310F97"/>
    <w:rsid w:val="00310FFF"/>
    <w:rsid w:val="003112C9"/>
    <w:rsid w:val="0031176A"/>
    <w:rsid w:val="00311858"/>
    <w:rsid w:val="0031195E"/>
    <w:rsid w:val="00311AC7"/>
    <w:rsid w:val="00311C04"/>
    <w:rsid w:val="00311DD7"/>
    <w:rsid w:val="00311E04"/>
    <w:rsid w:val="00311FF5"/>
    <w:rsid w:val="00312095"/>
    <w:rsid w:val="00312283"/>
    <w:rsid w:val="003122AA"/>
    <w:rsid w:val="00312539"/>
    <w:rsid w:val="003126A1"/>
    <w:rsid w:val="0031274E"/>
    <w:rsid w:val="00312CCE"/>
    <w:rsid w:val="00312D9C"/>
    <w:rsid w:val="00313168"/>
    <w:rsid w:val="0031360E"/>
    <w:rsid w:val="003136CD"/>
    <w:rsid w:val="00313825"/>
    <w:rsid w:val="0031393E"/>
    <w:rsid w:val="003140CF"/>
    <w:rsid w:val="003145FE"/>
    <w:rsid w:val="00314603"/>
    <w:rsid w:val="00314687"/>
    <w:rsid w:val="00314AEB"/>
    <w:rsid w:val="00314C90"/>
    <w:rsid w:val="00314E37"/>
    <w:rsid w:val="003152BC"/>
    <w:rsid w:val="0031556E"/>
    <w:rsid w:val="003158FA"/>
    <w:rsid w:val="0031597A"/>
    <w:rsid w:val="00315D77"/>
    <w:rsid w:val="0031615B"/>
    <w:rsid w:val="00316B77"/>
    <w:rsid w:val="00316BD0"/>
    <w:rsid w:val="00317081"/>
    <w:rsid w:val="003174F7"/>
    <w:rsid w:val="0031772F"/>
    <w:rsid w:val="003178B4"/>
    <w:rsid w:val="003179F2"/>
    <w:rsid w:val="00317ADD"/>
    <w:rsid w:val="00317E25"/>
    <w:rsid w:val="00317FFB"/>
    <w:rsid w:val="003202C7"/>
    <w:rsid w:val="003203D1"/>
    <w:rsid w:val="003205D1"/>
    <w:rsid w:val="0032077B"/>
    <w:rsid w:val="003208B7"/>
    <w:rsid w:val="00320C73"/>
    <w:rsid w:val="00321230"/>
    <w:rsid w:val="003212F0"/>
    <w:rsid w:val="00321320"/>
    <w:rsid w:val="003214E6"/>
    <w:rsid w:val="003216E0"/>
    <w:rsid w:val="0032173C"/>
    <w:rsid w:val="00321A21"/>
    <w:rsid w:val="00321CBE"/>
    <w:rsid w:val="00321D56"/>
    <w:rsid w:val="00321D99"/>
    <w:rsid w:val="00322116"/>
    <w:rsid w:val="00322289"/>
    <w:rsid w:val="003223B0"/>
    <w:rsid w:val="003226F2"/>
    <w:rsid w:val="003227EF"/>
    <w:rsid w:val="00322AE6"/>
    <w:rsid w:val="00322DF2"/>
    <w:rsid w:val="00322F8D"/>
    <w:rsid w:val="0032313D"/>
    <w:rsid w:val="00323A5F"/>
    <w:rsid w:val="00323D8F"/>
    <w:rsid w:val="0032448D"/>
    <w:rsid w:val="00324871"/>
    <w:rsid w:val="003249AA"/>
    <w:rsid w:val="003249B9"/>
    <w:rsid w:val="00324C66"/>
    <w:rsid w:val="00324E5C"/>
    <w:rsid w:val="003250A5"/>
    <w:rsid w:val="00325179"/>
    <w:rsid w:val="0032517A"/>
    <w:rsid w:val="0032555D"/>
    <w:rsid w:val="003256BB"/>
    <w:rsid w:val="0032587F"/>
    <w:rsid w:val="00326026"/>
    <w:rsid w:val="0032609D"/>
    <w:rsid w:val="0032632C"/>
    <w:rsid w:val="0032655F"/>
    <w:rsid w:val="003265AB"/>
    <w:rsid w:val="00326837"/>
    <w:rsid w:val="0032689B"/>
    <w:rsid w:val="003268AA"/>
    <w:rsid w:val="00326B5F"/>
    <w:rsid w:val="00326B82"/>
    <w:rsid w:val="00326C2D"/>
    <w:rsid w:val="00326D4E"/>
    <w:rsid w:val="00326F69"/>
    <w:rsid w:val="003272DB"/>
    <w:rsid w:val="003272FA"/>
    <w:rsid w:val="0032756A"/>
    <w:rsid w:val="0032758B"/>
    <w:rsid w:val="00327A50"/>
    <w:rsid w:val="00327C6E"/>
    <w:rsid w:val="00327D4A"/>
    <w:rsid w:val="003304C4"/>
    <w:rsid w:val="003305A2"/>
    <w:rsid w:val="00330619"/>
    <w:rsid w:val="00330674"/>
    <w:rsid w:val="003308FB"/>
    <w:rsid w:val="00330AC3"/>
    <w:rsid w:val="00330AE1"/>
    <w:rsid w:val="00330D19"/>
    <w:rsid w:val="00330FE4"/>
    <w:rsid w:val="003312CB"/>
    <w:rsid w:val="003316E8"/>
    <w:rsid w:val="00331B66"/>
    <w:rsid w:val="00332518"/>
    <w:rsid w:val="003326AA"/>
    <w:rsid w:val="00332759"/>
    <w:rsid w:val="003327A5"/>
    <w:rsid w:val="0033294F"/>
    <w:rsid w:val="00332DA4"/>
    <w:rsid w:val="003334FB"/>
    <w:rsid w:val="0033359C"/>
    <w:rsid w:val="003335E2"/>
    <w:rsid w:val="0033380A"/>
    <w:rsid w:val="00333917"/>
    <w:rsid w:val="00333962"/>
    <w:rsid w:val="00333B16"/>
    <w:rsid w:val="00333DD4"/>
    <w:rsid w:val="00333F27"/>
    <w:rsid w:val="0033419C"/>
    <w:rsid w:val="003346B8"/>
    <w:rsid w:val="0033487D"/>
    <w:rsid w:val="00334946"/>
    <w:rsid w:val="003349CE"/>
    <w:rsid w:val="00334D67"/>
    <w:rsid w:val="003350B0"/>
    <w:rsid w:val="00335305"/>
    <w:rsid w:val="00335516"/>
    <w:rsid w:val="003356D7"/>
    <w:rsid w:val="003359DD"/>
    <w:rsid w:val="00335C35"/>
    <w:rsid w:val="00335D6F"/>
    <w:rsid w:val="00335F7B"/>
    <w:rsid w:val="003361A4"/>
    <w:rsid w:val="00336291"/>
    <w:rsid w:val="003362D0"/>
    <w:rsid w:val="003367E2"/>
    <w:rsid w:val="0033683F"/>
    <w:rsid w:val="003370A8"/>
    <w:rsid w:val="00337557"/>
    <w:rsid w:val="0033759A"/>
    <w:rsid w:val="003376D7"/>
    <w:rsid w:val="003378B7"/>
    <w:rsid w:val="00337AE7"/>
    <w:rsid w:val="00337E1C"/>
    <w:rsid w:val="00340347"/>
    <w:rsid w:val="003403EF"/>
    <w:rsid w:val="00340478"/>
    <w:rsid w:val="003406FC"/>
    <w:rsid w:val="00340825"/>
    <w:rsid w:val="00340C44"/>
    <w:rsid w:val="00340C61"/>
    <w:rsid w:val="00340E73"/>
    <w:rsid w:val="0034111E"/>
    <w:rsid w:val="00341533"/>
    <w:rsid w:val="003417CA"/>
    <w:rsid w:val="00341814"/>
    <w:rsid w:val="0034189E"/>
    <w:rsid w:val="00341AFA"/>
    <w:rsid w:val="00341FFE"/>
    <w:rsid w:val="003422F7"/>
    <w:rsid w:val="0034263D"/>
    <w:rsid w:val="003428CB"/>
    <w:rsid w:val="00342C7B"/>
    <w:rsid w:val="00342C8F"/>
    <w:rsid w:val="00342F53"/>
    <w:rsid w:val="003431BF"/>
    <w:rsid w:val="00343266"/>
    <w:rsid w:val="003433F6"/>
    <w:rsid w:val="00343686"/>
    <w:rsid w:val="00343BAC"/>
    <w:rsid w:val="00343EAF"/>
    <w:rsid w:val="00343EE4"/>
    <w:rsid w:val="0034412F"/>
    <w:rsid w:val="0034416B"/>
    <w:rsid w:val="003443FE"/>
    <w:rsid w:val="00344664"/>
    <w:rsid w:val="0034502B"/>
    <w:rsid w:val="00345281"/>
    <w:rsid w:val="00345758"/>
    <w:rsid w:val="00345819"/>
    <w:rsid w:val="00345A54"/>
    <w:rsid w:val="00345AAE"/>
    <w:rsid w:val="00345BB8"/>
    <w:rsid w:val="00345DAD"/>
    <w:rsid w:val="00346105"/>
    <w:rsid w:val="00346255"/>
    <w:rsid w:val="003464E0"/>
    <w:rsid w:val="00346632"/>
    <w:rsid w:val="0034670F"/>
    <w:rsid w:val="0034700B"/>
    <w:rsid w:val="0034706D"/>
    <w:rsid w:val="00347705"/>
    <w:rsid w:val="0034771E"/>
    <w:rsid w:val="00347B0D"/>
    <w:rsid w:val="00347DFC"/>
    <w:rsid w:val="00347E27"/>
    <w:rsid w:val="00350494"/>
    <w:rsid w:val="00350976"/>
    <w:rsid w:val="003509B8"/>
    <w:rsid w:val="00350AA9"/>
    <w:rsid w:val="00350B25"/>
    <w:rsid w:val="00350C3B"/>
    <w:rsid w:val="003510DF"/>
    <w:rsid w:val="003513B0"/>
    <w:rsid w:val="00351591"/>
    <w:rsid w:val="0035171D"/>
    <w:rsid w:val="00351A73"/>
    <w:rsid w:val="00351C08"/>
    <w:rsid w:val="00351C9F"/>
    <w:rsid w:val="0035201C"/>
    <w:rsid w:val="00352774"/>
    <w:rsid w:val="00353027"/>
    <w:rsid w:val="00353230"/>
    <w:rsid w:val="00353387"/>
    <w:rsid w:val="003534C9"/>
    <w:rsid w:val="00353809"/>
    <w:rsid w:val="0035386A"/>
    <w:rsid w:val="00353907"/>
    <w:rsid w:val="00353968"/>
    <w:rsid w:val="00353A37"/>
    <w:rsid w:val="00353EA0"/>
    <w:rsid w:val="003542DD"/>
    <w:rsid w:val="00354590"/>
    <w:rsid w:val="00354ABF"/>
    <w:rsid w:val="00354BB3"/>
    <w:rsid w:val="00354D0E"/>
    <w:rsid w:val="00354EC3"/>
    <w:rsid w:val="0035539C"/>
    <w:rsid w:val="00355457"/>
    <w:rsid w:val="003559F9"/>
    <w:rsid w:val="00355A36"/>
    <w:rsid w:val="00355C7F"/>
    <w:rsid w:val="00355C9A"/>
    <w:rsid w:val="00355EE5"/>
    <w:rsid w:val="003562C1"/>
    <w:rsid w:val="0035660F"/>
    <w:rsid w:val="0035678E"/>
    <w:rsid w:val="00356930"/>
    <w:rsid w:val="00356DEA"/>
    <w:rsid w:val="00357203"/>
    <w:rsid w:val="003577E2"/>
    <w:rsid w:val="00357C44"/>
    <w:rsid w:val="00357D50"/>
    <w:rsid w:val="00357FBC"/>
    <w:rsid w:val="00360152"/>
    <w:rsid w:val="00360CF3"/>
    <w:rsid w:val="00360F37"/>
    <w:rsid w:val="00360F51"/>
    <w:rsid w:val="00361F16"/>
    <w:rsid w:val="00361F26"/>
    <w:rsid w:val="00362025"/>
    <w:rsid w:val="00362553"/>
    <w:rsid w:val="0036266D"/>
    <w:rsid w:val="003626D1"/>
    <w:rsid w:val="00362719"/>
    <w:rsid w:val="00362802"/>
    <w:rsid w:val="00362B4E"/>
    <w:rsid w:val="00362C22"/>
    <w:rsid w:val="0036326B"/>
    <w:rsid w:val="00363ABE"/>
    <w:rsid w:val="00364020"/>
    <w:rsid w:val="003649B5"/>
    <w:rsid w:val="00364C58"/>
    <w:rsid w:val="00364D91"/>
    <w:rsid w:val="00364D93"/>
    <w:rsid w:val="003651E8"/>
    <w:rsid w:val="003651F6"/>
    <w:rsid w:val="00365691"/>
    <w:rsid w:val="00365B1D"/>
    <w:rsid w:val="00365F02"/>
    <w:rsid w:val="0036610F"/>
    <w:rsid w:val="0036643E"/>
    <w:rsid w:val="00366573"/>
    <w:rsid w:val="003666F6"/>
    <w:rsid w:val="00366712"/>
    <w:rsid w:val="00367150"/>
    <w:rsid w:val="00367631"/>
    <w:rsid w:val="00367C93"/>
    <w:rsid w:val="003700C9"/>
    <w:rsid w:val="0037024B"/>
    <w:rsid w:val="0037130A"/>
    <w:rsid w:val="00371501"/>
    <w:rsid w:val="0037195A"/>
    <w:rsid w:val="00371A2E"/>
    <w:rsid w:val="00371BD9"/>
    <w:rsid w:val="00371ED0"/>
    <w:rsid w:val="00372118"/>
    <w:rsid w:val="003722B8"/>
    <w:rsid w:val="003723B1"/>
    <w:rsid w:val="00372513"/>
    <w:rsid w:val="00372533"/>
    <w:rsid w:val="0037294C"/>
    <w:rsid w:val="00372B90"/>
    <w:rsid w:val="003730FC"/>
    <w:rsid w:val="003733DE"/>
    <w:rsid w:val="00373591"/>
    <w:rsid w:val="0037359B"/>
    <w:rsid w:val="00373663"/>
    <w:rsid w:val="00373EB5"/>
    <w:rsid w:val="003742EF"/>
    <w:rsid w:val="0037449C"/>
    <w:rsid w:val="003745CC"/>
    <w:rsid w:val="003752D9"/>
    <w:rsid w:val="0037534D"/>
    <w:rsid w:val="00375B9A"/>
    <w:rsid w:val="00375E6A"/>
    <w:rsid w:val="00376209"/>
    <w:rsid w:val="003764E1"/>
    <w:rsid w:val="0037670A"/>
    <w:rsid w:val="00376979"/>
    <w:rsid w:val="00376CDA"/>
    <w:rsid w:val="00376E7E"/>
    <w:rsid w:val="00377152"/>
    <w:rsid w:val="0037724B"/>
    <w:rsid w:val="0037725A"/>
    <w:rsid w:val="00377397"/>
    <w:rsid w:val="003774A5"/>
    <w:rsid w:val="003777C7"/>
    <w:rsid w:val="003778DC"/>
    <w:rsid w:val="00377949"/>
    <w:rsid w:val="00377D70"/>
    <w:rsid w:val="00377E7B"/>
    <w:rsid w:val="003800A6"/>
    <w:rsid w:val="0038012B"/>
    <w:rsid w:val="00380349"/>
    <w:rsid w:val="00380392"/>
    <w:rsid w:val="00380438"/>
    <w:rsid w:val="00380472"/>
    <w:rsid w:val="00380566"/>
    <w:rsid w:val="00380D57"/>
    <w:rsid w:val="00380DE7"/>
    <w:rsid w:val="00381057"/>
    <w:rsid w:val="003810AB"/>
    <w:rsid w:val="0038127E"/>
    <w:rsid w:val="003813D1"/>
    <w:rsid w:val="003816A9"/>
    <w:rsid w:val="003819E1"/>
    <w:rsid w:val="00381BB1"/>
    <w:rsid w:val="0038256C"/>
    <w:rsid w:val="0038287C"/>
    <w:rsid w:val="00382D5C"/>
    <w:rsid w:val="00382D83"/>
    <w:rsid w:val="003830BA"/>
    <w:rsid w:val="0038321F"/>
    <w:rsid w:val="0038328B"/>
    <w:rsid w:val="00383479"/>
    <w:rsid w:val="003838F8"/>
    <w:rsid w:val="00383FA4"/>
    <w:rsid w:val="003840D5"/>
    <w:rsid w:val="0038423E"/>
    <w:rsid w:val="00384955"/>
    <w:rsid w:val="00384D04"/>
    <w:rsid w:val="00384D5A"/>
    <w:rsid w:val="00384F20"/>
    <w:rsid w:val="00384FAB"/>
    <w:rsid w:val="003850E1"/>
    <w:rsid w:val="0038557F"/>
    <w:rsid w:val="00385839"/>
    <w:rsid w:val="0038661A"/>
    <w:rsid w:val="00386EFC"/>
    <w:rsid w:val="00386F42"/>
    <w:rsid w:val="003872BD"/>
    <w:rsid w:val="00387500"/>
    <w:rsid w:val="0038758C"/>
    <w:rsid w:val="003876BC"/>
    <w:rsid w:val="003901BF"/>
    <w:rsid w:val="00390250"/>
    <w:rsid w:val="0039028A"/>
    <w:rsid w:val="00390425"/>
    <w:rsid w:val="00390A39"/>
    <w:rsid w:val="00391160"/>
    <w:rsid w:val="00391518"/>
    <w:rsid w:val="0039169E"/>
    <w:rsid w:val="00391B31"/>
    <w:rsid w:val="00391CCA"/>
    <w:rsid w:val="00391E3E"/>
    <w:rsid w:val="00391E7F"/>
    <w:rsid w:val="00391EB5"/>
    <w:rsid w:val="00392390"/>
    <w:rsid w:val="003924C7"/>
    <w:rsid w:val="00392580"/>
    <w:rsid w:val="003929E1"/>
    <w:rsid w:val="00392A7A"/>
    <w:rsid w:val="00392C22"/>
    <w:rsid w:val="00392E95"/>
    <w:rsid w:val="00393168"/>
    <w:rsid w:val="00393171"/>
    <w:rsid w:val="0039368B"/>
    <w:rsid w:val="00393755"/>
    <w:rsid w:val="00393846"/>
    <w:rsid w:val="00393AA0"/>
    <w:rsid w:val="00393AC8"/>
    <w:rsid w:val="00393BA0"/>
    <w:rsid w:val="00393CCA"/>
    <w:rsid w:val="0039440F"/>
    <w:rsid w:val="00394616"/>
    <w:rsid w:val="00394784"/>
    <w:rsid w:val="003947A8"/>
    <w:rsid w:val="003947F4"/>
    <w:rsid w:val="003949D5"/>
    <w:rsid w:val="00394E47"/>
    <w:rsid w:val="00394F10"/>
    <w:rsid w:val="00394F4D"/>
    <w:rsid w:val="003951BF"/>
    <w:rsid w:val="003951C0"/>
    <w:rsid w:val="00395715"/>
    <w:rsid w:val="003957A3"/>
    <w:rsid w:val="003957EE"/>
    <w:rsid w:val="00395BBE"/>
    <w:rsid w:val="00395CC3"/>
    <w:rsid w:val="00395F85"/>
    <w:rsid w:val="0039655D"/>
    <w:rsid w:val="003965E9"/>
    <w:rsid w:val="003971A4"/>
    <w:rsid w:val="00397356"/>
    <w:rsid w:val="0039736E"/>
    <w:rsid w:val="003977D8"/>
    <w:rsid w:val="00397B5C"/>
    <w:rsid w:val="00397BA7"/>
    <w:rsid w:val="00397C5C"/>
    <w:rsid w:val="003A03E7"/>
    <w:rsid w:val="003A0762"/>
    <w:rsid w:val="003A129E"/>
    <w:rsid w:val="003A1636"/>
    <w:rsid w:val="003A17B0"/>
    <w:rsid w:val="003A18D1"/>
    <w:rsid w:val="003A1971"/>
    <w:rsid w:val="003A1A7B"/>
    <w:rsid w:val="003A1C2E"/>
    <w:rsid w:val="003A2274"/>
    <w:rsid w:val="003A2291"/>
    <w:rsid w:val="003A22E4"/>
    <w:rsid w:val="003A232F"/>
    <w:rsid w:val="003A26C5"/>
    <w:rsid w:val="003A29B9"/>
    <w:rsid w:val="003A2A06"/>
    <w:rsid w:val="003A2A7D"/>
    <w:rsid w:val="003A2B3E"/>
    <w:rsid w:val="003A32BF"/>
    <w:rsid w:val="003A3399"/>
    <w:rsid w:val="003A3E48"/>
    <w:rsid w:val="003A3F65"/>
    <w:rsid w:val="003A3FE3"/>
    <w:rsid w:val="003A44A7"/>
    <w:rsid w:val="003A44F0"/>
    <w:rsid w:val="003A4FBF"/>
    <w:rsid w:val="003A555E"/>
    <w:rsid w:val="003A5974"/>
    <w:rsid w:val="003A5A10"/>
    <w:rsid w:val="003A5F99"/>
    <w:rsid w:val="003A614A"/>
    <w:rsid w:val="003A6298"/>
    <w:rsid w:val="003A65EC"/>
    <w:rsid w:val="003A6743"/>
    <w:rsid w:val="003A7366"/>
    <w:rsid w:val="003A7400"/>
    <w:rsid w:val="003A7469"/>
    <w:rsid w:val="003A7661"/>
    <w:rsid w:val="003A76E1"/>
    <w:rsid w:val="003A7735"/>
    <w:rsid w:val="003A78AD"/>
    <w:rsid w:val="003A7BC2"/>
    <w:rsid w:val="003A7D89"/>
    <w:rsid w:val="003B025F"/>
    <w:rsid w:val="003B04E7"/>
    <w:rsid w:val="003B150D"/>
    <w:rsid w:val="003B17A1"/>
    <w:rsid w:val="003B19F2"/>
    <w:rsid w:val="003B1D6A"/>
    <w:rsid w:val="003B24AD"/>
    <w:rsid w:val="003B266B"/>
    <w:rsid w:val="003B273D"/>
    <w:rsid w:val="003B27F0"/>
    <w:rsid w:val="003B2E57"/>
    <w:rsid w:val="003B2EBE"/>
    <w:rsid w:val="003B2F6F"/>
    <w:rsid w:val="003B3117"/>
    <w:rsid w:val="003B32BC"/>
    <w:rsid w:val="003B37AF"/>
    <w:rsid w:val="003B3889"/>
    <w:rsid w:val="003B3ECF"/>
    <w:rsid w:val="003B42EE"/>
    <w:rsid w:val="003B56C6"/>
    <w:rsid w:val="003B5717"/>
    <w:rsid w:val="003B6069"/>
    <w:rsid w:val="003B6161"/>
    <w:rsid w:val="003B63F6"/>
    <w:rsid w:val="003B6471"/>
    <w:rsid w:val="003B6573"/>
    <w:rsid w:val="003B66D8"/>
    <w:rsid w:val="003B6B81"/>
    <w:rsid w:val="003B730A"/>
    <w:rsid w:val="003B7751"/>
    <w:rsid w:val="003B7960"/>
    <w:rsid w:val="003B7C75"/>
    <w:rsid w:val="003C02DC"/>
    <w:rsid w:val="003C06B9"/>
    <w:rsid w:val="003C0729"/>
    <w:rsid w:val="003C102A"/>
    <w:rsid w:val="003C10D0"/>
    <w:rsid w:val="003C11C5"/>
    <w:rsid w:val="003C147C"/>
    <w:rsid w:val="003C155C"/>
    <w:rsid w:val="003C1876"/>
    <w:rsid w:val="003C1A16"/>
    <w:rsid w:val="003C1A61"/>
    <w:rsid w:val="003C1A94"/>
    <w:rsid w:val="003C1E73"/>
    <w:rsid w:val="003C26EF"/>
    <w:rsid w:val="003C2896"/>
    <w:rsid w:val="003C2D1D"/>
    <w:rsid w:val="003C3708"/>
    <w:rsid w:val="003C37E0"/>
    <w:rsid w:val="003C3D7C"/>
    <w:rsid w:val="003C3D8B"/>
    <w:rsid w:val="003C40A9"/>
    <w:rsid w:val="003C450C"/>
    <w:rsid w:val="003C497D"/>
    <w:rsid w:val="003C4A3F"/>
    <w:rsid w:val="003C4AB1"/>
    <w:rsid w:val="003C5B87"/>
    <w:rsid w:val="003C6109"/>
    <w:rsid w:val="003C631C"/>
    <w:rsid w:val="003C6B5E"/>
    <w:rsid w:val="003C6B73"/>
    <w:rsid w:val="003C6C63"/>
    <w:rsid w:val="003C784B"/>
    <w:rsid w:val="003C7B87"/>
    <w:rsid w:val="003C7C15"/>
    <w:rsid w:val="003D0278"/>
    <w:rsid w:val="003D06BD"/>
    <w:rsid w:val="003D06ED"/>
    <w:rsid w:val="003D0BFA"/>
    <w:rsid w:val="003D0CE1"/>
    <w:rsid w:val="003D0F04"/>
    <w:rsid w:val="003D1716"/>
    <w:rsid w:val="003D1758"/>
    <w:rsid w:val="003D1D78"/>
    <w:rsid w:val="003D1FB8"/>
    <w:rsid w:val="003D20B3"/>
    <w:rsid w:val="003D21EE"/>
    <w:rsid w:val="003D2590"/>
    <w:rsid w:val="003D2643"/>
    <w:rsid w:val="003D2A20"/>
    <w:rsid w:val="003D2A94"/>
    <w:rsid w:val="003D2BA5"/>
    <w:rsid w:val="003D2FA1"/>
    <w:rsid w:val="003D32C9"/>
    <w:rsid w:val="003D337C"/>
    <w:rsid w:val="003D3640"/>
    <w:rsid w:val="003D376B"/>
    <w:rsid w:val="003D40FB"/>
    <w:rsid w:val="003D4121"/>
    <w:rsid w:val="003D476E"/>
    <w:rsid w:val="003D48D4"/>
    <w:rsid w:val="003D4EE2"/>
    <w:rsid w:val="003D4F97"/>
    <w:rsid w:val="003D5505"/>
    <w:rsid w:val="003D56E0"/>
    <w:rsid w:val="003D5BAF"/>
    <w:rsid w:val="003D5D07"/>
    <w:rsid w:val="003D5F63"/>
    <w:rsid w:val="003D62CF"/>
    <w:rsid w:val="003D679C"/>
    <w:rsid w:val="003D68B9"/>
    <w:rsid w:val="003D68E8"/>
    <w:rsid w:val="003D6ABC"/>
    <w:rsid w:val="003D7227"/>
    <w:rsid w:val="003D7310"/>
    <w:rsid w:val="003D772A"/>
    <w:rsid w:val="003D778D"/>
    <w:rsid w:val="003D7A80"/>
    <w:rsid w:val="003D7BDC"/>
    <w:rsid w:val="003E0066"/>
    <w:rsid w:val="003E016D"/>
    <w:rsid w:val="003E017A"/>
    <w:rsid w:val="003E0907"/>
    <w:rsid w:val="003E0A3A"/>
    <w:rsid w:val="003E115A"/>
    <w:rsid w:val="003E1358"/>
    <w:rsid w:val="003E149E"/>
    <w:rsid w:val="003E18A1"/>
    <w:rsid w:val="003E1A24"/>
    <w:rsid w:val="003E2001"/>
    <w:rsid w:val="003E206A"/>
    <w:rsid w:val="003E231B"/>
    <w:rsid w:val="003E2376"/>
    <w:rsid w:val="003E23A3"/>
    <w:rsid w:val="003E23A7"/>
    <w:rsid w:val="003E25C6"/>
    <w:rsid w:val="003E2688"/>
    <w:rsid w:val="003E28A1"/>
    <w:rsid w:val="003E2BF6"/>
    <w:rsid w:val="003E2D8D"/>
    <w:rsid w:val="003E3466"/>
    <w:rsid w:val="003E3807"/>
    <w:rsid w:val="003E3C93"/>
    <w:rsid w:val="003E4136"/>
    <w:rsid w:val="003E417E"/>
    <w:rsid w:val="003E41FB"/>
    <w:rsid w:val="003E4230"/>
    <w:rsid w:val="003E4341"/>
    <w:rsid w:val="003E4357"/>
    <w:rsid w:val="003E450F"/>
    <w:rsid w:val="003E4682"/>
    <w:rsid w:val="003E46B4"/>
    <w:rsid w:val="003E4AA4"/>
    <w:rsid w:val="003E4BB5"/>
    <w:rsid w:val="003E4D90"/>
    <w:rsid w:val="003E4DDC"/>
    <w:rsid w:val="003E5145"/>
    <w:rsid w:val="003E516B"/>
    <w:rsid w:val="003E5495"/>
    <w:rsid w:val="003E58BF"/>
    <w:rsid w:val="003E5DDF"/>
    <w:rsid w:val="003E5E1F"/>
    <w:rsid w:val="003E6455"/>
    <w:rsid w:val="003E652E"/>
    <w:rsid w:val="003E659E"/>
    <w:rsid w:val="003E67D6"/>
    <w:rsid w:val="003E6916"/>
    <w:rsid w:val="003E69C5"/>
    <w:rsid w:val="003E6DE1"/>
    <w:rsid w:val="003E6F3A"/>
    <w:rsid w:val="003E7060"/>
    <w:rsid w:val="003E716B"/>
    <w:rsid w:val="003E7175"/>
    <w:rsid w:val="003E7584"/>
    <w:rsid w:val="003E7739"/>
    <w:rsid w:val="003E780B"/>
    <w:rsid w:val="003E7D34"/>
    <w:rsid w:val="003E7DDE"/>
    <w:rsid w:val="003E7ED3"/>
    <w:rsid w:val="003F00C7"/>
    <w:rsid w:val="003F050B"/>
    <w:rsid w:val="003F0595"/>
    <w:rsid w:val="003F07BE"/>
    <w:rsid w:val="003F0803"/>
    <w:rsid w:val="003F0822"/>
    <w:rsid w:val="003F0B03"/>
    <w:rsid w:val="003F110C"/>
    <w:rsid w:val="003F1190"/>
    <w:rsid w:val="003F1351"/>
    <w:rsid w:val="003F1710"/>
    <w:rsid w:val="003F17F3"/>
    <w:rsid w:val="003F19E8"/>
    <w:rsid w:val="003F1B1B"/>
    <w:rsid w:val="003F1C60"/>
    <w:rsid w:val="003F2324"/>
    <w:rsid w:val="003F2353"/>
    <w:rsid w:val="003F24A1"/>
    <w:rsid w:val="003F24D4"/>
    <w:rsid w:val="003F2AB8"/>
    <w:rsid w:val="003F2D76"/>
    <w:rsid w:val="003F3316"/>
    <w:rsid w:val="003F36BD"/>
    <w:rsid w:val="003F3AE1"/>
    <w:rsid w:val="003F3DC1"/>
    <w:rsid w:val="003F4281"/>
    <w:rsid w:val="003F4475"/>
    <w:rsid w:val="003F4E2C"/>
    <w:rsid w:val="003F4F95"/>
    <w:rsid w:val="003F514C"/>
    <w:rsid w:val="003F5210"/>
    <w:rsid w:val="003F543F"/>
    <w:rsid w:val="003F5441"/>
    <w:rsid w:val="003F5949"/>
    <w:rsid w:val="003F5EDA"/>
    <w:rsid w:val="003F601F"/>
    <w:rsid w:val="003F6662"/>
    <w:rsid w:val="003F667D"/>
    <w:rsid w:val="003F6AF9"/>
    <w:rsid w:val="003F7284"/>
    <w:rsid w:val="003F72A8"/>
    <w:rsid w:val="003F72F3"/>
    <w:rsid w:val="003F75C8"/>
    <w:rsid w:val="003F75DF"/>
    <w:rsid w:val="003F7711"/>
    <w:rsid w:val="003F7C71"/>
    <w:rsid w:val="003F7D6A"/>
    <w:rsid w:val="00400226"/>
    <w:rsid w:val="004004F9"/>
    <w:rsid w:val="004006C1"/>
    <w:rsid w:val="004006CD"/>
    <w:rsid w:val="0040072B"/>
    <w:rsid w:val="0040073F"/>
    <w:rsid w:val="0040083D"/>
    <w:rsid w:val="004008D1"/>
    <w:rsid w:val="00400BBE"/>
    <w:rsid w:val="00400DE2"/>
    <w:rsid w:val="00400E06"/>
    <w:rsid w:val="00401120"/>
    <w:rsid w:val="004011E5"/>
    <w:rsid w:val="004013CF"/>
    <w:rsid w:val="00401586"/>
    <w:rsid w:val="0040164F"/>
    <w:rsid w:val="0040173D"/>
    <w:rsid w:val="00401C6B"/>
    <w:rsid w:val="00402027"/>
    <w:rsid w:val="00402048"/>
    <w:rsid w:val="00402228"/>
    <w:rsid w:val="00402657"/>
    <w:rsid w:val="0040298C"/>
    <w:rsid w:val="00402A24"/>
    <w:rsid w:val="00402F9E"/>
    <w:rsid w:val="0040324F"/>
    <w:rsid w:val="0040333C"/>
    <w:rsid w:val="00403749"/>
    <w:rsid w:val="00403C29"/>
    <w:rsid w:val="00403D3B"/>
    <w:rsid w:val="00403D4F"/>
    <w:rsid w:val="004044DE"/>
    <w:rsid w:val="0040470A"/>
    <w:rsid w:val="004051B3"/>
    <w:rsid w:val="00405337"/>
    <w:rsid w:val="00405644"/>
    <w:rsid w:val="004056DD"/>
    <w:rsid w:val="00405A3A"/>
    <w:rsid w:val="00405B56"/>
    <w:rsid w:val="00405F79"/>
    <w:rsid w:val="004061BD"/>
    <w:rsid w:val="004068C8"/>
    <w:rsid w:val="00406E64"/>
    <w:rsid w:val="00407118"/>
    <w:rsid w:val="00407127"/>
    <w:rsid w:val="004078A3"/>
    <w:rsid w:val="004079A3"/>
    <w:rsid w:val="00407AB5"/>
    <w:rsid w:val="00407D1A"/>
    <w:rsid w:val="00407F38"/>
    <w:rsid w:val="00410122"/>
    <w:rsid w:val="0041013C"/>
    <w:rsid w:val="004108E4"/>
    <w:rsid w:val="00410927"/>
    <w:rsid w:val="00410C4D"/>
    <w:rsid w:val="00410CC7"/>
    <w:rsid w:val="004113D4"/>
    <w:rsid w:val="004114EE"/>
    <w:rsid w:val="004115C0"/>
    <w:rsid w:val="004115EF"/>
    <w:rsid w:val="004117B5"/>
    <w:rsid w:val="004119A0"/>
    <w:rsid w:val="00411AB5"/>
    <w:rsid w:val="00411B6A"/>
    <w:rsid w:val="00412B8C"/>
    <w:rsid w:val="00412CB7"/>
    <w:rsid w:val="00412E39"/>
    <w:rsid w:val="00413136"/>
    <w:rsid w:val="0041341C"/>
    <w:rsid w:val="00413A24"/>
    <w:rsid w:val="004141E7"/>
    <w:rsid w:val="00414460"/>
    <w:rsid w:val="00414638"/>
    <w:rsid w:val="004148E6"/>
    <w:rsid w:val="004148FF"/>
    <w:rsid w:val="00414923"/>
    <w:rsid w:val="00414DBA"/>
    <w:rsid w:val="00414E63"/>
    <w:rsid w:val="00415023"/>
    <w:rsid w:val="004156C3"/>
    <w:rsid w:val="004156EF"/>
    <w:rsid w:val="00415AE6"/>
    <w:rsid w:val="00415CC1"/>
    <w:rsid w:val="00416C63"/>
    <w:rsid w:val="00416FE1"/>
    <w:rsid w:val="0041707C"/>
    <w:rsid w:val="00417329"/>
    <w:rsid w:val="0041755E"/>
    <w:rsid w:val="00417A30"/>
    <w:rsid w:val="00417B8C"/>
    <w:rsid w:val="00417BF1"/>
    <w:rsid w:val="00417EF5"/>
    <w:rsid w:val="0042070F"/>
    <w:rsid w:val="004208A5"/>
    <w:rsid w:val="004209CC"/>
    <w:rsid w:val="00420A70"/>
    <w:rsid w:val="00420C4D"/>
    <w:rsid w:val="0042130F"/>
    <w:rsid w:val="004215D6"/>
    <w:rsid w:val="004216FB"/>
    <w:rsid w:val="0042186D"/>
    <w:rsid w:val="00421C46"/>
    <w:rsid w:val="00421DD0"/>
    <w:rsid w:val="004221B7"/>
    <w:rsid w:val="00422289"/>
    <w:rsid w:val="004228F4"/>
    <w:rsid w:val="00422914"/>
    <w:rsid w:val="00422964"/>
    <w:rsid w:val="00422B6A"/>
    <w:rsid w:val="004231AE"/>
    <w:rsid w:val="004235D1"/>
    <w:rsid w:val="00423D17"/>
    <w:rsid w:val="00423E8B"/>
    <w:rsid w:val="00423EB9"/>
    <w:rsid w:val="00424368"/>
    <w:rsid w:val="004244BF"/>
    <w:rsid w:val="004245D7"/>
    <w:rsid w:val="00424747"/>
    <w:rsid w:val="004248B1"/>
    <w:rsid w:val="0042490B"/>
    <w:rsid w:val="00424C58"/>
    <w:rsid w:val="00424CF7"/>
    <w:rsid w:val="00424F88"/>
    <w:rsid w:val="00425365"/>
    <w:rsid w:val="00425398"/>
    <w:rsid w:val="0042557C"/>
    <w:rsid w:val="004257BB"/>
    <w:rsid w:val="00425A80"/>
    <w:rsid w:val="00426377"/>
    <w:rsid w:val="004265F2"/>
    <w:rsid w:val="004267DF"/>
    <w:rsid w:val="0042729D"/>
    <w:rsid w:val="00427422"/>
    <w:rsid w:val="00427523"/>
    <w:rsid w:val="00427791"/>
    <w:rsid w:val="00427C6B"/>
    <w:rsid w:val="00427E35"/>
    <w:rsid w:val="00427E4C"/>
    <w:rsid w:val="0043020B"/>
    <w:rsid w:val="004305DB"/>
    <w:rsid w:val="004306C3"/>
    <w:rsid w:val="004308B0"/>
    <w:rsid w:val="00430903"/>
    <w:rsid w:val="0043092B"/>
    <w:rsid w:val="00430C02"/>
    <w:rsid w:val="00430DEA"/>
    <w:rsid w:val="00430EDF"/>
    <w:rsid w:val="0043170C"/>
    <w:rsid w:val="00431833"/>
    <w:rsid w:val="004320CB"/>
    <w:rsid w:val="0043235C"/>
    <w:rsid w:val="00432847"/>
    <w:rsid w:val="004328F2"/>
    <w:rsid w:val="00432A8C"/>
    <w:rsid w:val="00432E61"/>
    <w:rsid w:val="00432FEE"/>
    <w:rsid w:val="00433032"/>
    <w:rsid w:val="00433123"/>
    <w:rsid w:val="0043375F"/>
    <w:rsid w:val="00433B11"/>
    <w:rsid w:val="00433B59"/>
    <w:rsid w:val="0043441C"/>
    <w:rsid w:val="00434A5E"/>
    <w:rsid w:val="00434B77"/>
    <w:rsid w:val="00435501"/>
    <w:rsid w:val="004357E2"/>
    <w:rsid w:val="004358AC"/>
    <w:rsid w:val="00435ACB"/>
    <w:rsid w:val="00435AF2"/>
    <w:rsid w:val="00435B2C"/>
    <w:rsid w:val="00435C25"/>
    <w:rsid w:val="00435E89"/>
    <w:rsid w:val="004360A9"/>
    <w:rsid w:val="004363BC"/>
    <w:rsid w:val="004364D5"/>
    <w:rsid w:val="004366A9"/>
    <w:rsid w:val="00436D62"/>
    <w:rsid w:val="00436E49"/>
    <w:rsid w:val="00436E95"/>
    <w:rsid w:val="0043702D"/>
    <w:rsid w:val="004372D0"/>
    <w:rsid w:val="0043745E"/>
    <w:rsid w:val="00437512"/>
    <w:rsid w:val="00437867"/>
    <w:rsid w:val="00437ADC"/>
    <w:rsid w:val="00437C9B"/>
    <w:rsid w:val="0044038E"/>
    <w:rsid w:val="004404C9"/>
    <w:rsid w:val="00440567"/>
    <w:rsid w:val="0044064F"/>
    <w:rsid w:val="0044074D"/>
    <w:rsid w:val="00440964"/>
    <w:rsid w:val="00440A45"/>
    <w:rsid w:val="00440AEE"/>
    <w:rsid w:val="00440C79"/>
    <w:rsid w:val="004412C4"/>
    <w:rsid w:val="00441663"/>
    <w:rsid w:val="004418E3"/>
    <w:rsid w:val="0044197F"/>
    <w:rsid w:val="00441B97"/>
    <w:rsid w:val="00441E03"/>
    <w:rsid w:val="00442030"/>
    <w:rsid w:val="00442852"/>
    <w:rsid w:val="00442874"/>
    <w:rsid w:val="0044287E"/>
    <w:rsid w:val="00442A3B"/>
    <w:rsid w:val="00442A64"/>
    <w:rsid w:val="00442C05"/>
    <w:rsid w:val="00443B76"/>
    <w:rsid w:val="00443EEC"/>
    <w:rsid w:val="00443F3B"/>
    <w:rsid w:val="004440DB"/>
    <w:rsid w:val="0044421E"/>
    <w:rsid w:val="004443B8"/>
    <w:rsid w:val="00444462"/>
    <w:rsid w:val="00444566"/>
    <w:rsid w:val="00444B1A"/>
    <w:rsid w:val="00444CCE"/>
    <w:rsid w:val="00444D49"/>
    <w:rsid w:val="004456E9"/>
    <w:rsid w:val="00445C9B"/>
    <w:rsid w:val="004461EC"/>
    <w:rsid w:val="00446342"/>
    <w:rsid w:val="004463EC"/>
    <w:rsid w:val="004466D2"/>
    <w:rsid w:val="004466E3"/>
    <w:rsid w:val="004468C7"/>
    <w:rsid w:val="00446906"/>
    <w:rsid w:val="00446A6A"/>
    <w:rsid w:val="00446ABF"/>
    <w:rsid w:val="00446CE7"/>
    <w:rsid w:val="00446EEE"/>
    <w:rsid w:val="004475BB"/>
    <w:rsid w:val="004476E8"/>
    <w:rsid w:val="004477C7"/>
    <w:rsid w:val="004479D0"/>
    <w:rsid w:val="004502D2"/>
    <w:rsid w:val="004504BC"/>
    <w:rsid w:val="004506B8"/>
    <w:rsid w:val="00450A62"/>
    <w:rsid w:val="00450E87"/>
    <w:rsid w:val="0045133A"/>
    <w:rsid w:val="00451530"/>
    <w:rsid w:val="00451531"/>
    <w:rsid w:val="00451653"/>
    <w:rsid w:val="00451B63"/>
    <w:rsid w:val="00451D7C"/>
    <w:rsid w:val="00451E86"/>
    <w:rsid w:val="00452130"/>
    <w:rsid w:val="00452358"/>
    <w:rsid w:val="004523EE"/>
    <w:rsid w:val="004526C7"/>
    <w:rsid w:val="004526E8"/>
    <w:rsid w:val="00452C05"/>
    <w:rsid w:val="00452C76"/>
    <w:rsid w:val="00452FFC"/>
    <w:rsid w:val="00453DA0"/>
    <w:rsid w:val="0045408C"/>
    <w:rsid w:val="004541BF"/>
    <w:rsid w:val="00454514"/>
    <w:rsid w:val="004545E7"/>
    <w:rsid w:val="00454CD7"/>
    <w:rsid w:val="00454E66"/>
    <w:rsid w:val="00454F7A"/>
    <w:rsid w:val="004550CC"/>
    <w:rsid w:val="004552E7"/>
    <w:rsid w:val="004554E9"/>
    <w:rsid w:val="00455C15"/>
    <w:rsid w:val="00455D55"/>
    <w:rsid w:val="00455DF8"/>
    <w:rsid w:val="0045649B"/>
    <w:rsid w:val="004567A8"/>
    <w:rsid w:val="004568F4"/>
    <w:rsid w:val="00456B16"/>
    <w:rsid w:val="00456BB1"/>
    <w:rsid w:val="0045769F"/>
    <w:rsid w:val="004579CF"/>
    <w:rsid w:val="00457E29"/>
    <w:rsid w:val="00457F43"/>
    <w:rsid w:val="004601CF"/>
    <w:rsid w:val="004606A1"/>
    <w:rsid w:val="0046071D"/>
    <w:rsid w:val="004611A4"/>
    <w:rsid w:val="00461962"/>
    <w:rsid w:val="00461AE2"/>
    <w:rsid w:val="00461D5D"/>
    <w:rsid w:val="00462F17"/>
    <w:rsid w:val="00463134"/>
    <w:rsid w:val="00463879"/>
    <w:rsid w:val="0046404F"/>
    <w:rsid w:val="004640BA"/>
    <w:rsid w:val="0046414D"/>
    <w:rsid w:val="004641A7"/>
    <w:rsid w:val="0046531F"/>
    <w:rsid w:val="00465631"/>
    <w:rsid w:val="004657CD"/>
    <w:rsid w:val="004657EE"/>
    <w:rsid w:val="00465919"/>
    <w:rsid w:val="00466276"/>
    <w:rsid w:val="00466279"/>
    <w:rsid w:val="004668CD"/>
    <w:rsid w:val="00466E71"/>
    <w:rsid w:val="00466EC8"/>
    <w:rsid w:val="00467210"/>
    <w:rsid w:val="004675F1"/>
    <w:rsid w:val="004677EC"/>
    <w:rsid w:val="00467931"/>
    <w:rsid w:val="00467A34"/>
    <w:rsid w:val="00467C42"/>
    <w:rsid w:val="00470198"/>
    <w:rsid w:val="004701D9"/>
    <w:rsid w:val="0047055A"/>
    <w:rsid w:val="00470FA9"/>
    <w:rsid w:val="004715AF"/>
    <w:rsid w:val="004719B0"/>
    <w:rsid w:val="00471B25"/>
    <w:rsid w:val="00472393"/>
    <w:rsid w:val="00472431"/>
    <w:rsid w:val="004725EC"/>
    <w:rsid w:val="004726FB"/>
    <w:rsid w:val="0047294F"/>
    <w:rsid w:val="00472967"/>
    <w:rsid w:val="00472A45"/>
    <w:rsid w:val="00472DDD"/>
    <w:rsid w:val="00473A55"/>
    <w:rsid w:val="00473D07"/>
    <w:rsid w:val="00474606"/>
    <w:rsid w:val="00474784"/>
    <w:rsid w:val="00474CCD"/>
    <w:rsid w:val="00474E1C"/>
    <w:rsid w:val="00474F65"/>
    <w:rsid w:val="00475601"/>
    <w:rsid w:val="004758CE"/>
    <w:rsid w:val="00475DA5"/>
    <w:rsid w:val="00475E89"/>
    <w:rsid w:val="00475EAA"/>
    <w:rsid w:val="00476443"/>
    <w:rsid w:val="00476AEE"/>
    <w:rsid w:val="00476D0E"/>
    <w:rsid w:val="00476D3B"/>
    <w:rsid w:val="00476DAE"/>
    <w:rsid w:val="00477062"/>
    <w:rsid w:val="0047718C"/>
    <w:rsid w:val="004774D5"/>
    <w:rsid w:val="00477ED4"/>
    <w:rsid w:val="004803DA"/>
    <w:rsid w:val="00480CE3"/>
    <w:rsid w:val="00480D3C"/>
    <w:rsid w:val="00480F05"/>
    <w:rsid w:val="00481039"/>
    <w:rsid w:val="004815E1"/>
    <w:rsid w:val="00481782"/>
    <w:rsid w:val="00481936"/>
    <w:rsid w:val="00481974"/>
    <w:rsid w:val="00481F19"/>
    <w:rsid w:val="00482053"/>
    <w:rsid w:val="00482115"/>
    <w:rsid w:val="0048220A"/>
    <w:rsid w:val="004822EE"/>
    <w:rsid w:val="00482318"/>
    <w:rsid w:val="00482C37"/>
    <w:rsid w:val="00482C8C"/>
    <w:rsid w:val="00483009"/>
    <w:rsid w:val="00483453"/>
    <w:rsid w:val="00483924"/>
    <w:rsid w:val="00483DB4"/>
    <w:rsid w:val="00483F2C"/>
    <w:rsid w:val="00483FA0"/>
    <w:rsid w:val="00483FEE"/>
    <w:rsid w:val="0048401D"/>
    <w:rsid w:val="0048408F"/>
    <w:rsid w:val="004841E8"/>
    <w:rsid w:val="0048484D"/>
    <w:rsid w:val="00484B13"/>
    <w:rsid w:val="00484F0D"/>
    <w:rsid w:val="00484FBD"/>
    <w:rsid w:val="0048509B"/>
    <w:rsid w:val="00485303"/>
    <w:rsid w:val="004856F4"/>
    <w:rsid w:val="00485733"/>
    <w:rsid w:val="00485B35"/>
    <w:rsid w:val="004861E4"/>
    <w:rsid w:val="0048628E"/>
    <w:rsid w:val="0048640B"/>
    <w:rsid w:val="00486829"/>
    <w:rsid w:val="00486929"/>
    <w:rsid w:val="00486B59"/>
    <w:rsid w:val="00486B67"/>
    <w:rsid w:val="00486B6E"/>
    <w:rsid w:val="00486D5F"/>
    <w:rsid w:val="0048703B"/>
    <w:rsid w:val="00487179"/>
    <w:rsid w:val="0048765C"/>
    <w:rsid w:val="0048773C"/>
    <w:rsid w:val="0048795B"/>
    <w:rsid w:val="00487C7E"/>
    <w:rsid w:val="00490108"/>
    <w:rsid w:val="0049015B"/>
    <w:rsid w:val="004904F5"/>
    <w:rsid w:val="004906FB"/>
    <w:rsid w:val="00490C2A"/>
    <w:rsid w:val="00490C3F"/>
    <w:rsid w:val="00490D40"/>
    <w:rsid w:val="00490DDC"/>
    <w:rsid w:val="00491418"/>
    <w:rsid w:val="0049161A"/>
    <w:rsid w:val="00491665"/>
    <w:rsid w:val="004916B2"/>
    <w:rsid w:val="004918B4"/>
    <w:rsid w:val="00491ED6"/>
    <w:rsid w:val="00491F50"/>
    <w:rsid w:val="00491FBF"/>
    <w:rsid w:val="00492E27"/>
    <w:rsid w:val="0049304D"/>
    <w:rsid w:val="0049312E"/>
    <w:rsid w:val="004931D8"/>
    <w:rsid w:val="004933D1"/>
    <w:rsid w:val="004935C8"/>
    <w:rsid w:val="00493A39"/>
    <w:rsid w:val="00493B28"/>
    <w:rsid w:val="00493DB4"/>
    <w:rsid w:val="00494882"/>
    <w:rsid w:val="00494887"/>
    <w:rsid w:val="004948E5"/>
    <w:rsid w:val="00494A56"/>
    <w:rsid w:val="00494AD0"/>
    <w:rsid w:val="00494B2B"/>
    <w:rsid w:val="00494E0F"/>
    <w:rsid w:val="004953C0"/>
    <w:rsid w:val="00495492"/>
    <w:rsid w:val="00495AA8"/>
    <w:rsid w:val="00495C63"/>
    <w:rsid w:val="00495D95"/>
    <w:rsid w:val="00496099"/>
    <w:rsid w:val="00496291"/>
    <w:rsid w:val="00496390"/>
    <w:rsid w:val="004968FF"/>
    <w:rsid w:val="00496AE2"/>
    <w:rsid w:val="00496C09"/>
    <w:rsid w:val="00496F5C"/>
    <w:rsid w:val="004972E6"/>
    <w:rsid w:val="00497911"/>
    <w:rsid w:val="00497937"/>
    <w:rsid w:val="0049797E"/>
    <w:rsid w:val="00497A95"/>
    <w:rsid w:val="00497BDA"/>
    <w:rsid w:val="00497C61"/>
    <w:rsid w:val="00497FC1"/>
    <w:rsid w:val="004A0144"/>
    <w:rsid w:val="004A0784"/>
    <w:rsid w:val="004A09F0"/>
    <w:rsid w:val="004A0CE3"/>
    <w:rsid w:val="004A1309"/>
    <w:rsid w:val="004A1806"/>
    <w:rsid w:val="004A1846"/>
    <w:rsid w:val="004A1AB0"/>
    <w:rsid w:val="004A1D55"/>
    <w:rsid w:val="004A20EC"/>
    <w:rsid w:val="004A2215"/>
    <w:rsid w:val="004A247A"/>
    <w:rsid w:val="004A2726"/>
    <w:rsid w:val="004A27DC"/>
    <w:rsid w:val="004A2994"/>
    <w:rsid w:val="004A2B7C"/>
    <w:rsid w:val="004A2D44"/>
    <w:rsid w:val="004A2FAA"/>
    <w:rsid w:val="004A3456"/>
    <w:rsid w:val="004A357D"/>
    <w:rsid w:val="004A38E3"/>
    <w:rsid w:val="004A3E25"/>
    <w:rsid w:val="004A3F8B"/>
    <w:rsid w:val="004A403D"/>
    <w:rsid w:val="004A4188"/>
    <w:rsid w:val="004A4475"/>
    <w:rsid w:val="004A46C5"/>
    <w:rsid w:val="004A4A15"/>
    <w:rsid w:val="004A4B2C"/>
    <w:rsid w:val="004A4B74"/>
    <w:rsid w:val="004A530C"/>
    <w:rsid w:val="004A5588"/>
    <w:rsid w:val="004A56A4"/>
    <w:rsid w:val="004A577F"/>
    <w:rsid w:val="004A5887"/>
    <w:rsid w:val="004A597B"/>
    <w:rsid w:val="004A5AD8"/>
    <w:rsid w:val="004A5B90"/>
    <w:rsid w:val="004A62E9"/>
    <w:rsid w:val="004A6526"/>
    <w:rsid w:val="004A655F"/>
    <w:rsid w:val="004A7035"/>
    <w:rsid w:val="004A7492"/>
    <w:rsid w:val="004A7567"/>
    <w:rsid w:val="004A7606"/>
    <w:rsid w:val="004A786D"/>
    <w:rsid w:val="004B0317"/>
    <w:rsid w:val="004B03D9"/>
    <w:rsid w:val="004B04BD"/>
    <w:rsid w:val="004B04D7"/>
    <w:rsid w:val="004B0A38"/>
    <w:rsid w:val="004B0A68"/>
    <w:rsid w:val="004B0C4B"/>
    <w:rsid w:val="004B111C"/>
    <w:rsid w:val="004B1C2D"/>
    <w:rsid w:val="004B25E6"/>
    <w:rsid w:val="004B2729"/>
    <w:rsid w:val="004B279E"/>
    <w:rsid w:val="004B2D56"/>
    <w:rsid w:val="004B2DB6"/>
    <w:rsid w:val="004B2E7D"/>
    <w:rsid w:val="004B2EEE"/>
    <w:rsid w:val="004B35F1"/>
    <w:rsid w:val="004B41C8"/>
    <w:rsid w:val="004B439C"/>
    <w:rsid w:val="004B4DC4"/>
    <w:rsid w:val="004B4E49"/>
    <w:rsid w:val="004B4E73"/>
    <w:rsid w:val="004B4EB5"/>
    <w:rsid w:val="004B4F83"/>
    <w:rsid w:val="004B5305"/>
    <w:rsid w:val="004B5370"/>
    <w:rsid w:val="004B54E9"/>
    <w:rsid w:val="004B5F66"/>
    <w:rsid w:val="004B5FC4"/>
    <w:rsid w:val="004B608D"/>
    <w:rsid w:val="004B60F5"/>
    <w:rsid w:val="004B642A"/>
    <w:rsid w:val="004B6ABB"/>
    <w:rsid w:val="004B6B1C"/>
    <w:rsid w:val="004B6B5C"/>
    <w:rsid w:val="004B6BDE"/>
    <w:rsid w:val="004B70CA"/>
    <w:rsid w:val="004B7493"/>
    <w:rsid w:val="004B7502"/>
    <w:rsid w:val="004B7541"/>
    <w:rsid w:val="004B7598"/>
    <w:rsid w:val="004B770C"/>
    <w:rsid w:val="004C0174"/>
    <w:rsid w:val="004C0303"/>
    <w:rsid w:val="004C0831"/>
    <w:rsid w:val="004C086B"/>
    <w:rsid w:val="004C0962"/>
    <w:rsid w:val="004C0D5D"/>
    <w:rsid w:val="004C14BA"/>
    <w:rsid w:val="004C1616"/>
    <w:rsid w:val="004C1D0D"/>
    <w:rsid w:val="004C21DE"/>
    <w:rsid w:val="004C23DC"/>
    <w:rsid w:val="004C25D9"/>
    <w:rsid w:val="004C2722"/>
    <w:rsid w:val="004C283C"/>
    <w:rsid w:val="004C28EB"/>
    <w:rsid w:val="004C2EF1"/>
    <w:rsid w:val="004C2F6F"/>
    <w:rsid w:val="004C31E2"/>
    <w:rsid w:val="004C337B"/>
    <w:rsid w:val="004C40BC"/>
    <w:rsid w:val="004C427D"/>
    <w:rsid w:val="004C4644"/>
    <w:rsid w:val="004C48E6"/>
    <w:rsid w:val="004C4B5B"/>
    <w:rsid w:val="004C4E75"/>
    <w:rsid w:val="004C528C"/>
    <w:rsid w:val="004C5316"/>
    <w:rsid w:val="004C53CC"/>
    <w:rsid w:val="004C551B"/>
    <w:rsid w:val="004C5D58"/>
    <w:rsid w:val="004C5ED1"/>
    <w:rsid w:val="004C62E7"/>
    <w:rsid w:val="004C6314"/>
    <w:rsid w:val="004C661C"/>
    <w:rsid w:val="004C6808"/>
    <w:rsid w:val="004C6AA8"/>
    <w:rsid w:val="004C6B4A"/>
    <w:rsid w:val="004C6B55"/>
    <w:rsid w:val="004C6F04"/>
    <w:rsid w:val="004C6FC2"/>
    <w:rsid w:val="004C7207"/>
    <w:rsid w:val="004C7240"/>
    <w:rsid w:val="004C73BA"/>
    <w:rsid w:val="004C7521"/>
    <w:rsid w:val="004C7BD5"/>
    <w:rsid w:val="004C7C54"/>
    <w:rsid w:val="004C7D16"/>
    <w:rsid w:val="004C7F7B"/>
    <w:rsid w:val="004D0117"/>
    <w:rsid w:val="004D0459"/>
    <w:rsid w:val="004D0AF3"/>
    <w:rsid w:val="004D0D12"/>
    <w:rsid w:val="004D0DC9"/>
    <w:rsid w:val="004D1077"/>
    <w:rsid w:val="004D1116"/>
    <w:rsid w:val="004D14A3"/>
    <w:rsid w:val="004D14D2"/>
    <w:rsid w:val="004D1525"/>
    <w:rsid w:val="004D16F4"/>
    <w:rsid w:val="004D1E2C"/>
    <w:rsid w:val="004D232E"/>
    <w:rsid w:val="004D24B7"/>
    <w:rsid w:val="004D26AC"/>
    <w:rsid w:val="004D27A9"/>
    <w:rsid w:val="004D2B15"/>
    <w:rsid w:val="004D3107"/>
    <w:rsid w:val="004D3284"/>
    <w:rsid w:val="004D32E7"/>
    <w:rsid w:val="004D3406"/>
    <w:rsid w:val="004D36A8"/>
    <w:rsid w:val="004D3772"/>
    <w:rsid w:val="004D37A4"/>
    <w:rsid w:val="004D3B6D"/>
    <w:rsid w:val="004D3E8A"/>
    <w:rsid w:val="004D430C"/>
    <w:rsid w:val="004D4F68"/>
    <w:rsid w:val="004D52D5"/>
    <w:rsid w:val="004D5593"/>
    <w:rsid w:val="004D5A1A"/>
    <w:rsid w:val="004D5B1B"/>
    <w:rsid w:val="004D5EA5"/>
    <w:rsid w:val="004D5F28"/>
    <w:rsid w:val="004D5F73"/>
    <w:rsid w:val="004D6088"/>
    <w:rsid w:val="004D6948"/>
    <w:rsid w:val="004D6FA8"/>
    <w:rsid w:val="004D717D"/>
    <w:rsid w:val="004D7D6C"/>
    <w:rsid w:val="004D7E14"/>
    <w:rsid w:val="004E0155"/>
    <w:rsid w:val="004E0561"/>
    <w:rsid w:val="004E0633"/>
    <w:rsid w:val="004E071C"/>
    <w:rsid w:val="004E0D59"/>
    <w:rsid w:val="004E0F6E"/>
    <w:rsid w:val="004E0FFB"/>
    <w:rsid w:val="004E1465"/>
    <w:rsid w:val="004E14A3"/>
    <w:rsid w:val="004E18B6"/>
    <w:rsid w:val="004E1913"/>
    <w:rsid w:val="004E19E2"/>
    <w:rsid w:val="004E1A53"/>
    <w:rsid w:val="004E1CF2"/>
    <w:rsid w:val="004E1D4F"/>
    <w:rsid w:val="004E1E81"/>
    <w:rsid w:val="004E23F5"/>
    <w:rsid w:val="004E24D9"/>
    <w:rsid w:val="004E2893"/>
    <w:rsid w:val="004E2B93"/>
    <w:rsid w:val="004E2C2F"/>
    <w:rsid w:val="004E2D25"/>
    <w:rsid w:val="004E2D2E"/>
    <w:rsid w:val="004E3343"/>
    <w:rsid w:val="004E3393"/>
    <w:rsid w:val="004E39C0"/>
    <w:rsid w:val="004E42AE"/>
    <w:rsid w:val="004E4336"/>
    <w:rsid w:val="004E444D"/>
    <w:rsid w:val="004E4532"/>
    <w:rsid w:val="004E46CB"/>
    <w:rsid w:val="004E48A8"/>
    <w:rsid w:val="004E4A89"/>
    <w:rsid w:val="004E4B21"/>
    <w:rsid w:val="004E4C8C"/>
    <w:rsid w:val="004E4D48"/>
    <w:rsid w:val="004E4D73"/>
    <w:rsid w:val="004E50F2"/>
    <w:rsid w:val="004E5D6F"/>
    <w:rsid w:val="004E5DF4"/>
    <w:rsid w:val="004E5EDC"/>
    <w:rsid w:val="004E6058"/>
    <w:rsid w:val="004E64C6"/>
    <w:rsid w:val="004E66AE"/>
    <w:rsid w:val="004E6995"/>
    <w:rsid w:val="004E6C10"/>
    <w:rsid w:val="004E6C31"/>
    <w:rsid w:val="004E72D3"/>
    <w:rsid w:val="004E75B0"/>
    <w:rsid w:val="004E75EA"/>
    <w:rsid w:val="004E7872"/>
    <w:rsid w:val="004E7DCF"/>
    <w:rsid w:val="004E7F61"/>
    <w:rsid w:val="004F006B"/>
    <w:rsid w:val="004F02A6"/>
    <w:rsid w:val="004F0469"/>
    <w:rsid w:val="004F05AD"/>
    <w:rsid w:val="004F064C"/>
    <w:rsid w:val="004F0756"/>
    <w:rsid w:val="004F08C9"/>
    <w:rsid w:val="004F0BCD"/>
    <w:rsid w:val="004F0DCB"/>
    <w:rsid w:val="004F1342"/>
    <w:rsid w:val="004F14BB"/>
    <w:rsid w:val="004F14F5"/>
    <w:rsid w:val="004F166F"/>
    <w:rsid w:val="004F168E"/>
    <w:rsid w:val="004F1829"/>
    <w:rsid w:val="004F1886"/>
    <w:rsid w:val="004F197C"/>
    <w:rsid w:val="004F19B8"/>
    <w:rsid w:val="004F1A95"/>
    <w:rsid w:val="004F1AFA"/>
    <w:rsid w:val="004F1B1B"/>
    <w:rsid w:val="004F1CB5"/>
    <w:rsid w:val="004F1CD1"/>
    <w:rsid w:val="004F202B"/>
    <w:rsid w:val="004F2511"/>
    <w:rsid w:val="004F279B"/>
    <w:rsid w:val="004F2F7E"/>
    <w:rsid w:val="004F31F9"/>
    <w:rsid w:val="004F37E8"/>
    <w:rsid w:val="004F3972"/>
    <w:rsid w:val="004F3AC6"/>
    <w:rsid w:val="004F3EEF"/>
    <w:rsid w:val="004F40DC"/>
    <w:rsid w:val="004F46F8"/>
    <w:rsid w:val="004F4A73"/>
    <w:rsid w:val="004F4AB0"/>
    <w:rsid w:val="004F4CA8"/>
    <w:rsid w:val="004F4D15"/>
    <w:rsid w:val="004F4D4A"/>
    <w:rsid w:val="004F4F4B"/>
    <w:rsid w:val="004F544A"/>
    <w:rsid w:val="004F5533"/>
    <w:rsid w:val="004F56E2"/>
    <w:rsid w:val="004F57F2"/>
    <w:rsid w:val="004F5998"/>
    <w:rsid w:val="004F5CD9"/>
    <w:rsid w:val="004F5F39"/>
    <w:rsid w:val="004F6191"/>
    <w:rsid w:val="004F61FC"/>
    <w:rsid w:val="004F62AE"/>
    <w:rsid w:val="004F6956"/>
    <w:rsid w:val="004F767D"/>
    <w:rsid w:val="004F76DF"/>
    <w:rsid w:val="004F77E6"/>
    <w:rsid w:val="004F7A40"/>
    <w:rsid w:val="004F7D43"/>
    <w:rsid w:val="005001E0"/>
    <w:rsid w:val="00500489"/>
    <w:rsid w:val="005005DB"/>
    <w:rsid w:val="00501679"/>
    <w:rsid w:val="00501A5C"/>
    <w:rsid w:val="00501B27"/>
    <w:rsid w:val="00501B4C"/>
    <w:rsid w:val="00501BAF"/>
    <w:rsid w:val="00501BB5"/>
    <w:rsid w:val="00501EB2"/>
    <w:rsid w:val="0050216E"/>
    <w:rsid w:val="005022A9"/>
    <w:rsid w:val="005023C1"/>
    <w:rsid w:val="00502542"/>
    <w:rsid w:val="0050273E"/>
    <w:rsid w:val="00502955"/>
    <w:rsid w:val="00502956"/>
    <w:rsid w:val="00502D5D"/>
    <w:rsid w:val="005031AB"/>
    <w:rsid w:val="00503353"/>
    <w:rsid w:val="00503FDA"/>
    <w:rsid w:val="00504664"/>
    <w:rsid w:val="0050481E"/>
    <w:rsid w:val="00504A6C"/>
    <w:rsid w:val="00504BAE"/>
    <w:rsid w:val="00504FA3"/>
    <w:rsid w:val="00505328"/>
    <w:rsid w:val="00505670"/>
    <w:rsid w:val="00505CD4"/>
    <w:rsid w:val="00505F43"/>
    <w:rsid w:val="0050620A"/>
    <w:rsid w:val="005068C3"/>
    <w:rsid w:val="005069BB"/>
    <w:rsid w:val="00506A27"/>
    <w:rsid w:val="00506A81"/>
    <w:rsid w:val="00506A82"/>
    <w:rsid w:val="00506C64"/>
    <w:rsid w:val="00506C9D"/>
    <w:rsid w:val="00507905"/>
    <w:rsid w:val="00507D10"/>
    <w:rsid w:val="00507D2B"/>
    <w:rsid w:val="00507E4E"/>
    <w:rsid w:val="00510690"/>
    <w:rsid w:val="005106EE"/>
    <w:rsid w:val="005107D2"/>
    <w:rsid w:val="00510824"/>
    <w:rsid w:val="00510901"/>
    <w:rsid w:val="00510DD6"/>
    <w:rsid w:val="00510FC5"/>
    <w:rsid w:val="005110DF"/>
    <w:rsid w:val="00511387"/>
    <w:rsid w:val="005115FC"/>
    <w:rsid w:val="00511612"/>
    <w:rsid w:val="0051166A"/>
    <w:rsid w:val="005119EE"/>
    <w:rsid w:val="00511ADA"/>
    <w:rsid w:val="00511E5A"/>
    <w:rsid w:val="0051264E"/>
    <w:rsid w:val="00512815"/>
    <w:rsid w:val="005128B2"/>
    <w:rsid w:val="00512B3A"/>
    <w:rsid w:val="00513017"/>
    <w:rsid w:val="005134C2"/>
    <w:rsid w:val="00514630"/>
    <w:rsid w:val="0051497F"/>
    <w:rsid w:val="00514C7F"/>
    <w:rsid w:val="00514CBD"/>
    <w:rsid w:val="005151E1"/>
    <w:rsid w:val="0051550F"/>
    <w:rsid w:val="005155FC"/>
    <w:rsid w:val="005157DC"/>
    <w:rsid w:val="00515BD6"/>
    <w:rsid w:val="00515BF3"/>
    <w:rsid w:val="00515C02"/>
    <w:rsid w:val="00515FCE"/>
    <w:rsid w:val="00516095"/>
    <w:rsid w:val="005161F9"/>
    <w:rsid w:val="00516CCF"/>
    <w:rsid w:val="00516D20"/>
    <w:rsid w:val="00516E18"/>
    <w:rsid w:val="00516E91"/>
    <w:rsid w:val="00516F0A"/>
    <w:rsid w:val="00517329"/>
    <w:rsid w:val="0051742C"/>
    <w:rsid w:val="00517B3C"/>
    <w:rsid w:val="005201CE"/>
    <w:rsid w:val="005207E0"/>
    <w:rsid w:val="005208DB"/>
    <w:rsid w:val="005208F7"/>
    <w:rsid w:val="00520BCE"/>
    <w:rsid w:val="00520EBA"/>
    <w:rsid w:val="005212DE"/>
    <w:rsid w:val="00521BF8"/>
    <w:rsid w:val="00521EED"/>
    <w:rsid w:val="00522081"/>
    <w:rsid w:val="00522378"/>
    <w:rsid w:val="00522614"/>
    <w:rsid w:val="005228E1"/>
    <w:rsid w:val="00522D35"/>
    <w:rsid w:val="00522E5C"/>
    <w:rsid w:val="00522FB9"/>
    <w:rsid w:val="00523391"/>
    <w:rsid w:val="00523712"/>
    <w:rsid w:val="0052399C"/>
    <w:rsid w:val="00523AFB"/>
    <w:rsid w:val="00523DBA"/>
    <w:rsid w:val="00523E1E"/>
    <w:rsid w:val="00523F20"/>
    <w:rsid w:val="00524350"/>
    <w:rsid w:val="005244BA"/>
    <w:rsid w:val="00524698"/>
    <w:rsid w:val="00524949"/>
    <w:rsid w:val="00524B58"/>
    <w:rsid w:val="00525066"/>
    <w:rsid w:val="00525699"/>
    <w:rsid w:val="005256A7"/>
    <w:rsid w:val="005258D6"/>
    <w:rsid w:val="005259A5"/>
    <w:rsid w:val="00525D6B"/>
    <w:rsid w:val="00525F09"/>
    <w:rsid w:val="005260BF"/>
    <w:rsid w:val="0052619D"/>
    <w:rsid w:val="005263D7"/>
    <w:rsid w:val="00526568"/>
    <w:rsid w:val="00526A9B"/>
    <w:rsid w:val="00526B0A"/>
    <w:rsid w:val="00526B27"/>
    <w:rsid w:val="00526E0E"/>
    <w:rsid w:val="005273DC"/>
    <w:rsid w:val="00527616"/>
    <w:rsid w:val="00527AE3"/>
    <w:rsid w:val="005301EF"/>
    <w:rsid w:val="00530556"/>
    <w:rsid w:val="00530902"/>
    <w:rsid w:val="0053108C"/>
    <w:rsid w:val="005311A5"/>
    <w:rsid w:val="00531534"/>
    <w:rsid w:val="0053165F"/>
    <w:rsid w:val="00531C1C"/>
    <w:rsid w:val="00531C87"/>
    <w:rsid w:val="00531EB6"/>
    <w:rsid w:val="0053200C"/>
    <w:rsid w:val="005327B3"/>
    <w:rsid w:val="00533071"/>
    <w:rsid w:val="005335CC"/>
    <w:rsid w:val="005339FA"/>
    <w:rsid w:val="00533AF5"/>
    <w:rsid w:val="00533BB1"/>
    <w:rsid w:val="00533C51"/>
    <w:rsid w:val="00533DF3"/>
    <w:rsid w:val="00533FC7"/>
    <w:rsid w:val="00534124"/>
    <w:rsid w:val="0053438F"/>
    <w:rsid w:val="00534495"/>
    <w:rsid w:val="0053449E"/>
    <w:rsid w:val="00534C4C"/>
    <w:rsid w:val="0053535E"/>
    <w:rsid w:val="005356D3"/>
    <w:rsid w:val="00535AE3"/>
    <w:rsid w:val="00535B6E"/>
    <w:rsid w:val="00535C46"/>
    <w:rsid w:val="00535E92"/>
    <w:rsid w:val="00536702"/>
    <w:rsid w:val="0053699A"/>
    <w:rsid w:val="00536C5B"/>
    <w:rsid w:val="00536CEE"/>
    <w:rsid w:val="00536EF9"/>
    <w:rsid w:val="00536FC5"/>
    <w:rsid w:val="005375DE"/>
    <w:rsid w:val="00537A37"/>
    <w:rsid w:val="005403E8"/>
    <w:rsid w:val="005404E1"/>
    <w:rsid w:val="00540896"/>
    <w:rsid w:val="00540CB7"/>
    <w:rsid w:val="00540D3B"/>
    <w:rsid w:val="00540DA7"/>
    <w:rsid w:val="005416C5"/>
    <w:rsid w:val="005419F8"/>
    <w:rsid w:val="00541E8D"/>
    <w:rsid w:val="0054205B"/>
    <w:rsid w:val="005420FE"/>
    <w:rsid w:val="005426E2"/>
    <w:rsid w:val="00542B8C"/>
    <w:rsid w:val="00542EC0"/>
    <w:rsid w:val="00543085"/>
    <w:rsid w:val="005435C0"/>
    <w:rsid w:val="00543BE7"/>
    <w:rsid w:val="00543DAE"/>
    <w:rsid w:val="0054401E"/>
    <w:rsid w:val="0054407E"/>
    <w:rsid w:val="0054442A"/>
    <w:rsid w:val="005444E9"/>
    <w:rsid w:val="005445F7"/>
    <w:rsid w:val="00544D8A"/>
    <w:rsid w:val="00544FB5"/>
    <w:rsid w:val="00545042"/>
    <w:rsid w:val="0054510D"/>
    <w:rsid w:val="00545613"/>
    <w:rsid w:val="00545713"/>
    <w:rsid w:val="005459E7"/>
    <w:rsid w:val="00545AB8"/>
    <w:rsid w:val="00545EA5"/>
    <w:rsid w:val="00546251"/>
    <w:rsid w:val="005468F2"/>
    <w:rsid w:val="0054695D"/>
    <w:rsid w:val="00546D1A"/>
    <w:rsid w:val="00546DE5"/>
    <w:rsid w:val="0054736B"/>
    <w:rsid w:val="005473D5"/>
    <w:rsid w:val="005477E1"/>
    <w:rsid w:val="005478EE"/>
    <w:rsid w:val="00547952"/>
    <w:rsid w:val="005479E6"/>
    <w:rsid w:val="00550022"/>
    <w:rsid w:val="00550206"/>
    <w:rsid w:val="00550209"/>
    <w:rsid w:val="00550237"/>
    <w:rsid w:val="00550567"/>
    <w:rsid w:val="0055094A"/>
    <w:rsid w:val="00550B4A"/>
    <w:rsid w:val="00550D49"/>
    <w:rsid w:val="00550D54"/>
    <w:rsid w:val="00550E08"/>
    <w:rsid w:val="00550E67"/>
    <w:rsid w:val="0055113A"/>
    <w:rsid w:val="005511C7"/>
    <w:rsid w:val="00551587"/>
    <w:rsid w:val="005516CB"/>
    <w:rsid w:val="00551827"/>
    <w:rsid w:val="00551934"/>
    <w:rsid w:val="00551A19"/>
    <w:rsid w:val="00551E71"/>
    <w:rsid w:val="00551FBF"/>
    <w:rsid w:val="005523BA"/>
    <w:rsid w:val="00552832"/>
    <w:rsid w:val="0055287E"/>
    <w:rsid w:val="00552964"/>
    <w:rsid w:val="00552D05"/>
    <w:rsid w:val="005530A2"/>
    <w:rsid w:val="005534C4"/>
    <w:rsid w:val="00553840"/>
    <w:rsid w:val="00553BBD"/>
    <w:rsid w:val="00553D13"/>
    <w:rsid w:val="005546CA"/>
    <w:rsid w:val="00554968"/>
    <w:rsid w:val="00554A9C"/>
    <w:rsid w:val="00554C91"/>
    <w:rsid w:val="00554CA6"/>
    <w:rsid w:val="00554ED4"/>
    <w:rsid w:val="00554FAD"/>
    <w:rsid w:val="005550A8"/>
    <w:rsid w:val="00555345"/>
    <w:rsid w:val="0055544E"/>
    <w:rsid w:val="005556AD"/>
    <w:rsid w:val="0055572D"/>
    <w:rsid w:val="005560FE"/>
    <w:rsid w:val="00556135"/>
    <w:rsid w:val="005564F5"/>
    <w:rsid w:val="00556D40"/>
    <w:rsid w:val="00557157"/>
    <w:rsid w:val="0055717A"/>
    <w:rsid w:val="00557214"/>
    <w:rsid w:val="005576A6"/>
    <w:rsid w:val="0055792F"/>
    <w:rsid w:val="005602C7"/>
    <w:rsid w:val="005603A9"/>
    <w:rsid w:val="00560C12"/>
    <w:rsid w:val="005612C9"/>
    <w:rsid w:val="005614C1"/>
    <w:rsid w:val="00561806"/>
    <w:rsid w:val="00561E68"/>
    <w:rsid w:val="00561E73"/>
    <w:rsid w:val="00561EA3"/>
    <w:rsid w:val="0056283E"/>
    <w:rsid w:val="00562B48"/>
    <w:rsid w:val="00562EA7"/>
    <w:rsid w:val="00562F5A"/>
    <w:rsid w:val="005632DF"/>
    <w:rsid w:val="0056350B"/>
    <w:rsid w:val="0056392A"/>
    <w:rsid w:val="005639A5"/>
    <w:rsid w:val="00563A6E"/>
    <w:rsid w:val="00563DE5"/>
    <w:rsid w:val="00563E4C"/>
    <w:rsid w:val="00563F49"/>
    <w:rsid w:val="005640A9"/>
    <w:rsid w:val="005644A3"/>
    <w:rsid w:val="00564545"/>
    <w:rsid w:val="00564842"/>
    <w:rsid w:val="00564B20"/>
    <w:rsid w:val="005655A5"/>
    <w:rsid w:val="00565738"/>
    <w:rsid w:val="00565A3F"/>
    <w:rsid w:val="00565A63"/>
    <w:rsid w:val="00565C07"/>
    <w:rsid w:val="00565D5F"/>
    <w:rsid w:val="00565E43"/>
    <w:rsid w:val="005667B3"/>
    <w:rsid w:val="00566946"/>
    <w:rsid w:val="00566A62"/>
    <w:rsid w:val="00566CEE"/>
    <w:rsid w:val="00566E4F"/>
    <w:rsid w:val="00566E7D"/>
    <w:rsid w:val="0056719B"/>
    <w:rsid w:val="0056781A"/>
    <w:rsid w:val="00567C7E"/>
    <w:rsid w:val="0057042D"/>
    <w:rsid w:val="005704A5"/>
    <w:rsid w:val="0057091B"/>
    <w:rsid w:val="00570A3D"/>
    <w:rsid w:val="00570B81"/>
    <w:rsid w:val="00570E56"/>
    <w:rsid w:val="0057101A"/>
    <w:rsid w:val="005710D0"/>
    <w:rsid w:val="0057114E"/>
    <w:rsid w:val="00571960"/>
    <w:rsid w:val="00572499"/>
    <w:rsid w:val="00572A13"/>
    <w:rsid w:val="00572A25"/>
    <w:rsid w:val="00572CC6"/>
    <w:rsid w:val="00572FD8"/>
    <w:rsid w:val="005736E3"/>
    <w:rsid w:val="00573CFA"/>
    <w:rsid w:val="00573D06"/>
    <w:rsid w:val="00573D6B"/>
    <w:rsid w:val="00573EA9"/>
    <w:rsid w:val="005746DD"/>
    <w:rsid w:val="00575136"/>
    <w:rsid w:val="005753F7"/>
    <w:rsid w:val="00575A58"/>
    <w:rsid w:val="00575C40"/>
    <w:rsid w:val="00575F77"/>
    <w:rsid w:val="0057611C"/>
    <w:rsid w:val="00576377"/>
    <w:rsid w:val="00576452"/>
    <w:rsid w:val="0057672B"/>
    <w:rsid w:val="00576835"/>
    <w:rsid w:val="00576AB3"/>
    <w:rsid w:val="00577130"/>
    <w:rsid w:val="0057731B"/>
    <w:rsid w:val="0057731E"/>
    <w:rsid w:val="005773BA"/>
    <w:rsid w:val="005774D2"/>
    <w:rsid w:val="00577668"/>
    <w:rsid w:val="00577ABB"/>
    <w:rsid w:val="00580176"/>
    <w:rsid w:val="005805F1"/>
    <w:rsid w:val="00580820"/>
    <w:rsid w:val="00580CD5"/>
    <w:rsid w:val="005816D7"/>
    <w:rsid w:val="00581C9F"/>
    <w:rsid w:val="00581CAD"/>
    <w:rsid w:val="00582259"/>
    <w:rsid w:val="005822B8"/>
    <w:rsid w:val="00582675"/>
    <w:rsid w:val="00582755"/>
    <w:rsid w:val="00582A1C"/>
    <w:rsid w:val="00582DA8"/>
    <w:rsid w:val="00582FF1"/>
    <w:rsid w:val="00583083"/>
    <w:rsid w:val="00583098"/>
    <w:rsid w:val="00583455"/>
    <w:rsid w:val="005836A4"/>
    <w:rsid w:val="005837B8"/>
    <w:rsid w:val="00583F83"/>
    <w:rsid w:val="0058408C"/>
    <w:rsid w:val="0058458D"/>
    <w:rsid w:val="0058465C"/>
    <w:rsid w:val="00584754"/>
    <w:rsid w:val="005849A4"/>
    <w:rsid w:val="00584AB9"/>
    <w:rsid w:val="00584D21"/>
    <w:rsid w:val="00584D8E"/>
    <w:rsid w:val="00584DED"/>
    <w:rsid w:val="00584E08"/>
    <w:rsid w:val="00584E9E"/>
    <w:rsid w:val="00584F91"/>
    <w:rsid w:val="00585489"/>
    <w:rsid w:val="00585963"/>
    <w:rsid w:val="0058598A"/>
    <w:rsid w:val="00585FA2"/>
    <w:rsid w:val="00586509"/>
    <w:rsid w:val="00586945"/>
    <w:rsid w:val="00586A31"/>
    <w:rsid w:val="00586E55"/>
    <w:rsid w:val="00587212"/>
    <w:rsid w:val="00587270"/>
    <w:rsid w:val="005873DA"/>
    <w:rsid w:val="00590368"/>
    <w:rsid w:val="00590C83"/>
    <w:rsid w:val="005911BD"/>
    <w:rsid w:val="00591444"/>
    <w:rsid w:val="005914E0"/>
    <w:rsid w:val="0059180F"/>
    <w:rsid w:val="00591D99"/>
    <w:rsid w:val="00591F6C"/>
    <w:rsid w:val="00591FAD"/>
    <w:rsid w:val="0059212D"/>
    <w:rsid w:val="005922F4"/>
    <w:rsid w:val="005926F3"/>
    <w:rsid w:val="005927A7"/>
    <w:rsid w:val="00592898"/>
    <w:rsid w:val="0059292D"/>
    <w:rsid w:val="005929F6"/>
    <w:rsid w:val="00592A7B"/>
    <w:rsid w:val="00592C49"/>
    <w:rsid w:val="00592D3C"/>
    <w:rsid w:val="00592FA8"/>
    <w:rsid w:val="00593620"/>
    <w:rsid w:val="00593D87"/>
    <w:rsid w:val="00594756"/>
    <w:rsid w:val="0059486C"/>
    <w:rsid w:val="005949B2"/>
    <w:rsid w:val="00594C1D"/>
    <w:rsid w:val="00594D2B"/>
    <w:rsid w:val="0059528D"/>
    <w:rsid w:val="00595295"/>
    <w:rsid w:val="005957E2"/>
    <w:rsid w:val="00595841"/>
    <w:rsid w:val="00595923"/>
    <w:rsid w:val="00595BA5"/>
    <w:rsid w:val="00595C55"/>
    <w:rsid w:val="00595D02"/>
    <w:rsid w:val="00595E3C"/>
    <w:rsid w:val="005960BE"/>
    <w:rsid w:val="00596273"/>
    <w:rsid w:val="00596402"/>
    <w:rsid w:val="00596526"/>
    <w:rsid w:val="00596822"/>
    <w:rsid w:val="0059683C"/>
    <w:rsid w:val="00596A1C"/>
    <w:rsid w:val="00596AF4"/>
    <w:rsid w:val="00597710"/>
    <w:rsid w:val="00597749"/>
    <w:rsid w:val="005977A7"/>
    <w:rsid w:val="00597A34"/>
    <w:rsid w:val="00597A49"/>
    <w:rsid w:val="00597EDB"/>
    <w:rsid w:val="00597F25"/>
    <w:rsid w:val="00597F8A"/>
    <w:rsid w:val="005A05F2"/>
    <w:rsid w:val="005A0710"/>
    <w:rsid w:val="005A07E8"/>
    <w:rsid w:val="005A089C"/>
    <w:rsid w:val="005A0990"/>
    <w:rsid w:val="005A0A53"/>
    <w:rsid w:val="005A0C96"/>
    <w:rsid w:val="005A0E08"/>
    <w:rsid w:val="005A0F75"/>
    <w:rsid w:val="005A107A"/>
    <w:rsid w:val="005A12CB"/>
    <w:rsid w:val="005A13E7"/>
    <w:rsid w:val="005A14AF"/>
    <w:rsid w:val="005A1632"/>
    <w:rsid w:val="005A1879"/>
    <w:rsid w:val="005A189C"/>
    <w:rsid w:val="005A191E"/>
    <w:rsid w:val="005A1E6D"/>
    <w:rsid w:val="005A21A1"/>
    <w:rsid w:val="005A22E8"/>
    <w:rsid w:val="005A277A"/>
    <w:rsid w:val="005A293C"/>
    <w:rsid w:val="005A29DD"/>
    <w:rsid w:val="005A2B6A"/>
    <w:rsid w:val="005A2C78"/>
    <w:rsid w:val="005A2E2D"/>
    <w:rsid w:val="005A300B"/>
    <w:rsid w:val="005A358B"/>
    <w:rsid w:val="005A361D"/>
    <w:rsid w:val="005A3664"/>
    <w:rsid w:val="005A3B7D"/>
    <w:rsid w:val="005A3D33"/>
    <w:rsid w:val="005A403C"/>
    <w:rsid w:val="005A4097"/>
    <w:rsid w:val="005A4A7A"/>
    <w:rsid w:val="005A54AE"/>
    <w:rsid w:val="005A556A"/>
    <w:rsid w:val="005A55A7"/>
    <w:rsid w:val="005A5983"/>
    <w:rsid w:val="005A5D0A"/>
    <w:rsid w:val="005A635B"/>
    <w:rsid w:val="005A6371"/>
    <w:rsid w:val="005A6438"/>
    <w:rsid w:val="005A6631"/>
    <w:rsid w:val="005A6E33"/>
    <w:rsid w:val="005A7051"/>
    <w:rsid w:val="005A7589"/>
    <w:rsid w:val="005A7653"/>
    <w:rsid w:val="005A7890"/>
    <w:rsid w:val="005A79E7"/>
    <w:rsid w:val="005A7B73"/>
    <w:rsid w:val="005A7CAC"/>
    <w:rsid w:val="005A7D35"/>
    <w:rsid w:val="005A7E4A"/>
    <w:rsid w:val="005A888F"/>
    <w:rsid w:val="005B04E8"/>
    <w:rsid w:val="005B050F"/>
    <w:rsid w:val="005B058C"/>
    <w:rsid w:val="005B0758"/>
    <w:rsid w:val="005B0A28"/>
    <w:rsid w:val="005B0D7C"/>
    <w:rsid w:val="005B1554"/>
    <w:rsid w:val="005B15A5"/>
    <w:rsid w:val="005B1626"/>
    <w:rsid w:val="005B17D3"/>
    <w:rsid w:val="005B1893"/>
    <w:rsid w:val="005B196A"/>
    <w:rsid w:val="005B1BA4"/>
    <w:rsid w:val="005B1D98"/>
    <w:rsid w:val="005B1E2E"/>
    <w:rsid w:val="005B1E9D"/>
    <w:rsid w:val="005B241A"/>
    <w:rsid w:val="005B24FC"/>
    <w:rsid w:val="005B254C"/>
    <w:rsid w:val="005B256C"/>
    <w:rsid w:val="005B27DE"/>
    <w:rsid w:val="005B2C6B"/>
    <w:rsid w:val="005B2D52"/>
    <w:rsid w:val="005B30E6"/>
    <w:rsid w:val="005B3108"/>
    <w:rsid w:val="005B35E0"/>
    <w:rsid w:val="005B381D"/>
    <w:rsid w:val="005B3C0F"/>
    <w:rsid w:val="005B3DB3"/>
    <w:rsid w:val="005B3E82"/>
    <w:rsid w:val="005B40FD"/>
    <w:rsid w:val="005B41AC"/>
    <w:rsid w:val="005B443C"/>
    <w:rsid w:val="005B451B"/>
    <w:rsid w:val="005B4547"/>
    <w:rsid w:val="005B4555"/>
    <w:rsid w:val="005B457C"/>
    <w:rsid w:val="005B4666"/>
    <w:rsid w:val="005B478E"/>
    <w:rsid w:val="005B493B"/>
    <w:rsid w:val="005B4ABD"/>
    <w:rsid w:val="005B4B81"/>
    <w:rsid w:val="005B4C69"/>
    <w:rsid w:val="005B4F5A"/>
    <w:rsid w:val="005B5133"/>
    <w:rsid w:val="005B53A1"/>
    <w:rsid w:val="005B55A8"/>
    <w:rsid w:val="005B5796"/>
    <w:rsid w:val="005B5BAF"/>
    <w:rsid w:val="005B6358"/>
    <w:rsid w:val="005B6852"/>
    <w:rsid w:val="005B6907"/>
    <w:rsid w:val="005B754A"/>
    <w:rsid w:val="005B79E4"/>
    <w:rsid w:val="005B7BD2"/>
    <w:rsid w:val="005B7EF4"/>
    <w:rsid w:val="005B7F77"/>
    <w:rsid w:val="005C0397"/>
    <w:rsid w:val="005C03DA"/>
    <w:rsid w:val="005C0655"/>
    <w:rsid w:val="005C0715"/>
    <w:rsid w:val="005C0858"/>
    <w:rsid w:val="005C087A"/>
    <w:rsid w:val="005C0B1A"/>
    <w:rsid w:val="005C0C4D"/>
    <w:rsid w:val="005C1164"/>
    <w:rsid w:val="005C1182"/>
    <w:rsid w:val="005C11FF"/>
    <w:rsid w:val="005C14BA"/>
    <w:rsid w:val="005C1585"/>
    <w:rsid w:val="005C1812"/>
    <w:rsid w:val="005C1C51"/>
    <w:rsid w:val="005C1EBD"/>
    <w:rsid w:val="005C2565"/>
    <w:rsid w:val="005C287F"/>
    <w:rsid w:val="005C29B1"/>
    <w:rsid w:val="005C2C6F"/>
    <w:rsid w:val="005C2E7E"/>
    <w:rsid w:val="005C3ED2"/>
    <w:rsid w:val="005C43FA"/>
    <w:rsid w:val="005C4680"/>
    <w:rsid w:val="005C4808"/>
    <w:rsid w:val="005C4B6F"/>
    <w:rsid w:val="005C4E39"/>
    <w:rsid w:val="005C530A"/>
    <w:rsid w:val="005C586C"/>
    <w:rsid w:val="005C5C6A"/>
    <w:rsid w:val="005C5D38"/>
    <w:rsid w:val="005C6072"/>
    <w:rsid w:val="005C60EA"/>
    <w:rsid w:val="005C61AF"/>
    <w:rsid w:val="005C6268"/>
    <w:rsid w:val="005C69F3"/>
    <w:rsid w:val="005C6DE4"/>
    <w:rsid w:val="005C6E99"/>
    <w:rsid w:val="005C702E"/>
    <w:rsid w:val="005C76E6"/>
    <w:rsid w:val="005C7894"/>
    <w:rsid w:val="005C7A49"/>
    <w:rsid w:val="005C7D4C"/>
    <w:rsid w:val="005C7FEE"/>
    <w:rsid w:val="005D016F"/>
    <w:rsid w:val="005D01FD"/>
    <w:rsid w:val="005D02C4"/>
    <w:rsid w:val="005D02CF"/>
    <w:rsid w:val="005D047C"/>
    <w:rsid w:val="005D0D48"/>
    <w:rsid w:val="005D0DB0"/>
    <w:rsid w:val="005D0FF8"/>
    <w:rsid w:val="005D1259"/>
    <w:rsid w:val="005D13A0"/>
    <w:rsid w:val="005D13FB"/>
    <w:rsid w:val="005D16EE"/>
    <w:rsid w:val="005D17DC"/>
    <w:rsid w:val="005D1997"/>
    <w:rsid w:val="005D19E9"/>
    <w:rsid w:val="005D1B5B"/>
    <w:rsid w:val="005D1C2C"/>
    <w:rsid w:val="005D1DDD"/>
    <w:rsid w:val="005D1DED"/>
    <w:rsid w:val="005D1E16"/>
    <w:rsid w:val="005D1F59"/>
    <w:rsid w:val="005D2085"/>
    <w:rsid w:val="005D21E1"/>
    <w:rsid w:val="005D2486"/>
    <w:rsid w:val="005D25C8"/>
    <w:rsid w:val="005D2747"/>
    <w:rsid w:val="005D2894"/>
    <w:rsid w:val="005D28D9"/>
    <w:rsid w:val="005D296E"/>
    <w:rsid w:val="005D2E31"/>
    <w:rsid w:val="005D2F2D"/>
    <w:rsid w:val="005D2F7C"/>
    <w:rsid w:val="005D3502"/>
    <w:rsid w:val="005D352C"/>
    <w:rsid w:val="005D3647"/>
    <w:rsid w:val="005D376F"/>
    <w:rsid w:val="005D37D2"/>
    <w:rsid w:val="005D3937"/>
    <w:rsid w:val="005D39DB"/>
    <w:rsid w:val="005D3A61"/>
    <w:rsid w:val="005D3DBE"/>
    <w:rsid w:val="005D3F5A"/>
    <w:rsid w:val="005D3FE0"/>
    <w:rsid w:val="005D440C"/>
    <w:rsid w:val="005D4437"/>
    <w:rsid w:val="005D44F8"/>
    <w:rsid w:val="005D4B44"/>
    <w:rsid w:val="005D4F00"/>
    <w:rsid w:val="005D5262"/>
    <w:rsid w:val="005D52D0"/>
    <w:rsid w:val="005D5501"/>
    <w:rsid w:val="005D565E"/>
    <w:rsid w:val="005D5BA3"/>
    <w:rsid w:val="005D5C2B"/>
    <w:rsid w:val="005D5E17"/>
    <w:rsid w:val="005D61E7"/>
    <w:rsid w:val="005D62FB"/>
    <w:rsid w:val="005D6474"/>
    <w:rsid w:val="005D66D9"/>
    <w:rsid w:val="005D672F"/>
    <w:rsid w:val="005D6874"/>
    <w:rsid w:val="005D69B1"/>
    <w:rsid w:val="005D6B17"/>
    <w:rsid w:val="005D6D12"/>
    <w:rsid w:val="005D6D8A"/>
    <w:rsid w:val="005D6FA7"/>
    <w:rsid w:val="005D736C"/>
    <w:rsid w:val="005D73D2"/>
    <w:rsid w:val="005D7401"/>
    <w:rsid w:val="005D794D"/>
    <w:rsid w:val="005D7A3F"/>
    <w:rsid w:val="005E0666"/>
    <w:rsid w:val="005E067A"/>
    <w:rsid w:val="005E1D2A"/>
    <w:rsid w:val="005E1FFD"/>
    <w:rsid w:val="005E2195"/>
    <w:rsid w:val="005E2286"/>
    <w:rsid w:val="005E24F5"/>
    <w:rsid w:val="005E287A"/>
    <w:rsid w:val="005E29B1"/>
    <w:rsid w:val="005E2A6E"/>
    <w:rsid w:val="005E2BE0"/>
    <w:rsid w:val="005E2DB2"/>
    <w:rsid w:val="005E3037"/>
    <w:rsid w:val="005E3370"/>
    <w:rsid w:val="005E383C"/>
    <w:rsid w:val="005E3840"/>
    <w:rsid w:val="005E4457"/>
    <w:rsid w:val="005E4993"/>
    <w:rsid w:val="005E4B90"/>
    <w:rsid w:val="005E4CCB"/>
    <w:rsid w:val="005E4D2B"/>
    <w:rsid w:val="005E4FAB"/>
    <w:rsid w:val="005E5067"/>
    <w:rsid w:val="005E518F"/>
    <w:rsid w:val="005E556D"/>
    <w:rsid w:val="005E5728"/>
    <w:rsid w:val="005E5D60"/>
    <w:rsid w:val="005E61BD"/>
    <w:rsid w:val="005E6607"/>
    <w:rsid w:val="005E6A56"/>
    <w:rsid w:val="005E7121"/>
    <w:rsid w:val="005E79D8"/>
    <w:rsid w:val="005E7A12"/>
    <w:rsid w:val="005E7A54"/>
    <w:rsid w:val="005E7C33"/>
    <w:rsid w:val="005E7E82"/>
    <w:rsid w:val="005F0115"/>
    <w:rsid w:val="005F06EB"/>
    <w:rsid w:val="005F071F"/>
    <w:rsid w:val="005F0B54"/>
    <w:rsid w:val="005F0CDC"/>
    <w:rsid w:val="005F0D43"/>
    <w:rsid w:val="005F1332"/>
    <w:rsid w:val="005F1C12"/>
    <w:rsid w:val="005F217A"/>
    <w:rsid w:val="005F2251"/>
    <w:rsid w:val="005F23D1"/>
    <w:rsid w:val="005F249D"/>
    <w:rsid w:val="005F24FC"/>
    <w:rsid w:val="005F2654"/>
    <w:rsid w:val="005F26B1"/>
    <w:rsid w:val="005F2A92"/>
    <w:rsid w:val="005F2CE1"/>
    <w:rsid w:val="005F2E60"/>
    <w:rsid w:val="005F2E69"/>
    <w:rsid w:val="005F311F"/>
    <w:rsid w:val="005F3770"/>
    <w:rsid w:val="005F380C"/>
    <w:rsid w:val="005F3CFD"/>
    <w:rsid w:val="005F435F"/>
    <w:rsid w:val="005F453A"/>
    <w:rsid w:val="005F4ACA"/>
    <w:rsid w:val="005F4D3E"/>
    <w:rsid w:val="005F50A6"/>
    <w:rsid w:val="005F50C0"/>
    <w:rsid w:val="005F5112"/>
    <w:rsid w:val="005F5331"/>
    <w:rsid w:val="005F5537"/>
    <w:rsid w:val="005F5C85"/>
    <w:rsid w:val="005F5E68"/>
    <w:rsid w:val="005F5EC9"/>
    <w:rsid w:val="005F5F8C"/>
    <w:rsid w:val="005F5FF4"/>
    <w:rsid w:val="005F6184"/>
    <w:rsid w:val="005F63CA"/>
    <w:rsid w:val="005F69DF"/>
    <w:rsid w:val="005F6A0E"/>
    <w:rsid w:val="005F6B49"/>
    <w:rsid w:val="005F6BFD"/>
    <w:rsid w:val="005F6DB6"/>
    <w:rsid w:val="005F6DCD"/>
    <w:rsid w:val="005F6DF0"/>
    <w:rsid w:val="005F7634"/>
    <w:rsid w:val="005F7643"/>
    <w:rsid w:val="005F7869"/>
    <w:rsid w:val="005F7A31"/>
    <w:rsid w:val="005F7C5C"/>
    <w:rsid w:val="005F7C71"/>
    <w:rsid w:val="005F7E88"/>
    <w:rsid w:val="005F7E9D"/>
    <w:rsid w:val="005F7F30"/>
    <w:rsid w:val="005F7F36"/>
    <w:rsid w:val="00600004"/>
    <w:rsid w:val="006000BC"/>
    <w:rsid w:val="006001B5"/>
    <w:rsid w:val="006004E3"/>
    <w:rsid w:val="00600735"/>
    <w:rsid w:val="0060099E"/>
    <w:rsid w:val="006009D4"/>
    <w:rsid w:val="00600A19"/>
    <w:rsid w:val="00600C02"/>
    <w:rsid w:val="00600C09"/>
    <w:rsid w:val="00600FE1"/>
    <w:rsid w:val="00601110"/>
    <w:rsid w:val="00601293"/>
    <w:rsid w:val="00601578"/>
    <w:rsid w:val="00601A0B"/>
    <w:rsid w:val="00601DAE"/>
    <w:rsid w:val="00601EBC"/>
    <w:rsid w:val="00601F81"/>
    <w:rsid w:val="006023A4"/>
    <w:rsid w:val="0060282E"/>
    <w:rsid w:val="00602849"/>
    <w:rsid w:val="00602963"/>
    <w:rsid w:val="0060311F"/>
    <w:rsid w:val="00603220"/>
    <w:rsid w:val="006035F3"/>
    <w:rsid w:val="0060371E"/>
    <w:rsid w:val="006039C3"/>
    <w:rsid w:val="00603DDD"/>
    <w:rsid w:val="00604770"/>
    <w:rsid w:val="00604BC4"/>
    <w:rsid w:val="0060508C"/>
    <w:rsid w:val="00605163"/>
    <w:rsid w:val="006052C5"/>
    <w:rsid w:val="00605539"/>
    <w:rsid w:val="006058B3"/>
    <w:rsid w:val="00605C53"/>
    <w:rsid w:val="00605C66"/>
    <w:rsid w:val="006064BC"/>
    <w:rsid w:val="00606B18"/>
    <w:rsid w:val="0060715C"/>
    <w:rsid w:val="00607226"/>
    <w:rsid w:val="006072D5"/>
    <w:rsid w:val="006076E9"/>
    <w:rsid w:val="00607817"/>
    <w:rsid w:val="00607A75"/>
    <w:rsid w:val="00607ED7"/>
    <w:rsid w:val="006106CB"/>
    <w:rsid w:val="00610A49"/>
    <w:rsid w:val="00610B91"/>
    <w:rsid w:val="00610D29"/>
    <w:rsid w:val="006112CA"/>
    <w:rsid w:val="00611DFC"/>
    <w:rsid w:val="00612134"/>
    <w:rsid w:val="0061214A"/>
    <w:rsid w:val="006121D9"/>
    <w:rsid w:val="00612276"/>
    <w:rsid w:val="0061227C"/>
    <w:rsid w:val="00612564"/>
    <w:rsid w:val="006127F6"/>
    <w:rsid w:val="006128DB"/>
    <w:rsid w:val="00612A0D"/>
    <w:rsid w:val="00612C02"/>
    <w:rsid w:val="00612E04"/>
    <w:rsid w:val="00613795"/>
    <w:rsid w:val="006137DA"/>
    <w:rsid w:val="0061387E"/>
    <w:rsid w:val="00613912"/>
    <w:rsid w:val="00613A33"/>
    <w:rsid w:val="00613ABD"/>
    <w:rsid w:val="00613C6B"/>
    <w:rsid w:val="0061400D"/>
    <w:rsid w:val="00614209"/>
    <w:rsid w:val="00614211"/>
    <w:rsid w:val="00614797"/>
    <w:rsid w:val="00614A25"/>
    <w:rsid w:val="006150D1"/>
    <w:rsid w:val="0061516E"/>
    <w:rsid w:val="006153FC"/>
    <w:rsid w:val="00615825"/>
    <w:rsid w:val="00615A3D"/>
    <w:rsid w:val="00615A60"/>
    <w:rsid w:val="00615CA4"/>
    <w:rsid w:val="006165BC"/>
    <w:rsid w:val="0061664A"/>
    <w:rsid w:val="006166F5"/>
    <w:rsid w:val="00616750"/>
    <w:rsid w:val="00616900"/>
    <w:rsid w:val="00616936"/>
    <w:rsid w:val="00616F94"/>
    <w:rsid w:val="00617083"/>
    <w:rsid w:val="00617288"/>
    <w:rsid w:val="00617344"/>
    <w:rsid w:val="006173F5"/>
    <w:rsid w:val="00617890"/>
    <w:rsid w:val="006178D1"/>
    <w:rsid w:val="00617A21"/>
    <w:rsid w:val="00620311"/>
    <w:rsid w:val="00620912"/>
    <w:rsid w:val="00620A72"/>
    <w:rsid w:val="00620B38"/>
    <w:rsid w:val="00620E72"/>
    <w:rsid w:val="006210BC"/>
    <w:rsid w:val="006215A3"/>
    <w:rsid w:val="006217BA"/>
    <w:rsid w:val="00622130"/>
    <w:rsid w:val="0062260F"/>
    <w:rsid w:val="00622670"/>
    <w:rsid w:val="00622797"/>
    <w:rsid w:val="00622829"/>
    <w:rsid w:val="00622907"/>
    <w:rsid w:val="00622985"/>
    <w:rsid w:val="00622D42"/>
    <w:rsid w:val="00623059"/>
    <w:rsid w:val="0062311E"/>
    <w:rsid w:val="006231CB"/>
    <w:rsid w:val="0062379D"/>
    <w:rsid w:val="00623D23"/>
    <w:rsid w:val="00623E9A"/>
    <w:rsid w:val="00623FCB"/>
    <w:rsid w:val="00624021"/>
    <w:rsid w:val="006240ED"/>
    <w:rsid w:val="00624201"/>
    <w:rsid w:val="00624A7D"/>
    <w:rsid w:val="00625545"/>
    <w:rsid w:val="00625736"/>
    <w:rsid w:val="006257FC"/>
    <w:rsid w:val="00625916"/>
    <w:rsid w:val="00625AF9"/>
    <w:rsid w:val="00625BBD"/>
    <w:rsid w:val="00625C87"/>
    <w:rsid w:val="00625EBA"/>
    <w:rsid w:val="00625ECA"/>
    <w:rsid w:val="006261DA"/>
    <w:rsid w:val="00626510"/>
    <w:rsid w:val="00626700"/>
    <w:rsid w:val="006267BA"/>
    <w:rsid w:val="0062685D"/>
    <w:rsid w:val="00626A7F"/>
    <w:rsid w:val="00626AC2"/>
    <w:rsid w:val="00626B40"/>
    <w:rsid w:val="00626FD2"/>
    <w:rsid w:val="0062786B"/>
    <w:rsid w:val="006279EC"/>
    <w:rsid w:val="00627C28"/>
    <w:rsid w:val="00627CB5"/>
    <w:rsid w:val="00627CD2"/>
    <w:rsid w:val="00630155"/>
    <w:rsid w:val="00630270"/>
    <w:rsid w:val="00630893"/>
    <w:rsid w:val="00630B36"/>
    <w:rsid w:val="00630FA5"/>
    <w:rsid w:val="00631241"/>
    <w:rsid w:val="0063188F"/>
    <w:rsid w:val="00631D01"/>
    <w:rsid w:val="00631EA4"/>
    <w:rsid w:val="0063214D"/>
    <w:rsid w:val="0063222C"/>
    <w:rsid w:val="0063231F"/>
    <w:rsid w:val="006324F4"/>
    <w:rsid w:val="006325B1"/>
    <w:rsid w:val="0063279F"/>
    <w:rsid w:val="00632BE2"/>
    <w:rsid w:val="00632D1D"/>
    <w:rsid w:val="00632E48"/>
    <w:rsid w:val="00632EC4"/>
    <w:rsid w:val="006332E3"/>
    <w:rsid w:val="00633807"/>
    <w:rsid w:val="00633CAF"/>
    <w:rsid w:val="00633D60"/>
    <w:rsid w:val="00633DA8"/>
    <w:rsid w:val="00633DF3"/>
    <w:rsid w:val="00633ED6"/>
    <w:rsid w:val="00634006"/>
    <w:rsid w:val="006341D1"/>
    <w:rsid w:val="0063455E"/>
    <w:rsid w:val="0063485C"/>
    <w:rsid w:val="0063494F"/>
    <w:rsid w:val="00634F37"/>
    <w:rsid w:val="00635101"/>
    <w:rsid w:val="00635153"/>
    <w:rsid w:val="00635446"/>
    <w:rsid w:val="00635585"/>
    <w:rsid w:val="006358CE"/>
    <w:rsid w:val="0063597E"/>
    <w:rsid w:val="00635BFE"/>
    <w:rsid w:val="00635D54"/>
    <w:rsid w:val="00635D7B"/>
    <w:rsid w:val="00635FC7"/>
    <w:rsid w:val="006360AA"/>
    <w:rsid w:val="006361E3"/>
    <w:rsid w:val="00636334"/>
    <w:rsid w:val="0063666E"/>
    <w:rsid w:val="00636881"/>
    <w:rsid w:val="00636AA2"/>
    <w:rsid w:val="006376CC"/>
    <w:rsid w:val="0063793D"/>
    <w:rsid w:val="00637A0B"/>
    <w:rsid w:val="00637AA5"/>
    <w:rsid w:val="00637BDF"/>
    <w:rsid w:val="00637C22"/>
    <w:rsid w:val="00637CAA"/>
    <w:rsid w:val="00637DAE"/>
    <w:rsid w:val="00637E1E"/>
    <w:rsid w:val="00640268"/>
    <w:rsid w:val="0064061A"/>
    <w:rsid w:val="00640784"/>
    <w:rsid w:val="00640B17"/>
    <w:rsid w:val="00640D80"/>
    <w:rsid w:val="0064119E"/>
    <w:rsid w:val="00641930"/>
    <w:rsid w:val="0064199A"/>
    <w:rsid w:val="00641D05"/>
    <w:rsid w:val="006422BC"/>
    <w:rsid w:val="00642467"/>
    <w:rsid w:val="006427E4"/>
    <w:rsid w:val="00642888"/>
    <w:rsid w:val="006429F6"/>
    <w:rsid w:val="00642BB8"/>
    <w:rsid w:val="00642FAF"/>
    <w:rsid w:val="00643088"/>
    <w:rsid w:val="00643334"/>
    <w:rsid w:val="006433D1"/>
    <w:rsid w:val="00643445"/>
    <w:rsid w:val="00644633"/>
    <w:rsid w:val="0064490E"/>
    <w:rsid w:val="00645317"/>
    <w:rsid w:val="006453C4"/>
    <w:rsid w:val="00645815"/>
    <w:rsid w:val="0064599B"/>
    <w:rsid w:val="00645B78"/>
    <w:rsid w:val="00645CAA"/>
    <w:rsid w:val="00645F6B"/>
    <w:rsid w:val="00646022"/>
    <w:rsid w:val="00646593"/>
    <w:rsid w:val="00646869"/>
    <w:rsid w:val="006468E9"/>
    <w:rsid w:val="00646C0D"/>
    <w:rsid w:val="00646CAF"/>
    <w:rsid w:val="00646F3B"/>
    <w:rsid w:val="006470D4"/>
    <w:rsid w:val="00647222"/>
    <w:rsid w:val="00647834"/>
    <w:rsid w:val="00647B54"/>
    <w:rsid w:val="00647C47"/>
    <w:rsid w:val="0065021A"/>
    <w:rsid w:val="00650327"/>
    <w:rsid w:val="0065083A"/>
    <w:rsid w:val="0065084D"/>
    <w:rsid w:val="00650A0D"/>
    <w:rsid w:val="00651A8A"/>
    <w:rsid w:val="00652AE0"/>
    <w:rsid w:val="00652B18"/>
    <w:rsid w:val="00652CEF"/>
    <w:rsid w:val="00652D02"/>
    <w:rsid w:val="00652D7C"/>
    <w:rsid w:val="006531EA"/>
    <w:rsid w:val="006532DD"/>
    <w:rsid w:val="0065351B"/>
    <w:rsid w:val="0065361A"/>
    <w:rsid w:val="00653BE7"/>
    <w:rsid w:val="00653C2A"/>
    <w:rsid w:val="00654040"/>
    <w:rsid w:val="00654262"/>
    <w:rsid w:val="006550CB"/>
    <w:rsid w:val="00655515"/>
    <w:rsid w:val="00655516"/>
    <w:rsid w:val="00655571"/>
    <w:rsid w:val="006556E4"/>
    <w:rsid w:val="00655A4F"/>
    <w:rsid w:val="0065613B"/>
    <w:rsid w:val="00656684"/>
    <w:rsid w:val="006566F6"/>
    <w:rsid w:val="0065681F"/>
    <w:rsid w:val="0065690D"/>
    <w:rsid w:val="00656AEB"/>
    <w:rsid w:val="0065715C"/>
    <w:rsid w:val="00657A2A"/>
    <w:rsid w:val="00657D08"/>
    <w:rsid w:val="0066034E"/>
    <w:rsid w:val="00660890"/>
    <w:rsid w:val="00660D86"/>
    <w:rsid w:val="00660F23"/>
    <w:rsid w:val="006611A6"/>
    <w:rsid w:val="0066137B"/>
    <w:rsid w:val="006616EF"/>
    <w:rsid w:val="006617D2"/>
    <w:rsid w:val="00661989"/>
    <w:rsid w:val="00661FCE"/>
    <w:rsid w:val="00662102"/>
    <w:rsid w:val="00662886"/>
    <w:rsid w:val="00662FF3"/>
    <w:rsid w:val="0066377C"/>
    <w:rsid w:val="00663C40"/>
    <w:rsid w:val="00663D93"/>
    <w:rsid w:val="00663EDA"/>
    <w:rsid w:val="00663FC1"/>
    <w:rsid w:val="00664056"/>
    <w:rsid w:val="00664247"/>
    <w:rsid w:val="006643EB"/>
    <w:rsid w:val="006644B0"/>
    <w:rsid w:val="00664B60"/>
    <w:rsid w:val="00664D58"/>
    <w:rsid w:val="0066506D"/>
    <w:rsid w:val="00665178"/>
    <w:rsid w:val="00665321"/>
    <w:rsid w:val="006659EC"/>
    <w:rsid w:val="00665B7A"/>
    <w:rsid w:val="00665D0B"/>
    <w:rsid w:val="00665E8A"/>
    <w:rsid w:val="006661D2"/>
    <w:rsid w:val="006665EA"/>
    <w:rsid w:val="006666B2"/>
    <w:rsid w:val="00666754"/>
    <w:rsid w:val="0066687C"/>
    <w:rsid w:val="00666B09"/>
    <w:rsid w:val="00666C67"/>
    <w:rsid w:val="00666CCF"/>
    <w:rsid w:val="00666DBA"/>
    <w:rsid w:val="00666F2F"/>
    <w:rsid w:val="00667211"/>
    <w:rsid w:val="0066743F"/>
    <w:rsid w:val="00667519"/>
    <w:rsid w:val="0066761E"/>
    <w:rsid w:val="006678D5"/>
    <w:rsid w:val="00667CB6"/>
    <w:rsid w:val="00667D0D"/>
    <w:rsid w:val="00667D99"/>
    <w:rsid w:val="00667FC4"/>
    <w:rsid w:val="00667FF0"/>
    <w:rsid w:val="00670610"/>
    <w:rsid w:val="00670D15"/>
    <w:rsid w:val="00670D3F"/>
    <w:rsid w:val="00670DE3"/>
    <w:rsid w:val="00670F3B"/>
    <w:rsid w:val="00671007"/>
    <w:rsid w:val="0067111E"/>
    <w:rsid w:val="00671315"/>
    <w:rsid w:val="006714FD"/>
    <w:rsid w:val="00671A3E"/>
    <w:rsid w:val="00671AEF"/>
    <w:rsid w:val="00671C55"/>
    <w:rsid w:val="00671DF0"/>
    <w:rsid w:val="00671EB0"/>
    <w:rsid w:val="00672042"/>
    <w:rsid w:val="00672077"/>
    <w:rsid w:val="0067229A"/>
    <w:rsid w:val="006727E4"/>
    <w:rsid w:val="00672898"/>
    <w:rsid w:val="00672959"/>
    <w:rsid w:val="006729C1"/>
    <w:rsid w:val="00672BB0"/>
    <w:rsid w:val="00673013"/>
    <w:rsid w:val="00673337"/>
    <w:rsid w:val="0067382D"/>
    <w:rsid w:val="00673A5B"/>
    <w:rsid w:val="00673B0D"/>
    <w:rsid w:val="00673B65"/>
    <w:rsid w:val="00673FA9"/>
    <w:rsid w:val="006744D0"/>
    <w:rsid w:val="0067462D"/>
    <w:rsid w:val="0067483F"/>
    <w:rsid w:val="00674B1C"/>
    <w:rsid w:val="006751CE"/>
    <w:rsid w:val="0067540D"/>
    <w:rsid w:val="00675797"/>
    <w:rsid w:val="00675E12"/>
    <w:rsid w:val="006760E7"/>
    <w:rsid w:val="006762BE"/>
    <w:rsid w:val="0067651F"/>
    <w:rsid w:val="00676581"/>
    <w:rsid w:val="00676751"/>
    <w:rsid w:val="006767D9"/>
    <w:rsid w:val="00676976"/>
    <w:rsid w:val="0067697F"/>
    <w:rsid w:val="0067698D"/>
    <w:rsid w:val="00676B35"/>
    <w:rsid w:val="006773FA"/>
    <w:rsid w:val="006777D7"/>
    <w:rsid w:val="006779D5"/>
    <w:rsid w:val="00677AD2"/>
    <w:rsid w:val="00677B77"/>
    <w:rsid w:val="006808BF"/>
    <w:rsid w:val="00680C0B"/>
    <w:rsid w:val="00680CDD"/>
    <w:rsid w:val="00681395"/>
    <w:rsid w:val="006817A1"/>
    <w:rsid w:val="006818D7"/>
    <w:rsid w:val="00681B57"/>
    <w:rsid w:val="00681D5E"/>
    <w:rsid w:val="00681EA6"/>
    <w:rsid w:val="00681F11"/>
    <w:rsid w:val="00681FC7"/>
    <w:rsid w:val="00682209"/>
    <w:rsid w:val="0068237A"/>
    <w:rsid w:val="00682754"/>
    <w:rsid w:val="006828F8"/>
    <w:rsid w:val="00682904"/>
    <w:rsid w:val="00682C2F"/>
    <w:rsid w:val="006830BD"/>
    <w:rsid w:val="0068327A"/>
    <w:rsid w:val="00683505"/>
    <w:rsid w:val="00683731"/>
    <w:rsid w:val="00683B04"/>
    <w:rsid w:val="00683B7A"/>
    <w:rsid w:val="00683CAD"/>
    <w:rsid w:val="00683EA5"/>
    <w:rsid w:val="006840D1"/>
    <w:rsid w:val="006848EC"/>
    <w:rsid w:val="00684979"/>
    <w:rsid w:val="00684CE0"/>
    <w:rsid w:val="00685894"/>
    <w:rsid w:val="00685960"/>
    <w:rsid w:val="00685B50"/>
    <w:rsid w:val="00685BB9"/>
    <w:rsid w:val="00685FAB"/>
    <w:rsid w:val="00686B81"/>
    <w:rsid w:val="006870EA"/>
    <w:rsid w:val="006873F7"/>
    <w:rsid w:val="0068744B"/>
    <w:rsid w:val="006876BA"/>
    <w:rsid w:val="00687946"/>
    <w:rsid w:val="00687C88"/>
    <w:rsid w:val="00687C93"/>
    <w:rsid w:val="00687EB5"/>
    <w:rsid w:val="00687F95"/>
    <w:rsid w:val="00687FC3"/>
    <w:rsid w:val="006900E3"/>
    <w:rsid w:val="006902C7"/>
    <w:rsid w:val="00690521"/>
    <w:rsid w:val="00690649"/>
    <w:rsid w:val="00690E3A"/>
    <w:rsid w:val="006910AF"/>
    <w:rsid w:val="006911EB"/>
    <w:rsid w:val="0069185E"/>
    <w:rsid w:val="00692A7D"/>
    <w:rsid w:val="00692AB1"/>
    <w:rsid w:val="00692B80"/>
    <w:rsid w:val="00692C2A"/>
    <w:rsid w:val="00692E86"/>
    <w:rsid w:val="0069305F"/>
    <w:rsid w:val="0069310B"/>
    <w:rsid w:val="006934B2"/>
    <w:rsid w:val="006935C0"/>
    <w:rsid w:val="0069361D"/>
    <w:rsid w:val="00693805"/>
    <w:rsid w:val="0069389A"/>
    <w:rsid w:val="00693A12"/>
    <w:rsid w:val="00693A5A"/>
    <w:rsid w:val="00693CB2"/>
    <w:rsid w:val="00693EAB"/>
    <w:rsid w:val="00693F88"/>
    <w:rsid w:val="00694205"/>
    <w:rsid w:val="006943CB"/>
    <w:rsid w:val="00694803"/>
    <w:rsid w:val="00694B86"/>
    <w:rsid w:val="00694D70"/>
    <w:rsid w:val="00694D87"/>
    <w:rsid w:val="00694D88"/>
    <w:rsid w:val="00694EF4"/>
    <w:rsid w:val="00694F3D"/>
    <w:rsid w:val="006951D1"/>
    <w:rsid w:val="0069524A"/>
    <w:rsid w:val="00695BF0"/>
    <w:rsid w:val="00695CCD"/>
    <w:rsid w:val="00695E1D"/>
    <w:rsid w:val="00695E65"/>
    <w:rsid w:val="006961D8"/>
    <w:rsid w:val="0069630D"/>
    <w:rsid w:val="00696375"/>
    <w:rsid w:val="00696444"/>
    <w:rsid w:val="0069653B"/>
    <w:rsid w:val="00696A1E"/>
    <w:rsid w:val="00697038"/>
    <w:rsid w:val="00697336"/>
    <w:rsid w:val="006976D0"/>
    <w:rsid w:val="00697BD3"/>
    <w:rsid w:val="00697D08"/>
    <w:rsid w:val="00697D92"/>
    <w:rsid w:val="006A02F4"/>
    <w:rsid w:val="006A0860"/>
    <w:rsid w:val="006A0E43"/>
    <w:rsid w:val="006A0E6C"/>
    <w:rsid w:val="006A1099"/>
    <w:rsid w:val="006A110E"/>
    <w:rsid w:val="006A12C3"/>
    <w:rsid w:val="006A15CD"/>
    <w:rsid w:val="006A198A"/>
    <w:rsid w:val="006A1D26"/>
    <w:rsid w:val="006A20C0"/>
    <w:rsid w:val="006A22BD"/>
    <w:rsid w:val="006A22C5"/>
    <w:rsid w:val="006A2A4D"/>
    <w:rsid w:val="006A2CAC"/>
    <w:rsid w:val="006A2E3C"/>
    <w:rsid w:val="006A2F2F"/>
    <w:rsid w:val="006A323D"/>
    <w:rsid w:val="006A33FE"/>
    <w:rsid w:val="006A344D"/>
    <w:rsid w:val="006A3B73"/>
    <w:rsid w:val="006A3C48"/>
    <w:rsid w:val="006A3C68"/>
    <w:rsid w:val="006A3D5F"/>
    <w:rsid w:val="006A3EF3"/>
    <w:rsid w:val="006A403C"/>
    <w:rsid w:val="006A4771"/>
    <w:rsid w:val="006A4F5A"/>
    <w:rsid w:val="006A4FC2"/>
    <w:rsid w:val="006A4FC8"/>
    <w:rsid w:val="006A53CA"/>
    <w:rsid w:val="006A56F1"/>
    <w:rsid w:val="006A5BCD"/>
    <w:rsid w:val="006A5D34"/>
    <w:rsid w:val="006A63BA"/>
    <w:rsid w:val="006A662D"/>
    <w:rsid w:val="006A68C8"/>
    <w:rsid w:val="006A68E3"/>
    <w:rsid w:val="006A71C3"/>
    <w:rsid w:val="006A769A"/>
    <w:rsid w:val="006A777F"/>
    <w:rsid w:val="006A7EA6"/>
    <w:rsid w:val="006B0008"/>
    <w:rsid w:val="006B0415"/>
    <w:rsid w:val="006B0443"/>
    <w:rsid w:val="006B04E6"/>
    <w:rsid w:val="006B06D8"/>
    <w:rsid w:val="006B0AE3"/>
    <w:rsid w:val="006B0C53"/>
    <w:rsid w:val="006B13A7"/>
    <w:rsid w:val="006B1606"/>
    <w:rsid w:val="006B19EE"/>
    <w:rsid w:val="006B1A80"/>
    <w:rsid w:val="006B1B42"/>
    <w:rsid w:val="006B1C40"/>
    <w:rsid w:val="006B1E76"/>
    <w:rsid w:val="006B2302"/>
    <w:rsid w:val="006B2778"/>
    <w:rsid w:val="006B2957"/>
    <w:rsid w:val="006B2978"/>
    <w:rsid w:val="006B2A02"/>
    <w:rsid w:val="006B2CA6"/>
    <w:rsid w:val="006B2DCC"/>
    <w:rsid w:val="006B2EC8"/>
    <w:rsid w:val="006B3430"/>
    <w:rsid w:val="006B3757"/>
    <w:rsid w:val="006B37B4"/>
    <w:rsid w:val="006B3859"/>
    <w:rsid w:val="006B3A46"/>
    <w:rsid w:val="006B3CF7"/>
    <w:rsid w:val="006B3F83"/>
    <w:rsid w:val="006B3FB9"/>
    <w:rsid w:val="006B4226"/>
    <w:rsid w:val="006B43AF"/>
    <w:rsid w:val="006B477D"/>
    <w:rsid w:val="006B4DFA"/>
    <w:rsid w:val="006B502E"/>
    <w:rsid w:val="006B51C3"/>
    <w:rsid w:val="006B5507"/>
    <w:rsid w:val="006B55BE"/>
    <w:rsid w:val="006B5751"/>
    <w:rsid w:val="006B57CA"/>
    <w:rsid w:val="006B5A5F"/>
    <w:rsid w:val="006B5B29"/>
    <w:rsid w:val="006B5BE5"/>
    <w:rsid w:val="006B6169"/>
    <w:rsid w:val="006B62B3"/>
    <w:rsid w:val="006B631D"/>
    <w:rsid w:val="006B6428"/>
    <w:rsid w:val="006B690A"/>
    <w:rsid w:val="006B690D"/>
    <w:rsid w:val="006B71B5"/>
    <w:rsid w:val="006B7237"/>
    <w:rsid w:val="006B7539"/>
    <w:rsid w:val="006B795E"/>
    <w:rsid w:val="006B79DE"/>
    <w:rsid w:val="006B7DC4"/>
    <w:rsid w:val="006B7F70"/>
    <w:rsid w:val="006C02D3"/>
    <w:rsid w:val="006C047A"/>
    <w:rsid w:val="006C0AA1"/>
    <w:rsid w:val="006C0B6E"/>
    <w:rsid w:val="006C0DA2"/>
    <w:rsid w:val="006C0E0B"/>
    <w:rsid w:val="006C100D"/>
    <w:rsid w:val="006C1285"/>
    <w:rsid w:val="006C1A14"/>
    <w:rsid w:val="006C1C35"/>
    <w:rsid w:val="006C1E5E"/>
    <w:rsid w:val="006C1EC8"/>
    <w:rsid w:val="006C2668"/>
    <w:rsid w:val="006C2A64"/>
    <w:rsid w:val="006C2D78"/>
    <w:rsid w:val="006C2DB9"/>
    <w:rsid w:val="006C31CB"/>
    <w:rsid w:val="006C33EE"/>
    <w:rsid w:val="006C3B91"/>
    <w:rsid w:val="006C3BB4"/>
    <w:rsid w:val="006C3DED"/>
    <w:rsid w:val="006C4D15"/>
    <w:rsid w:val="006C4E60"/>
    <w:rsid w:val="006C4EA2"/>
    <w:rsid w:val="006C5215"/>
    <w:rsid w:val="006C5872"/>
    <w:rsid w:val="006C589D"/>
    <w:rsid w:val="006C590A"/>
    <w:rsid w:val="006C598B"/>
    <w:rsid w:val="006C5B5A"/>
    <w:rsid w:val="006C5DD7"/>
    <w:rsid w:val="006C61B8"/>
    <w:rsid w:val="006C62EB"/>
    <w:rsid w:val="006C63E7"/>
    <w:rsid w:val="006C66DE"/>
    <w:rsid w:val="006C6817"/>
    <w:rsid w:val="006C6AC8"/>
    <w:rsid w:val="006C6BEB"/>
    <w:rsid w:val="006C6F9A"/>
    <w:rsid w:val="006C704E"/>
    <w:rsid w:val="006C733C"/>
    <w:rsid w:val="006C76DE"/>
    <w:rsid w:val="006C76EC"/>
    <w:rsid w:val="006C7BE7"/>
    <w:rsid w:val="006C7F22"/>
    <w:rsid w:val="006D0083"/>
    <w:rsid w:val="006D0390"/>
    <w:rsid w:val="006D04BC"/>
    <w:rsid w:val="006D0940"/>
    <w:rsid w:val="006D095A"/>
    <w:rsid w:val="006D0BCF"/>
    <w:rsid w:val="006D0BF4"/>
    <w:rsid w:val="006D156C"/>
    <w:rsid w:val="006D174E"/>
    <w:rsid w:val="006D1B01"/>
    <w:rsid w:val="006D1ED2"/>
    <w:rsid w:val="006D2120"/>
    <w:rsid w:val="006D28D1"/>
    <w:rsid w:val="006D2966"/>
    <w:rsid w:val="006D298D"/>
    <w:rsid w:val="006D2E67"/>
    <w:rsid w:val="006D3247"/>
    <w:rsid w:val="006D33A4"/>
    <w:rsid w:val="006D3828"/>
    <w:rsid w:val="006D3928"/>
    <w:rsid w:val="006D3FF9"/>
    <w:rsid w:val="006D42A4"/>
    <w:rsid w:val="006D44F0"/>
    <w:rsid w:val="006D4519"/>
    <w:rsid w:val="006D45AC"/>
    <w:rsid w:val="006D4639"/>
    <w:rsid w:val="006D48D2"/>
    <w:rsid w:val="006D4ADF"/>
    <w:rsid w:val="006D4C71"/>
    <w:rsid w:val="006D4C8C"/>
    <w:rsid w:val="006D4D74"/>
    <w:rsid w:val="006D57F5"/>
    <w:rsid w:val="006D5947"/>
    <w:rsid w:val="006D5F13"/>
    <w:rsid w:val="006D61AD"/>
    <w:rsid w:val="006D63B4"/>
    <w:rsid w:val="006D65A1"/>
    <w:rsid w:val="006D678A"/>
    <w:rsid w:val="006D6831"/>
    <w:rsid w:val="006D6AC7"/>
    <w:rsid w:val="006D6EE1"/>
    <w:rsid w:val="006D7469"/>
    <w:rsid w:val="006D77EE"/>
    <w:rsid w:val="006E0009"/>
    <w:rsid w:val="006E0253"/>
    <w:rsid w:val="006E04AF"/>
    <w:rsid w:val="006E0E6D"/>
    <w:rsid w:val="006E13DE"/>
    <w:rsid w:val="006E15DD"/>
    <w:rsid w:val="006E1873"/>
    <w:rsid w:val="006E1B9E"/>
    <w:rsid w:val="006E1BC6"/>
    <w:rsid w:val="006E1C25"/>
    <w:rsid w:val="006E1FE1"/>
    <w:rsid w:val="006E2084"/>
    <w:rsid w:val="006E223E"/>
    <w:rsid w:val="006E234A"/>
    <w:rsid w:val="006E25F2"/>
    <w:rsid w:val="006E2ABF"/>
    <w:rsid w:val="006E2B1C"/>
    <w:rsid w:val="006E2EBB"/>
    <w:rsid w:val="006E2FF7"/>
    <w:rsid w:val="006E3551"/>
    <w:rsid w:val="006E3602"/>
    <w:rsid w:val="006E36AC"/>
    <w:rsid w:val="006E3730"/>
    <w:rsid w:val="006E38E4"/>
    <w:rsid w:val="006E398A"/>
    <w:rsid w:val="006E3A91"/>
    <w:rsid w:val="006E3C4A"/>
    <w:rsid w:val="006E4003"/>
    <w:rsid w:val="006E41D6"/>
    <w:rsid w:val="006E44C2"/>
    <w:rsid w:val="006E4515"/>
    <w:rsid w:val="006E455C"/>
    <w:rsid w:val="006E468C"/>
    <w:rsid w:val="006E4AE4"/>
    <w:rsid w:val="006E4E96"/>
    <w:rsid w:val="006E506B"/>
    <w:rsid w:val="006E53E0"/>
    <w:rsid w:val="006E5530"/>
    <w:rsid w:val="006E57D3"/>
    <w:rsid w:val="006E60DB"/>
    <w:rsid w:val="006E66A1"/>
    <w:rsid w:val="006E66DD"/>
    <w:rsid w:val="006E6915"/>
    <w:rsid w:val="006E6987"/>
    <w:rsid w:val="006E6B5C"/>
    <w:rsid w:val="006E6BDA"/>
    <w:rsid w:val="006E6D98"/>
    <w:rsid w:val="006E7194"/>
    <w:rsid w:val="006E742A"/>
    <w:rsid w:val="006E768F"/>
    <w:rsid w:val="006E7856"/>
    <w:rsid w:val="006E7D30"/>
    <w:rsid w:val="006E7F35"/>
    <w:rsid w:val="006F034A"/>
    <w:rsid w:val="006F05FF"/>
    <w:rsid w:val="006F06AB"/>
    <w:rsid w:val="006F082F"/>
    <w:rsid w:val="006F08B9"/>
    <w:rsid w:val="006F0B2F"/>
    <w:rsid w:val="006F0BA3"/>
    <w:rsid w:val="006F0BD6"/>
    <w:rsid w:val="006F0C61"/>
    <w:rsid w:val="006F0CE5"/>
    <w:rsid w:val="006F0F97"/>
    <w:rsid w:val="006F1012"/>
    <w:rsid w:val="006F1060"/>
    <w:rsid w:val="006F12B3"/>
    <w:rsid w:val="006F13FE"/>
    <w:rsid w:val="006F1931"/>
    <w:rsid w:val="006F1D4E"/>
    <w:rsid w:val="006F1E0B"/>
    <w:rsid w:val="006F1E43"/>
    <w:rsid w:val="006F20F8"/>
    <w:rsid w:val="006F258B"/>
    <w:rsid w:val="006F2B13"/>
    <w:rsid w:val="006F2EED"/>
    <w:rsid w:val="006F31C2"/>
    <w:rsid w:val="006F336F"/>
    <w:rsid w:val="006F3379"/>
    <w:rsid w:val="006F3409"/>
    <w:rsid w:val="006F380D"/>
    <w:rsid w:val="006F3831"/>
    <w:rsid w:val="006F39EC"/>
    <w:rsid w:val="006F3AC9"/>
    <w:rsid w:val="006F3B1F"/>
    <w:rsid w:val="006F3BB1"/>
    <w:rsid w:val="006F3F1C"/>
    <w:rsid w:val="006F4041"/>
    <w:rsid w:val="006F41B2"/>
    <w:rsid w:val="006F4288"/>
    <w:rsid w:val="006F4294"/>
    <w:rsid w:val="006F4332"/>
    <w:rsid w:val="006F4561"/>
    <w:rsid w:val="006F4834"/>
    <w:rsid w:val="006F4B18"/>
    <w:rsid w:val="006F4CB9"/>
    <w:rsid w:val="006F4DA5"/>
    <w:rsid w:val="006F5371"/>
    <w:rsid w:val="006F57F3"/>
    <w:rsid w:val="006F5889"/>
    <w:rsid w:val="006F5C9F"/>
    <w:rsid w:val="006F5CFA"/>
    <w:rsid w:val="006F6582"/>
    <w:rsid w:val="006F66E0"/>
    <w:rsid w:val="006F676E"/>
    <w:rsid w:val="006F71A7"/>
    <w:rsid w:val="006F7213"/>
    <w:rsid w:val="006F7411"/>
    <w:rsid w:val="006F7AB1"/>
    <w:rsid w:val="006F7E00"/>
    <w:rsid w:val="00700058"/>
    <w:rsid w:val="007001BA"/>
    <w:rsid w:val="00700301"/>
    <w:rsid w:val="007007F7"/>
    <w:rsid w:val="00700B88"/>
    <w:rsid w:val="00700ED3"/>
    <w:rsid w:val="00700EE3"/>
    <w:rsid w:val="00700F04"/>
    <w:rsid w:val="00700F69"/>
    <w:rsid w:val="00701217"/>
    <w:rsid w:val="0070131B"/>
    <w:rsid w:val="007015FB"/>
    <w:rsid w:val="007016F1"/>
    <w:rsid w:val="00701758"/>
    <w:rsid w:val="00701928"/>
    <w:rsid w:val="00701E0B"/>
    <w:rsid w:val="00701FB4"/>
    <w:rsid w:val="00702098"/>
    <w:rsid w:val="007021DB"/>
    <w:rsid w:val="007021EE"/>
    <w:rsid w:val="00702404"/>
    <w:rsid w:val="00702CC8"/>
    <w:rsid w:val="00702F3C"/>
    <w:rsid w:val="00703141"/>
    <w:rsid w:val="00703192"/>
    <w:rsid w:val="0070319D"/>
    <w:rsid w:val="00703768"/>
    <w:rsid w:val="00703778"/>
    <w:rsid w:val="0070387D"/>
    <w:rsid w:val="007046F1"/>
    <w:rsid w:val="00704895"/>
    <w:rsid w:val="00704AEA"/>
    <w:rsid w:val="00704DEF"/>
    <w:rsid w:val="00704F20"/>
    <w:rsid w:val="0070541D"/>
    <w:rsid w:val="0070545F"/>
    <w:rsid w:val="00705613"/>
    <w:rsid w:val="00705625"/>
    <w:rsid w:val="00705BDC"/>
    <w:rsid w:val="00705C4F"/>
    <w:rsid w:val="00706017"/>
    <w:rsid w:val="0070684A"/>
    <w:rsid w:val="00706EE2"/>
    <w:rsid w:val="007070BF"/>
    <w:rsid w:val="007071D6"/>
    <w:rsid w:val="007071F8"/>
    <w:rsid w:val="00707230"/>
    <w:rsid w:val="00707329"/>
    <w:rsid w:val="00707486"/>
    <w:rsid w:val="007075DE"/>
    <w:rsid w:val="00707B36"/>
    <w:rsid w:val="00707E07"/>
    <w:rsid w:val="00707F29"/>
    <w:rsid w:val="00707F3E"/>
    <w:rsid w:val="00710384"/>
    <w:rsid w:val="007103C5"/>
    <w:rsid w:val="00710407"/>
    <w:rsid w:val="007104BC"/>
    <w:rsid w:val="0071139C"/>
    <w:rsid w:val="00711643"/>
    <w:rsid w:val="00711CE9"/>
    <w:rsid w:val="00711FCD"/>
    <w:rsid w:val="00711FF2"/>
    <w:rsid w:val="007121A3"/>
    <w:rsid w:val="0071223F"/>
    <w:rsid w:val="0071254B"/>
    <w:rsid w:val="0071263C"/>
    <w:rsid w:val="00712C28"/>
    <w:rsid w:val="0071325A"/>
    <w:rsid w:val="00713A0F"/>
    <w:rsid w:val="00713BB1"/>
    <w:rsid w:val="0071495D"/>
    <w:rsid w:val="00714EBA"/>
    <w:rsid w:val="007150ED"/>
    <w:rsid w:val="007151D3"/>
    <w:rsid w:val="00715606"/>
    <w:rsid w:val="007158C4"/>
    <w:rsid w:val="00715B80"/>
    <w:rsid w:val="00715C09"/>
    <w:rsid w:val="00715D71"/>
    <w:rsid w:val="00715D84"/>
    <w:rsid w:val="00716077"/>
    <w:rsid w:val="00716157"/>
    <w:rsid w:val="00716450"/>
    <w:rsid w:val="00716C39"/>
    <w:rsid w:val="00716D9A"/>
    <w:rsid w:val="00716F0D"/>
    <w:rsid w:val="007174DD"/>
    <w:rsid w:val="0071770E"/>
    <w:rsid w:val="007177F2"/>
    <w:rsid w:val="00717B36"/>
    <w:rsid w:val="00717B4C"/>
    <w:rsid w:val="00717CDB"/>
    <w:rsid w:val="007201D9"/>
    <w:rsid w:val="007202B6"/>
    <w:rsid w:val="0072048D"/>
    <w:rsid w:val="007206CB"/>
    <w:rsid w:val="00720C5B"/>
    <w:rsid w:val="007211F0"/>
    <w:rsid w:val="00721551"/>
    <w:rsid w:val="007215FC"/>
    <w:rsid w:val="00721657"/>
    <w:rsid w:val="007216DD"/>
    <w:rsid w:val="0072178A"/>
    <w:rsid w:val="007218DF"/>
    <w:rsid w:val="00721A0F"/>
    <w:rsid w:val="0072207A"/>
    <w:rsid w:val="00722328"/>
    <w:rsid w:val="00722A20"/>
    <w:rsid w:val="00722A7A"/>
    <w:rsid w:val="00722ACC"/>
    <w:rsid w:val="00722C3B"/>
    <w:rsid w:val="00722F7B"/>
    <w:rsid w:val="007230E8"/>
    <w:rsid w:val="00723328"/>
    <w:rsid w:val="0072340D"/>
    <w:rsid w:val="007235BC"/>
    <w:rsid w:val="0072363D"/>
    <w:rsid w:val="0072365D"/>
    <w:rsid w:val="0072382C"/>
    <w:rsid w:val="00723AEF"/>
    <w:rsid w:val="00723BFF"/>
    <w:rsid w:val="00723C1A"/>
    <w:rsid w:val="00723EE1"/>
    <w:rsid w:val="00724413"/>
    <w:rsid w:val="00724B76"/>
    <w:rsid w:val="00724CC7"/>
    <w:rsid w:val="00725246"/>
    <w:rsid w:val="00725499"/>
    <w:rsid w:val="0072592C"/>
    <w:rsid w:val="00725980"/>
    <w:rsid w:val="007259D6"/>
    <w:rsid w:val="00726554"/>
    <w:rsid w:val="007267CE"/>
    <w:rsid w:val="0072699B"/>
    <w:rsid w:val="00726DFD"/>
    <w:rsid w:val="007270DC"/>
    <w:rsid w:val="00727511"/>
    <w:rsid w:val="0072780E"/>
    <w:rsid w:val="00727910"/>
    <w:rsid w:val="00727D43"/>
    <w:rsid w:val="007300A5"/>
    <w:rsid w:val="0073029E"/>
    <w:rsid w:val="007302A6"/>
    <w:rsid w:val="0073050B"/>
    <w:rsid w:val="007306E3"/>
    <w:rsid w:val="007309E8"/>
    <w:rsid w:val="00730C24"/>
    <w:rsid w:val="0073179D"/>
    <w:rsid w:val="00731A56"/>
    <w:rsid w:val="00731EA2"/>
    <w:rsid w:val="0073223D"/>
    <w:rsid w:val="00732339"/>
    <w:rsid w:val="00732391"/>
    <w:rsid w:val="007324D5"/>
    <w:rsid w:val="00732636"/>
    <w:rsid w:val="007326B6"/>
    <w:rsid w:val="00732855"/>
    <w:rsid w:val="00732C0A"/>
    <w:rsid w:val="00732E19"/>
    <w:rsid w:val="00732E60"/>
    <w:rsid w:val="0073349B"/>
    <w:rsid w:val="0073389F"/>
    <w:rsid w:val="00733C0E"/>
    <w:rsid w:val="00733C55"/>
    <w:rsid w:val="00733CD8"/>
    <w:rsid w:val="00733FA9"/>
    <w:rsid w:val="0073404C"/>
    <w:rsid w:val="0073414E"/>
    <w:rsid w:val="00734323"/>
    <w:rsid w:val="007345BC"/>
    <w:rsid w:val="00734A6C"/>
    <w:rsid w:val="00734AA9"/>
    <w:rsid w:val="00734C7E"/>
    <w:rsid w:val="007350AD"/>
    <w:rsid w:val="007351A2"/>
    <w:rsid w:val="00735741"/>
    <w:rsid w:val="007357C8"/>
    <w:rsid w:val="00735878"/>
    <w:rsid w:val="007359F2"/>
    <w:rsid w:val="00735F56"/>
    <w:rsid w:val="00736560"/>
    <w:rsid w:val="007366C1"/>
    <w:rsid w:val="0073671E"/>
    <w:rsid w:val="007368C3"/>
    <w:rsid w:val="007368D0"/>
    <w:rsid w:val="00736949"/>
    <w:rsid w:val="00737452"/>
    <w:rsid w:val="0073771C"/>
    <w:rsid w:val="0073790F"/>
    <w:rsid w:val="00737E17"/>
    <w:rsid w:val="00740004"/>
    <w:rsid w:val="00740058"/>
    <w:rsid w:val="00740273"/>
    <w:rsid w:val="0074032A"/>
    <w:rsid w:val="007407D1"/>
    <w:rsid w:val="0074098D"/>
    <w:rsid w:val="00740E82"/>
    <w:rsid w:val="0074146A"/>
    <w:rsid w:val="00741569"/>
    <w:rsid w:val="007415A6"/>
    <w:rsid w:val="00741632"/>
    <w:rsid w:val="00741726"/>
    <w:rsid w:val="0074181F"/>
    <w:rsid w:val="007419AA"/>
    <w:rsid w:val="00741BF2"/>
    <w:rsid w:val="00741C76"/>
    <w:rsid w:val="00741D12"/>
    <w:rsid w:val="00742227"/>
    <w:rsid w:val="0074252E"/>
    <w:rsid w:val="00742762"/>
    <w:rsid w:val="00742963"/>
    <w:rsid w:val="00742A49"/>
    <w:rsid w:val="00742D39"/>
    <w:rsid w:val="00742F64"/>
    <w:rsid w:val="0074327B"/>
    <w:rsid w:val="0074337D"/>
    <w:rsid w:val="00743626"/>
    <w:rsid w:val="00743682"/>
    <w:rsid w:val="00743702"/>
    <w:rsid w:val="00743962"/>
    <w:rsid w:val="00743AB9"/>
    <w:rsid w:val="007442A1"/>
    <w:rsid w:val="00744608"/>
    <w:rsid w:val="00744889"/>
    <w:rsid w:val="007449CD"/>
    <w:rsid w:val="00744CAF"/>
    <w:rsid w:val="00744D31"/>
    <w:rsid w:val="00744E8F"/>
    <w:rsid w:val="007457CD"/>
    <w:rsid w:val="00745AA5"/>
    <w:rsid w:val="00745AED"/>
    <w:rsid w:val="00745B79"/>
    <w:rsid w:val="00745DB7"/>
    <w:rsid w:val="00745F5A"/>
    <w:rsid w:val="00746227"/>
    <w:rsid w:val="00746353"/>
    <w:rsid w:val="0074638F"/>
    <w:rsid w:val="0074653B"/>
    <w:rsid w:val="007465B6"/>
    <w:rsid w:val="007466A2"/>
    <w:rsid w:val="0074675E"/>
    <w:rsid w:val="00746808"/>
    <w:rsid w:val="007468BA"/>
    <w:rsid w:val="00746E0B"/>
    <w:rsid w:val="00746F9C"/>
    <w:rsid w:val="00746FF0"/>
    <w:rsid w:val="007470AE"/>
    <w:rsid w:val="007471BB"/>
    <w:rsid w:val="0074726D"/>
    <w:rsid w:val="007477E0"/>
    <w:rsid w:val="00747984"/>
    <w:rsid w:val="00747D9F"/>
    <w:rsid w:val="00747F28"/>
    <w:rsid w:val="00747FE0"/>
    <w:rsid w:val="0075012E"/>
    <w:rsid w:val="00750794"/>
    <w:rsid w:val="007507D1"/>
    <w:rsid w:val="00750D40"/>
    <w:rsid w:val="0075177C"/>
    <w:rsid w:val="00751BF9"/>
    <w:rsid w:val="00751EAB"/>
    <w:rsid w:val="00752454"/>
    <w:rsid w:val="0075275E"/>
    <w:rsid w:val="0075296F"/>
    <w:rsid w:val="007529F4"/>
    <w:rsid w:val="00752E1C"/>
    <w:rsid w:val="0075311A"/>
    <w:rsid w:val="0075344B"/>
    <w:rsid w:val="007536CF"/>
    <w:rsid w:val="00753860"/>
    <w:rsid w:val="00753946"/>
    <w:rsid w:val="0075410F"/>
    <w:rsid w:val="007541D9"/>
    <w:rsid w:val="0075466E"/>
    <w:rsid w:val="00754A24"/>
    <w:rsid w:val="00754F80"/>
    <w:rsid w:val="0075515F"/>
    <w:rsid w:val="007552F4"/>
    <w:rsid w:val="007557A2"/>
    <w:rsid w:val="00755934"/>
    <w:rsid w:val="00755EE1"/>
    <w:rsid w:val="00756052"/>
    <w:rsid w:val="00756158"/>
    <w:rsid w:val="0075620D"/>
    <w:rsid w:val="00756264"/>
    <w:rsid w:val="00756307"/>
    <w:rsid w:val="0075635E"/>
    <w:rsid w:val="00756621"/>
    <w:rsid w:val="007566A3"/>
    <w:rsid w:val="00756786"/>
    <w:rsid w:val="00756831"/>
    <w:rsid w:val="007569F8"/>
    <w:rsid w:val="00756F2D"/>
    <w:rsid w:val="00757139"/>
    <w:rsid w:val="007572E9"/>
    <w:rsid w:val="0075736D"/>
    <w:rsid w:val="00757432"/>
    <w:rsid w:val="00757AA0"/>
    <w:rsid w:val="00757CCA"/>
    <w:rsid w:val="00757E5E"/>
    <w:rsid w:val="00757E9A"/>
    <w:rsid w:val="00757F24"/>
    <w:rsid w:val="00760178"/>
    <w:rsid w:val="0076021C"/>
    <w:rsid w:val="0076058C"/>
    <w:rsid w:val="00760A0A"/>
    <w:rsid w:val="00761060"/>
    <w:rsid w:val="007617EE"/>
    <w:rsid w:val="00761933"/>
    <w:rsid w:val="00761CFB"/>
    <w:rsid w:val="00761D5C"/>
    <w:rsid w:val="00762142"/>
    <w:rsid w:val="0076254F"/>
    <w:rsid w:val="007626F7"/>
    <w:rsid w:val="007629ED"/>
    <w:rsid w:val="00762AA7"/>
    <w:rsid w:val="00762B34"/>
    <w:rsid w:val="00762E50"/>
    <w:rsid w:val="00762FB2"/>
    <w:rsid w:val="00763348"/>
    <w:rsid w:val="0076364F"/>
    <w:rsid w:val="00763785"/>
    <w:rsid w:val="00763791"/>
    <w:rsid w:val="00763957"/>
    <w:rsid w:val="00763A14"/>
    <w:rsid w:val="00764343"/>
    <w:rsid w:val="007644FC"/>
    <w:rsid w:val="0076464D"/>
    <w:rsid w:val="007649E7"/>
    <w:rsid w:val="00764C74"/>
    <w:rsid w:val="00764F29"/>
    <w:rsid w:val="0076509F"/>
    <w:rsid w:val="007650CF"/>
    <w:rsid w:val="00765455"/>
    <w:rsid w:val="00765821"/>
    <w:rsid w:val="00765A3F"/>
    <w:rsid w:val="00765A53"/>
    <w:rsid w:val="00765B4D"/>
    <w:rsid w:val="00765B6B"/>
    <w:rsid w:val="00765E1E"/>
    <w:rsid w:val="00765ECB"/>
    <w:rsid w:val="00765EE5"/>
    <w:rsid w:val="00766169"/>
    <w:rsid w:val="007661B8"/>
    <w:rsid w:val="0076641E"/>
    <w:rsid w:val="007664C9"/>
    <w:rsid w:val="00766862"/>
    <w:rsid w:val="00766AA2"/>
    <w:rsid w:val="007671D1"/>
    <w:rsid w:val="007673D5"/>
    <w:rsid w:val="00767901"/>
    <w:rsid w:val="00767C92"/>
    <w:rsid w:val="00767DB9"/>
    <w:rsid w:val="007702C9"/>
    <w:rsid w:val="007702EB"/>
    <w:rsid w:val="007707E8"/>
    <w:rsid w:val="00770A7C"/>
    <w:rsid w:val="00770AA9"/>
    <w:rsid w:val="00770BAE"/>
    <w:rsid w:val="0077140D"/>
    <w:rsid w:val="0077159B"/>
    <w:rsid w:val="007718CA"/>
    <w:rsid w:val="00772597"/>
    <w:rsid w:val="007728E9"/>
    <w:rsid w:val="00772A04"/>
    <w:rsid w:val="00772B41"/>
    <w:rsid w:val="00772B92"/>
    <w:rsid w:val="00772E02"/>
    <w:rsid w:val="00773072"/>
    <w:rsid w:val="0077340C"/>
    <w:rsid w:val="0077391E"/>
    <w:rsid w:val="00773A01"/>
    <w:rsid w:val="00773A5A"/>
    <w:rsid w:val="007741B6"/>
    <w:rsid w:val="00774221"/>
    <w:rsid w:val="0077426E"/>
    <w:rsid w:val="007745B0"/>
    <w:rsid w:val="0077490C"/>
    <w:rsid w:val="00774A64"/>
    <w:rsid w:val="00774CCC"/>
    <w:rsid w:val="00774D08"/>
    <w:rsid w:val="00774D2D"/>
    <w:rsid w:val="00774E08"/>
    <w:rsid w:val="00774E80"/>
    <w:rsid w:val="00774FFA"/>
    <w:rsid w:val="0077522E"/>
    <w:rsid w:val="0077535E"/>
    <w:rsid w:val="00775388"/>
    <w:rsid w:val="007753B1"/>
    <w:rsid w:val="00775494"/>
    <w:rsid w:val="0077584A"/>
    <w:rsid w:val="007759A3"/>
    <w:rsid w:val="00775A13"/>
    <w:rsid w:val="00775E41"/>
    <w:rsid w:val="00775E54"/>
    <w:rsid w:val="00775E6C"/>
    <w:rsid w:val="00775FC6"/>
    <w:rsid w:val="00776462"/>
    <w:rsid w:val="007764C3"/>
    <w:rsid w:val="00776F29"/>
    <w:rsid w:val="00777239"/>
    <w:rsid w:val="00777370"/>
    <w:rsid w:val="0077778E"/>
    <w:rsid w:val="007778ED"/>
    <w:rsid w:val="00777B0D"/>
    <w:rsid w:val="00777D5D"/>
    <w:rsid w:val="00777F5A"/>
    <w:rsid w:val="007801DF"/>
    <w:rsid w:val="007801E3"/>
    <w:rsid w:val="0078031C"/>
    <w:rsid w:val="007807A7"/>
    <w:rsid w:val="0078081F"/>
    <w:rsid w:val="007808CA"/>
    <w:rsid w:val="0078090C"/>
    <w:rsid w:val="00780B4F"/>
    <w:rsid w:val="00780D75"/>
    <w:rsid w:val="00780F1E"/>
    <w:rsid w:val="0078117A"/>
    <w:rsid w:val="007814A6"/>
    <w:rsid w:val="0078167D"/>
    <w:rsid w:val="00781872"/>
    <w:rsid w:val="00781AF1"/>
    <w:rsid w:val="00781EF2"/>
    <w:rsid w:val="00781F7B"/>
    <w:rsid w:val="00781FFC"/>
    <w:rsid w:val="00782043"/>
    <w:rsid w:val="007822E7"/>
    <w:rsid w:val="00782567"/>
    <w:rsid w:val="00782853"/>
    <w:rsid w:val="00782AEA"/>
    <w:rsid w:val="00782BB9"/>
    <w:rsid w:val="0078310E"/>
    <w:rsid w:val="007831AF"/>
    <w:rsid w:val="007831D9"/>
    <w:rsid w:val="0078383E"/>
    <w:rsid w:val="00783C24"/>
    <w:rsid w:val="00783C7E"/>
    <w:rsid w:val="0078495C"/>
    <w:rsid w:val="007849E9"/>
    <w:rsid w:val="00784E22"/>
    <w:rsid w:val="00784FA7"/>
    <w:rsid w:val="00784FDD"/>
    <w:rsid w:val="00785116"/>
    <w:rsid w:val="00785666"/>
    <w:rsid w:val="00785B3D"/>
    <w:rsid w:val="00785B6F"/>
    <w:rsid w:val="00785CBF"/>
    <w:rsid w:val="00785D63"/>
    <w:rsid w:val="0078641B"/>
    <w:rsid w:val="00786573"/>
    <w:rsid w:val="00786594"/>
    <w:rsid w:val="007865CD"/>
    <w:rsid w:val="00786846"/>
    <w:rsid w:val="00786C35"/>
    <w:rsid w:val="00786CDD"/>
    <w:rsid w:val="007870FE"/>
    <w:rsid w:val="007872FB"/>
    <w:rsid w:val="007875AA"/>
    <w:rsid w:val="007875C3"/>
    <w:rsid w:val="0078767A"/>
    <w:rsid w:val="007876DB"/>
    <w:rsid w:val="007878E6"/>
    <w:rsid w:val="00787979"/>
    <w:rsid w:val="00787986"/>
    <w:rsid w:val="00787D51"/>
    <w:rsid w:val="007903ED"/>
    <w:rsid w:val="0079043F"/>
    <w:rsid w:val="007905D8"/>
    <w:rsid w:val="00790888"/>
    <w:rsid w:val="007909D7"/>
    <w:rsid w:val="00790C62"/>
    <w:rsid w:val="007911EE"/>
    <w:rsid w:val="00791707"/>
    <w:rsid w:val="00791C2F"/>
    <w:rsid w:val="00791DAC"/>
    <w:rsid w:val="00791EE4"/>
    <w:rsid w:val="00791EE8"/>
    <w:rsid w:val="007923EE"/>
    <w:rsid w:val="00792885"/>
    <w:rsid w:val="007928F7"/>
    <w:rsid w:val="00792B83"/>
    <w:rsid w:val="00793CBE"/>
    <w:rsid w:val="00793FE6"/>
    <w:rsid w:val="00794080"/>
    <w:rsid w:val="0079410B"/>
    <w:rsid w:val="00794135"/>
    <w:rsid w:val="00794520"/>
    <w:rsid w:val="00794C2C"/>
    <w:rsid w:val="00794E40"/>
    <w:rsid w:val="0079524E"/>
    <w:rsid w:val="007957A0"/>
    <w:rsid w:val="007961D0"/>
    <w:rsid w:val="007967B2"/>
    <w:rsid w:val="007969CB"/>
    <w:rsid w:val="00796A5B"/>
    <w:rsid w:val="00796D4E"/>
    <w:rsid w:val="00796EFF"/>
    <w:rsid w:val="0079703C"/>
    <w:rsid w:val="007970E6"/>
    <w:rsid w:val="00797238"/>
    <w:rsid w:val="0079760E"/>
    <w:rsid w:val="007979D2"/>
    <w:rsid w:val="00797A8F"/>
    <w:rsid w:val="00797EE7"/>
    <w:rsid w:val="007A050F"/>
    <w:rsid w:val="007A05B5"/>
    <w:rsid w:val="007A062C"/>
    <w:rsid w:val="007A071B"/>
    <w:rsid w:val="007A07FB"/>
    <w:rsid w:val="007A0A5D"/>
    <w:rsid w:val="007A0B8D"/>
    <w:rsid w:val="007A0C06"/>
    <w:rsid w:val="007A0CFC"/>
    <w:rsid w:val="007A117C"/>
    <w:rsid w:val="007A1493"/>
    <w:rsid w:val="007A1AD6"/>
    <w:rsid w:val="007A1F3A"/>
    <w:rsid w:val="007A235E"/>
    <w:rsid w:val="007A23F4"/>
    <w:rsid w:val="007A3180"/>
    <w:rsid w:val="007A330C"/>
    <w:rsid w:val="007A3432"/>
    <w:rsid w:val="007A3502"/>
    <w:rsid w:val="007A3534"/>
    <w:rsid w:val="007A37D5"/>
    <w:rsid w:val="007A3A6B"/>
    <w:rsid w:val="007A3A79"/>
    <w:rsid w:val="007A3CCB"/>
    <w:rsid w:val="007A477F"/>
    <w:rsid w:val="007A4D5E"/>
    <w:rsid w:val="007A4E5A"/>
    <w:rsid w:val="007A4ED4"/>
    <w:rsid w:val="007A4FD1"/>
    <w:rsid w:val="007A516F"/>
    <w:rsid w:val="007A539A"/>
    <w:rsid w:val="007A53C1"/>
    <w:rsid w:val="007A56D7"/>
    <w:rsid w:val="007A581B"/>
    <w:rsid w:val="007A5A1C"/>
    <w:rsid w:val="007A5D3D"/>
    <w:rsid w:val="007A6743"/>
    <w:rsid w:val="007A6FE2"/>
    <w:rsid w:val="007A7118"/>
    <w:rsid w:val="007A7634"/>
    <w:rsid w:val="007A7A6E"/>
    <w:rsid w:val="007A7F45"/>
    <w:rsid w:val="007B02CE"/>
    <w:rsid w:val="007B0FEA"/>
    <w:rsid w:val="007B10A4"/>
    <w:rsid w:val="007B1282"/>
    <w:rsid w:val="007B13B3"/>
    <w:rsid w:val="007B14CC"/>
    <w:rsid w:val="007B18F0"/>
    <w:rsid w:val="007B1BD7"/>
    <w:rsid w:val="007B1D8B"/>
    <w:rsid w:val="007B1DC6"/>
    <w:rsid w:val="007B1DED"/>
    <w:rsid w:val="007B1E49"/>
    <w:rsid w:val="007B1F7A"/>
    <w:rsid w:val="007B2052"/>
    <w:rsid w:val="007B20D4"/>
    <w:rsid w:val="007B219E"/>
    <w:rsid w:val="007B2271"/>
    <w:rsid w:val="007B237A"/>
    <w:rsid w:val="007B2398"/>
    <w:rsid w:val="007B2495"/>
    <w:rsid w:val="007B256D"/>
    <w:rsid w:val="007B25F2"/>
    <w:rsid w:val="007B2635"/>
    <w:rsid w:val="007B2B95"/>
    <w:rsid w:val="007B3024"/>
    <w:rsid w:val="007B3372"/>
    <w:rsid w:val="007B344B"/>
    <w:rsid w:val="007B3F79"/>
    <w:rsid w:val="007B4259"/>
    <w:rsid w:val="007B442F"/>
    <w:rsid w:val="007B4640"/>
    <w:rsid w:val="007B477B"/>
    <w:rsid w:val="007B4BF2"/>
    <w:rsid w:val="007B4E28"/>
    <w:rsid w:val="007B4FD2"/>
    <w:rsid w:val="007B50B6"/>
    <w:rsid w:val="007B531B"/>
    <w:rsid w:val="007B53B7"/>
    <w:rsid w:val="007B5458"/>
    <w:rsid w:val="007B55FF"/>
    <w:rsid w:val="007B5715"/>
    <w:rsid w:val="007B59B2"/>
    <w:rsid w:val="007B5DC9"/>
    <w:rsid w:val="007B69DF"/>
    <w:rsid w:val="007B71E8"/>
    <w:rsid w:val="007B742F"/>
    <w:rsid w:val="007B767D"/>
    <w:rsid w:val="007B772B"/>
    <w:rsid w:val="007B7951"/>
    <w:rsid w:val="007B7AFC"/>
    <w:rsid w:val="007B7FC2"/>
    <w:rsid w:val="007C00F6"/>
    <w:rsid w:val="007C00F8"/>
    <w:rsid w:val="007C0A89"/>
    <w:rsid w:val="007C0A8A"/>
    <w:rsid w:val="007C0F80"/>
    <w:rsid w:val="007C1032"/>
    <w:rsid w:val="007C1138"/>
    <w:rsid w:val="007C15CB"/>
    <w:rsid w:val="007C1A66"/>
    <w:rsid w:val="007C1B05"/>
    <w:rsid w:val="007C1BB8"/>
    <w:rsid w:val="007C1BD6"/>
    <w:rsid w:val="007C1CEA"/>
    <w:rsid w:val="007C1FA3"/>
    <w:rsid w:val="007C2038"/>
    <w:rsid w:val="007C234A"/>
    <w:rsid w:val="007C264B"/>
    <w:rsid w:val="007C2942"/>
    <w:rsid w:val="007C2976"/>
    <w:rsid w:val="007C2EB8"/>
    <w:rsid w:val="007C2F22"/>
    <w:rsid w:val="007C2FBD"/>
    <w:rsid w:val="007C30E5"/>
    <w:rsid w:val="007C33EF"/>
    <w:rsid w:val="007C3435"/>
    <w:rsid w:val="007C3824"/>
    <w:rsid w:val="007C3861"/>
    <w:rsid w:val="007C3DB5"/>
    <w:rsid w:val="007C3F74"/>
    <w:rsid w:val="007C3FBE"/>
    <w:rsid w:val="007C40AA"/>
    <w:rsid w:val="007C431B"/>
    <w:rsid w:val="007C4547"/>
    <w:rsid w:val="007C455C"/>
    <w:rsid w:val="007C4618"/>
    <w:rsid w:val="007C47F6"/>
    <w:rsid w:val="007C4C10"/>
    <w:rsid w:val="007C5048"/>
    <w:rsid w:val="007C5330"/>
    <w:rsid w:val="007C586C"/>
    <w:rsid w:val="007C5C12"/>
    <w:rsid w:val="007C6040"/>
    <w:rsid w:val="007C65B5"/>
    <w:rsid w:val="007C6716"/>
    <w:rsid w:val="007C7251"/>
    <w:rsid w:val="007C7808"/>
    <w:rsid w:val="007C7A42"/>
    <w:rsid w:val="007C7ADF"/>
    <w:rsid w:val="007D00FD"/>
    <w:rsid w:val="007D06D6"/>
    <w:rsid w:val="007D082D"/>
    <w:rsid w:val="007D0958"/>
    <w:rsid w:val="007D0CDF"/>
    <w:rsid w:val="007D0FD5"/>
    <w:rsid w:val="007D1841"/>
    <w:rsid w:val="007D1A2B"/>
    <w:rsid w:val="007D1C3D"/>
    <w:rsid w:val="007D1D9B"/>
    <w:rsid w:val="007D1E22"/>
    <w:rsid w:val="007D208A"/>
    <w:rsid w:val="007D2181"/>
    <w:rsid w:val="007D2489"/>
    <w:rsid w:val="007D24E6"/>
    <w:rsid w:val="007D2882"/>
    <w:rsid w:val="007D2B87"/>
    <w:rsid w:val="007D2B9A"/>
    <w:rsid w:val="007D2C48"/>
    <w:rsid w:val="007D2DEC"/>
    <w:rsid w:val="007D2EED"/>
    <w:rsid w:val="007D3813"/>
    <w:rsid w:val="007D3ADA"/>
    <w:rsid w:val="007D4340"/>
    <w:rsid w:val="007D4486"/>
    <w:rsid w:val="007D469A"/>
    <w:rsid w:val="007D4B42"/>
    <w:rsid w:val="007D4BCB"/>
    <w:rsid w:val="007D4FE1"/>
    <w:rsid w:val="007D5150"/>
    <w:rsid w:val="007D52B6"/>
    <w:rsid w:val="007D5455"/>
    <w:rsid w:val="007D55F1"/>
    <w:rsid w:val="007D5865"/>
    <w:rsid w:val="007D58D7"/>
    <w:rsid w:val="007D5978"/>
    <w:rsid w:val="007D5C24"/>
    <w:rsid w:val="007D5EC0"/>
    <w:rsid w:val="007D6129"/>
    <w:rsid w:val="007D6A4B"/>
    <w:rsid w:val="007D771A"/>
    <w:rsid w:val="007D7786"/>
    <w:rsid w:val="007D7937"/>
    <w:rsid w:val="007D7F36"/>
    <w:rsid w:val="007E020D"/>
    <w:rsid w:val="007E0738"/>
    <w:rsid w:val="007E08F0"/>
    <w:rsid w:val="007E097A"/>
    <w:rsid w:val="007E0BD2"/>
    <w:rsid w:val="007E0CCA"/>
    <w:rsid w:val="007E0D50"/>
    <w:rsid w:val="007E0D5C"/>
    <w:rsid w:val="007E0DC2"/>
    <w:rsid w:val="007E101C"/>
    <w:rsid w:val="007E1129"/>
    <w:rsid w:val="007E1313"/>
    <w:rsid w:val="007E1490"/>
    <w:rsid w:val="007E14DA"/>
    <w:rsid w:val="007E16D4"/>
    <w:rsid w:val="007E1891"/>
    <w:rsid w:val="007E1987"/>
    <w:rsid w:val="007E1A47"/>
    <w:rsid w:val="007E1D4D"/>
    <w:rsid w:val="007E1D89"/>
    <w:rsid w:val="007E1DB0"/>
    <w:rsid w:val="007E1EA0"/>
    <w:rsid w:val="007E1FE3"/>
    <w:rsid w:val="007E2123"/>
    <w:rsid w:val="007E27C2"/>
    <w:rsid w:val="007E2974"/>
    <w:rsid w:val="007E29B2"/>
    <w:rsid w:val="007E2A0F"/>
    <w:rsid w:val="007E2CA5"/>
    <w:rsid w:val="007E2EE7"/>
    <w:rsid w:val="007E2FB2"/>
    <w:rsid w:val="007E30EE"/>
    <w:rsid w:val="007E32B4"/>
    <w:rsid w:val="007E37BF"/>
    <w:rsid w:val="007E3B54"/>
    <w:rsid w:val="007E3CDA"/>
    <w:rsid w:val="007E4143"/>
    <w:rsid w:val="007E41AA"/>
    <w:rsid w:val="007E43BB"/>
    <w:rsid w:val="007E4401"/>
    <w:rsid w:val="007E4532"/>
    <w:rsid w:val="007E47E4"/>
    <w:rsid w:val="007E480C"/>
    <w:rsid w:val="007E4906"/>
    <w:rsid w:val="007E494E"/>
    <w:rsid w:val="007E4C02"/>
    <w:rsid w:val="007E5036"/>
    <w:rsid w:val="007E5133"/>
    <w:rsid w:val="007E51F6"/>
    <w:rsid w:val="007E5341"/>
    <w:rsid w:val="007E539A"/>
    <w:rsid w:val="007E5C6D"/>
    <w:rsid w:val="007E6380"/>
    <w:rsid w:val="007E63A9"/>
    <w:rsid w:val="007E69D0"/>
    <w:rsid w:val="007E69D7"/>
    <w:rsid w:val="007E6BA2"/>
    <w:rsid w:val="007E6BE8"/>
    <w:rsid w:val="007E6D94"/>
    <w:rsid w:val="007E72DA"/>
    <w:rsid w:val="007E73BE"/>
    <w:rsid w:val="007E7756"/>
    <w:rsid w:val="007E7CFF"/>
    <w:rsid w:val="007E7DCC"/>
    <w:rsid w:val="007E7E13"/>
    <w:rsid w:val="007E7F5F"/>
    <w:rsid w:val="007E7F87"/>
    <w:rsid w:val="007F04D9"/>
    <w:rsid w:val="007F08F4"/>
    <w:rsid w:val="007F0A14"/>
    <w:rsid w:val="007F1713"/>
    <w:rsid w:val="007F1A60"/>
    <w:rsid w:val="007F1CD4"/>
    <w:rsid w:val="007F1FBB"/>
    <w:rsid w:val="007F2190"/>
    <w:rsid w:val="007F224D"/>
    <w:rsid w:val="007F23ED"/>
    <w:rsid w:val="007F240E"/>
    <w:rsid w:val="007F274F"/>
    <w:rsid w:val="007F2A36"/>
    <w:rsid w:val="007F2ABC"/>
    <w:rsid w:val="007F2B97"/>
    <w:rsid w:val="007F2EF3"/>
    <w:rsid w:val="007F32D0"/>
    <w:rsid w:val="007F37A5"/>
    <w:rsid w:val="007F3AF3"/>
    <w:rsid w:val="007F3D69"/>
    <w:rsid w:val="007F3D8B"/>
    <w:rsid w:val="007F3E1E"/>
    <w:rsid w:val="007F3E58"/>
    <w:rsid w:val="007F3F04"/>
    <w:rsid w:val="007F405C"/>
    <w:rsid w:val="007F415D"/>
    <w:rsid w:val="007F4303"/>
    <w:rsid w:val="007F4383"/>
    <w:rsid w:val="007F43C6"/>
    <w:rsid w:val="007F43FF"/>
    <w:rsid w:val="007F45DF"/>
    <w:rsid w:val="007F4877"/>
    <w:rsid w:val="007F49EF"/>
    <w:rsid w:val="007F4A0C"/>
    <w:rsid w:val="007F4AAF"/>
    <w:rsid w:val="007F526E"/>
    <w:rsid w:val="007F5383"/>
    <w:rsid w:val="007F53C2"/>
    <w:rsid w:val="007F5491"/>
    <w:rsid w:val="007F5996"/>
    <w:rsid w:val="007F59B5"/>
    <w:rsid w:val="007F5B5F"/>
    <w:rsid w:val="007F5CA5"/>
    <w:rsid w:val="007F5D9B"/>
    <w:rsid w:val="007F60DD"/>
    <w:rsid w:val="007F64A1"/>
    <w:rsid w:val="007F6DFF"/>
    <w:rsid w:val="007F7087"/>
    <w:rsid w:val="007F70A8"/>
    <w:rsid w:val="007F70B7"/>
    <w:rsid w:val="007F7115"/>
    <w:rsid w:val="007F7397"/>
    <w:rsid w:val="007F7535"/>
    <w:rsid w:val="007F77EB"/>
    <w:rsid w:val="007F796C"/>
    <w:rsid w:val="007F7AD5"/>
    <w:rsid w:val="007F7CB9"/>
    <w:rsid w:val="007F7D9F"/>
    <w:rsid w:val="007F7E39"/>
    <w:rsid w:val="00800208"/>
    <w:rsid w:val="00800379"/>
    <w:rsid w:val="00800410"/>
    <w:rsid w:val="0080064A"/>
    <w:rsid w:val="008007B0"/>
    <w:rsid w:val="008011FF"/>
    <w:rsid w:val="00801680"/>
    <w:rsid w:val="00801B9F"/>
    <w:rsid w:val="00801E9F"/>
    <w:rsid w:val="00801F27"/>
    <w:rsid w:val="00802200"/>
    <w:rsid w:val="008022BE"/>
    <w:rsid w:val="008023DD"/>
    <w:rsid w:val="00802A4A"/>
    <w:rsid w:val="00802DC7"/>
    <w:rsid w:val="008030D5"/>
    <w:rsid w:val="00803187"/>
    <w:rsid w:val="00803405"/>
    <w:rsid w:val="008034D5"/>
    <w:rsid w:val="008035ED"/>
    <w:rsid w:val="00803631"/>
    <w:rsid w:val="00803969"/>
    <w:rsid w:val="0080419C"/>
    <w:rsid w:val="0080462C"/>
    <w:rsid w:val="00804CA4"/>
    <w:rsid w:val="00804D89"/>
    <w:rsid w:val="008050E9"/>
    <w:rsid w:val="0080511E"/>
    <w:rsid w:val="0080553F"/>
    <w:rsid w:val="00805642"/>
    <w:rsid w:val="00805D21"/>
    <w:rsid w:val="00805EE7"/>
    <w:rsid w:val="00805FB3"/>
    <w:rsid w:val="00806021"/>
    <w:rsid w:val="0080617B"/>
    <w:rsid w:val="008064C9"/>
    <w:rsid w:val="00806BE3"/>
    <w:rsid w:val="0080703F"/>
    <w:rsid w:val="00807488"/>
    <w:rsid w:val="00807CCA"/>
    <w:rsid w:val="0081002B"/>
    <w:rsid w:val="008103AF"/>
    <w:rsid w:val="00810427"/>
    <w:rsid w:val="008106B6"/>
    <w:rsid w:val="00810C7A"/>
    <w:rsid w:val="00810CA8"/>
    <w:rsid w:val="00810DD2"/>
    <w:rsid w:val="008110C8"/>
    <w:rsid w:val="008112EC"/>
    <w:rsid w:val="00811433"/>
    <w:rsid w:val="0081156D"/>
    <w:rsid w:val="008117DF"/>
    <w:rsid w:val="00811800"/>
    <w:rsid w:val="00811BD9"/>
    <w:rsid w:val="0081240D"/>
    <w:rsid w:val="0081241C"/>
    <w:rsid w:val="0081245A"/>
    <w:rsid w:val="0081263B"/>
    <w:rsid w:val="0081313A"/>
    <w:rsid w:val="00813238"/>
    <w:rsid w:val="00814178"/>
    <w:rsid w:val="008147A8"/>
    <w:rsid w:val="00814BA2"/>
    <w:rsid w:val="00814F15"/>
    <w:rsid w:val="00815200"/>
    <w:rsid w:val="008156F3"/>
    <w:rsid w:val="00815726"/>
    <w:rsid w:val="00815B4A"/>
    <w:rsid w:val="00815BB2"/>
    <w:rsid w:val="00815C85"/>
    <w:rsid w:val="00815FFC"/>
    <w:rsid w:val="008162AF"/>
    <w:rsid w:val="00816401"/>
    <w:rsid w:val="008164C1"/>
    <w:rsid w:val="00816781"/>
    <w:rsid w:val="00816A0F"/>
    <w:rsid w:val="00816A1C"/>
    <w:rsid w:val="00816C0B"/>
    <w:rsid w:val="00816F40"/>
    <w:rsid w:val="0081724C"/>
    <w:rsid w:val="0081762F"/>
    <w:rsid w:val="00817AF4"/>
    <w:rsid w:val="00817CD5"/>
    <w:rsid w:val="00817D15"/>
    <w:rsid w:val="008201E6"/>
    <w:rsid w:val="008202E2"/>
    <w:rsid w:val="0082037D"/>
    <w:rsid w:val="008203F9"/>
    <w:rsid w:val="00820592"/>
    <w:rsid w:val="00820650"/>
    <w:rsid w:val="0082076E"/>
    <w:rsid w:val="00820A0C"/>
    <w:rsid w:val="00821292"/>
    <w:rsid w:val="008215E2"/>
    <w:rsid w:val="00821DC9"/>
    <w:rsid w:val="00822090"/>
    <w:rsid w:val="00822582"/>
    <w:rsid w:val="008227F4"/>
    <w:rsid w:val="00822914"/>
    <w:rsid w:val="00822C0D"/>
    <w:rsid w:val="00822D48"/>
    <w:rsid w:val="00823449"/>
    <w:rsid w:val="00823893"/>
    <w:rsid w:val="00823B6F"/>
    <w:rsid w:val="00823BCE"/>
    <w:rsid w:val="00823C11"/>
    <w:rsid w:val="00823EB9"/>
    <w:rsid w:val="00823F7A"/>
    <w:rsid w:val="00824276"/>
    <w:rsid w:val="00824429"/>
    <w:rsid w:val="00824AC5"/>
    <w:rsid w:val="00824B7F"/>
    <w:rsid w:val="00825180"/>
    <w:rsid w:val="00825ACC"/>
    <w:rsid w:val="00825AE3"/>
    <w:rsid w:val="00825CB6"/>
    <w:rsid w:val="00825F41"/>
    <w:rsid w:val="0082629A"/>
    <w:rsid w:val="00826490"/>
    <w:rsid w:val="008269DC"/>
    <w:rsid w:val="00826B63"/>
    <w:rsid w:val="00826FA8"/>
    <w:rsid w:val="00827029"/>
    <w:rsid w:val="00827907"/>
    <w:rsid w:val="00827A8C"/>
    <w:rsid w:val="00827AA3"/>
    <w:rsid w:val="00827C98"/>
    <w:rsid w:val="008307EA"/>
    <w:rsid w:val="00830812"/>
    <w:rsid w:val="00830C51"/>
    <w:rsid w:val="00830F31"/>
    <w:rsid w:val="00831135"/>
    <w:rsid w:val="00831393"/>
    <w:rsid w:val="00831C0E"/>
    <w:rsid w:val="00831C7F"/>
    <w:rsid w:val="00831D80"/>
    <w:rsid w:val="00831F2D"/>
    <w:rsid w:val="00832A65"/>
    <w:rsid w:val="00832DC7"/>
    <w:rsid w:val="00833736"/>
    <w:rsid w:val="0083390E"/>
    <w:rsid w:val="00833D1E"/>
    <w:rsid w:val="00833D53"/>
    <w:rsid w:val="00833DCD"/>
    <w:rsid w:val="00833FA6"/>
    <w:rsid w:val="0083440D"/>
    <w:rsid w:val="00834633"/>
    <w:rsid w:val="00834F52"/>
    <w:rsid w:val="008350AF"/>
    <w:rsid w:val="008354EF"/>
    <w:rsid w:val="00835A1F"/>
    <w:rsid w:val="00835CF2"/>
    <w:rsid w:val="00835EED"/>
    <w:rsid w:val="00836301"/>
    <w:rsid w:val="008369E8"/>
    <w:rsid w:val="00836CF5"/>
    <w:rsid w:val="00836DF8"/>
    <w:rsid w:val="00836E17"/>
    <w:rsid w:val="00836E94"/>
    <w:rsid w:val="00837056"/>
    <w:rsid w:val="008375A7"/>
    <w:rsid w:val="008375F4"/>
    <w:rsid w:val="00837740"/>
    <w:rsid w:val="00837E43"/>
    <w:rsid w:val="00840272"/>
    <w:rsid w:val="00840468"/>
    <w:rsid w:val="00840937"/>
    <w:rsid w:val="008411CC"/>
    <w:rsid w:val="00841341"/>
    <w:rsid w:val="00841679"/>
    <w:rsid w:val="00841754"/>
    <w:rsid w:val="00841802"/>
    <w:rsid w:val="008418F1"/>
    <w:rsid w:val="00841929"/>
    <w:rsid w:val="00841945"/>
    <w:rsid w:val="00841E6D"/>
    <w:rsid w:val="0084222A"/>
    <w:rsid w:val="00842704"/>
    <w:rsid w:val="00842B0F"/>
    <w:rsid w:val="00842BCA"/>
    <w:rsid w:val="00842F30"/>
    <w:rsid w:val="0084313D"/>
    <w:rsid w:val="00843777"/>
    <w:rsid w:val="008438AB"/>
    <w:rsid w:val="00843A08"/>
    <w:rsid w:val="00844004"/>
    <w:rsid w:val="0084406F"/>
    <w:rsid w:val="0084436F"/>
    <w:rsid w:val="008445E7"/>
    <w:rsid w:val="008448AC"/>
    <w:rsid w:val="0084491C"/>
    <w:rsid w:val="00844AE0"/>
    <w:rsid w:val="00844BD6"/>
    <w:rsid w:val="00845011"/>
    <w:rsid w:val="008450DC"/>
    <w:rsid w:val="00845338"/>
    <w:rsid w:val="00845914"/>
    <w:rsid w:val="00845AE9"/>
    <w:rsid w:val="00845B1A"/>
    <w:rsid w:val="00845EEB"/>
    <w:rsid w:val="00845F95"/>
    <w:rsid w:val="008461DC"/>
    <w:rsid w:val="00847009"/>
    <w:rsid w:val="00847129"/>
    <w:rsid w:val="00847342"/>
    <w:rsid w:val="00847A0A"/>
    <w:rsid w:val="00847BFA"/>
    <w:rsid w:val="00847D83"/>
    <w:rsid w:val="00847EEB"/>
    <w:rsid w:val="00847FDC"/>
    <w:rsid w:val="00850013"/>
    <w:rsid w:val="00850206"/>
    <w:rsid w:val="0085039E"/>
    <w:rsid w:val="00850463"/>
    <w:rsid w:val="008507A1"/>
    <w:rsid w:val="008511A0"/>
    <w:rsid w:val="008513B2"/>
    <w:rsid w:val="008518BB"/>
    <w:rsid w:val="00851C52"/>
    <w:rsid w:val="00851F0F"/>
    <w:rsid w:val="00851FFF"/>
    <w:rsid w:val="0085205E"/>
    <w:rsid w:val="0085216F"/>
    <w:rsid w:val="008521A4"/>
    <w:rsid w:val="00852257"/>
    <w:rsid w:val="00852377"/>
    <w:rsid w:val="00852463"/>
    <w:rsid w:val="008527F1"/>
    <w:rsid w:val="00852958"/>
    <w:rsid w:val="00852CAE"/>
    <w:rsid w:val="00852D1D"/>
    <w:rsid w:val="00852DE6"/>
    <w:rsid w:val="00853192"/>
    <w:rsid w:val="008531FB"/>
    <w:rsid w:val="0085329C"/>
    <w:rsid w:val="008533BF"/>
    <w:rsid w:val="00853768"/>
    <w:rsid w:val="00853AF3"/>
    <w:rsid w:val="00853C3E"/>
    <w:rsid w:val="00853DAF"/>
    <w:rsid w:val="00853DC0"/>
    <w:rsid w:val="008541F7"/>
    <w:rsid w:val="008543AC"/>
    <w:rsid w:val="008545CA"/>
    <w:rsid w:val="00854A4B"/>
    <w:rsid w:val="0085542E"/>
    <w:rsid w:val="00855889"/>
    <w:rsid w:val="00855CAF"/>
    <w:rsid w:val="00855DFB"/>
    <w:rsid w:val="0085627D"/>
    <w:rsid w:val="00856500"/>
    <w:rsid w:val="008565B2"/>
    <w:rsid w:val="008566CA"/>
    <w:rsid w:val="00856C39"/>
    <w:rsid w:val="00856EFE"/>
    <w:rsid w:val="008573F2"/>
    <w:rsid w:val="00857501"/>
    <w:rsid w:val="00857898"/>
    <w:rsid w:val="00860826"/>
    <w:rsid w:val="00860BFC"/>
    <w:rsid w:val="008610AC"/>
    <w:rsid w:val="00861241"/>
    <w:rsid w:val="00861366"/>
    <w:rsid w:val="008615AA"/>
    <w:rsid w:val="00861AEE"/>
    <w:rsid w:val="00861CAF"/>
    <w:rsid w:val="00861EE5"/>
    <w:rsid w:val="0086211D"/>
    <w:rsid w:val="00862429"/>
    <w:rsid w:val="00862683"/>
    <w:rsid w:val="00862822"/>
    <w:rsid w:val="00862933"/>
    <w:rsid w:val="00862BA0"/>
    <w:rsid w:val="0086336C"/>
    <w:rsid w:val="008639BB"/>
    <w:rsid w:val="00863A38"/>
    <w:rsid w:val="00863BBB"/>
    <w:rsid w:val="00864385"/>
    <w:rsid w:val="0086446C"/>
    <w:rsid w:val="00864869"/>
    <w:rsid w:val="00865473"/>
    <w:rsid w:val="008654CC"/>
    <w:rsid w:val="008656AF"/>
    <w:rsid w:val="008656B5"/>
    <w:rsid w:val="00865EC8"/>
    <w:rsid w:val="00865F27"/>
    <w:rsid w:val="00866019"/>
    <w:rsid w:val="008661D2"/>
    <w:rsid w:val="00866222"/>
    <w:rsid w:val="00866764"/>
    <w:rsid w:val="00866F0D"/>
    <w:rsid w:val="00866F71"/>
    <w:rsid w:val="0086743E"/>
    <w:rsid w:val="008675D7"/>
    <w:rsid w:val="00867A1E"/>
    <w:rsid w:val="00867B21"/>
    <w:rsid w:val="00867C84"/>
    <w:rsid w:val="00867E92"/>
    <w:rsid w:val="0087011C"/>
    <w:rsid w:val="008703BE"/>
    <w:rsid w:val="008706C3"/>
    <w:rsid w:val="00870993"/>
    <w:rsid w:val="00870D3A"/>
    <w:rsid w:val="00870EF3"/>
    <w:rsid w:val="00871061"/>
    <w:rsid w:val="00871936"/>
    <w:rsid w:val="00871BE9"/>
    <w:rsid w:val="00871BF7"/>
    <w:rsid w:val="00871E7A"/>
    <w:rsid w:val="00871E8F"/>
    <w:rsid w:val="00871EE7"/>
    <w:rsid w:val="008725DE"/>
    <w:rsid w:val="0087264F"/>
    <w:rsid w:val="00872949"/>
    <w:rsid w:val="00872C48"/>
    <w:rsid w:val="00872E0F"/>
    <w:rsid w:val="00873533"/>
    <w:rsid w:val="00873539"/>
    <w:rsid w:val="00873666"/>
    <w:rsid w:val="008737AF"/>
    <w:rsid w:val="008740EB"/>
    <w:rsid w:val="008743EA"/>
    <w:rsid w:val="00874B85"/>
    <w:rsid w:val="00874E57"/>
    <w:rsid w:val="00875A5E"/>
    <w:rsid w:val="00875AD6"/>
    <w:rsid w:val="00875CE7"/>
    <w:rsid w:val="00875FC8"/>
    <w:rsid w:val="008760C7"/>
    <w:rsid w:val="008767C4"/>
    <w:rsid w:val="00876B5C"/>
    <w:rsid w:val="00876EEA"/>
    <w:rsid w:val="0087770A"/>
    <w:rsid w:val="00877CE5"/>
    <w:rsid w:val="008801AA"/>
    <w:rsid w:val="008806B6"/>
    <w:rsid w:val="008807AE"/>
    <w:rsid w:val="00880AD3"/>
    <w:rsid w:val="00880D36"/>
    <w:rsid w:val="00880ED6"/>
    <w:rsid w:val="00880FBB"/>
    <w:rsid w:val="00881A3A"/>
    <w:rsid w:val="00881AA0"/>
    <w:rsid w:val="008820DB"/>
    <w:rsid w:val="0088292E"/>
    <w:rsid w:val="00882A5A"/>
    <w:rsid w:val="00882C34"/>
    <w:rsid w:val="00882FCD"/>
    <w:rsid w:val="00882FDD"/>
    <w:rsid w:val="00883215"/>
    <w:rsid w:val="008834E4"/>
    <w:rsid w:val="0088359C"/>
    <w:rsid w:val="0088364F"/>
    <w:rsid w:val="00883CB5"/>
    <w:rsid w:val="00884A17"/>
    <w:rsid w:val="00884A86"/>
    <w:rsid w:val="00884B6C"/>
    <w:rsid w:val="00884E3F"/>
    <w:rsid w:val="00885347"/>
    <w:rsid w:val="008853DE"/>
    <w:rsid w:val="00885561"/>
    <w:rsid w:val="00885989"/>
    <w:rsid w:val="00885A09"/>
    <w:rsid w:val="00885C1B"/>
    <w:rsid w:val="00886279"/>
    <w:rsid w:val="008862C1"/>
    <w:rsid w:val="00886497"/>
    <w:rsid w:val="008866AA"/>
    <w:rsid w:val="00886E44"/>
    <w:rsid w:val="00886FF5"/>
    <w:rsid w:val="008875CD"/>
    <w:rsid w:val="00887653"/>
    <w:rsid w:val="008906E7"/>
    <w:rsid w:val="0089074A"/>
    <w:rsid w:val="008909F4"/>
    <w:rsid w:val="00890F34"/>
    <w:rsid w:val="0089133B"/>
    <w:rsid w:val="0089146B"/>
    <w:rsid w:val="008915A9"/>
    <w:rsid w:val="008915EE"/>
    <w:rsid w:val="008918FD"/>
    <w:rsid w:val="00891A8D"/>
    <w:rsid w:val="0089229D"/>
    <w:rsid w:val="00892342"/>
    <w:rsid w:val="00892531"/>
    <w:rsid w:val="00892788"/>
    <w:rsid w:val="00892C54"/>
    <w:rsid w:val="008932D6"/>
    <w:rsid w:val="00893365"/>
    <w:rsid w:val="00893509"/>
    <w:rsid w:val="0089353B"/>
    <w:rsid w:val="00893772"/>
    <w:rsid w:val="008937C0"/>
    <w:rsid w:val="00893824"/>
    <w:rsid w:val="00893CE5"/>
    <w:rsid w:val="00893F50"/>
    <w:rsid w:val="00894256"/>
    <w:rsid w:val="008943F0"/>
    <w:rsid w:val="008949DC"/>
    <w:rsid w:val="00894D53"/>
    <w:rsid w:val="00894EC8"/>
    <w:rsid w:val="008955A8"/>
    <w:rsid w:val="00895791"/>
    <w:rsid w:val="008959B6"/>
    <w:rsid w:val="00895B10"/>
    <w:rsid w:val="00895D2A"/>
    <w:rsid w:val="00895FD5"/>
    <w:rsid w:val="00896097"/>
    <w:rsid w:val="00896283"/>
    <w:rsid w:val="008963B0"/>
    <w:rsid w:val="00896645"/>
    <w:rsid w:val="00896710"/>
    <w:rsid w:val="00896A39"/>
    <w:rsid w:val="00896C68"/>
    <w:rsid w:val="0089709F"/>
    <w:rsid w:val="00897216"/>
    <w:rsid w:val="0089756A"/>
    <w:rsid w:val="008976D2"/>
    <w:rsid w:val="00897A2A"/>
    <w:rsid w:val="00897B54"/>
    <w:rsid w:val="00897C55"/>
    <w:rsid w:val="00897DE6"/>
    <w:rsid w:val="008A002B"/>
    <w:rsid w:val="008A078C"/>
    <w:rsid w:val="008A0E61"/>
    <w:rsid w:val="008A149B"/>
    <w:rsid w:val="008A14A9"/>
    <w:rsid w:val="008A1ADA"/>
    <w:rsid w:val="008A1C51"/>
    <w:rsid w:val="008A1C83"/>
    <w:rsid w:val="008A1F3A"/>
    <w:rsid w:val="008A2062"/>
    <w:rsid w:val="008A2110"/>
    <w:rsid w:val="008A2843"/>
    <w:rsid w:val="008A2A88"/>
    <w:rsid w:val="008A2F0F"/>
    <w:rsid w:val="008A2F49"/>
    <w:rsid w:val="008A313F"/>
    <w:rsid w:val="008A3632"/>
    <w:rsid w:val="008A3827"/>
    <w:rsid w:val="008A3919"/>
    <w:rsid w:val="008A3DC2"/>
    <w:rsid w:val="008A3E8A"/>
    <w:rsid w:val="008A42F7"/>
    <w:rsid w:val="008A47FF"/>
    <w:rsid w:val="008A4D1A"/>
    <w:rsid w:val="008A4F4F"/>
    <w:rsid w:val="008A5095"/>
    <w:rsid w:val="008A51CB"/>
    <w:rsid w:val="008A537E"/>
    <w:rsid w:val="008A53D0"/>
    <w:rsid w:val="008A604D"/>
    <w:rsid w:val="008A6444"/>
    <w:rsid w:val="008A65B9"/>
    <w:rsid w:val="008A6624"/>
    <w:rsid w:val="008A6C61"/>
    <w:rsid w:val="008A70CD"/>
    <w:rsid w:val="008A7163"/>
    <w:rsid w:val="008A721E"/>
    <w:rsid w:val="008A74B4"/>
    <w:rsid w:val="008A75E1"/>
    <w:rsid w:val="008A7931"/>
    <w:rsid w:val="008A796D"/>
    <w:rsid w:val="008A7BA6"/>
    <w:rsid w:val="008A7D4C"/>
    <w:rsid w:val="008B02FA"/>
    <w:rsid w:val="008B0AB6"/>
    <w:rsid w:val="008B0AF4"/>
    <w:rsid w:val="008B0B04"/>
    <w:rsid w:val="008B0E72"/>
    <w:rsid w:val="008B2533"/>
    <w:rsid w:val="008B269C"/>
    <w:rsid w:val="008B2887"/>
    <w:rsid w:val="008B2B94"/>
    <w:rsid w:val="008B2E23"/>
    <w:rsid w:val="008B2F28"/>
    <w:rsid w:val="008B32AE"/>
    <w:rsid w:val="008B32EF"/>
    <w:rsid w:val="008B33C9"/>
    <w:rsid w:val="008B34DA"/>
    <w:rsid w:val="008B3512"/>
    <w:rsid w:val="008B3606"/>
    <w:rsid w:val="008B39AD"/>
    <w:rsid w:val="008B3DCE"/>
    <w:rsid w:val="008B3F1D"/>
    <w:rsid w:val="008B406D"/>
    <w:rsid w:val="008B45CD"/>
    <w:rsid w:val="008B4621"/>
    <w:rsid w:val="008B465A"/>
    <w:rsid w:val="008B4879"/>
    <w:rsid w:val="008B4884"/>
    <w:rsid w:val="008B4B47"/>
    <w:rsid w:val="008B4B77"/>
    <w:rsid w:val="008B4E34"/>
    <w:rsid w:val="008B4F86"/>
    <w:rsid w:val="008B4FAA"/>
    <w:rsid w:val="008B5435"/>
    <w:rsid w:val="008B59DB"/>
    <w:rsid w:val="008B5A23"/>
    <w:rsid w:val="008B60F3"/>
    <w:rsid w:val="008B61B1"/>
    <w:rsid w:val="008B652E"/>
    <w:rsid w:val="008B676C"/>
    <w:rsid w:val="008B6A78"/>
    <w:rsid w:val="008B6F12"/>
    <w:rsid w:val="008B6FCA"/>
    <w:rsid w:val="008B70FB"/>
    <w:rsid w:val="008B73F6"/>
    <w:rsid w:val="008B757F"/>
    <w:rsid w:val="008B765D"/>
    <w:rsid w:val="008B7EBB"/>
    <w:rsid w:val="008C10AC"/>
    <w:rsid w:val="008C15F7"/>
    <w:rsid w:val="008C1789"/>
    <w:rsid w:val="008C1A50"/>
    <w:rsid w:val="008C1C7E"/>
    <w:rsid w:val="008C1E2F"/>
    <w:rsid w:val="008C1F44"/>
    <w:rsid w:val="008C215B"/>
    <w:rsid w:val="008C294B"/>
    <w:rsid w:val="008C2B50"/>
    <w:rsid w:val="008C2B57"/>
    <w:rsid w:val="008C2BED"/>
    <w:rsid w:val="008C2C06"/>
    <w:rsid w:val="008C2D04"/>
    <w:rsid w:val="008C2E76"/>
    <w:rsid w:val="008C2F51"/>
    <w:rsid w:val="008C3710"/>
    <w:rsid w:val="008C38B5"/>
    <w:rsid w:val="008C3920"/>
    <w:rsid w:val="008C46B1"/>
    <w:rsid w:val="008C46C7"/>
    <w:rsid w:val="008C490C"/>
    <w:rsid w:val="008C4E84"/>
    <w:rsid w:val="008C4EA6"/>
    <w:rsid w:val="008C5261"/>
    <w:rsid w:val="008C5389"/>
    <w:rsid w:val="008C545F"/>
    <w:rsid w:val="008C5961"/>
    <w:rsid w:val="008C5CFD"/>
    <w:rsid w:val="008C5D4B"/>
    <w:rsid w:val="008C620C"/>
    <w:rsid w:val="008C646B"/>
    <w:rsid w:val="008C6722"/>
    <w:rsid w:val="008C6ADE"/>
    <w:rsid w:val="008C6D54"/>
    <w:rsid w:val="008C739E"/>
    <w:rsid w:val="008C77A1"/>
    <w:rsid w:val="008C78F1"/>
    <w:rsid w:val="008C7926"/>
    <w:rsid w:val="008C795D"/>
    <w:rsid w:val="008C79F9"/>
    <w:rsid w:val="008C7C4A"/>
    <w:rsid w:val="008C7E7D"/>
    <w:rsid w:val="008C7F57"/>
    <w:rsid w:val="008D0420"/>
    <w:rsid w:val="008D06B4"/>
    <w:rsid w:val="008D0F3A"/>
    <w:rsid w:val="008D1433"/>
    <w:rsid w:val="008D175B"/>
    <w:rsid w:val="008D179D"/>
    <w:rsid w:val="008D1D9E"/>
    <w:rsid w:val="008D2466"/>
    <w:rsid w:val="008D249A"/>
    <w:rsid w:val="008D28AB"/>
    <w:rsid w:val="008D2E25"/>
    <w:rsid w:val="008D3156"/>
    <w:rsid w:val="008D32BA"/>
    <w:rsid w:val="008D356C"/>
    <w:rsid w:val="008D36DC"/>
    <w:rsid w:val="008D38D2"/>
    <w:rsid w:val="008D393D"/>
    <w:rsid w:val="008D3978"/>
    <w:rsid w:val="008D3BDF"/>
    <w:rsid w:val="008D3FAC"/>
    <w:rsid w:val="008D3FB1"/>
    <w:rsid w:val="008D42CD"/>
    <w:rsid w:val="008D44E5"/>
    <w:rsid w:val="008D480C"/>
    <w:rsid w:val="008D52E5"/>
    <w:rsid w:val="008D55C2"/>
    <w:rsid w:val="008D5894"/>
    <w:rsid w:val="008D5E73"/>
    <w:rsid w:val="008D633B"/>
    <w:rsid w:val="008D6409"/>
    <w:rsid w:val="008D6547"/>
    <w:rsid w:val="008D6A91"/>
    <w:rsid w:val="008D6D44"/>
    <w:rsid w:val="008D6EAC"/>
    <w:rsid w:val="008D6F63"/>
    <w:rsid w:val="008D7A05"/>
    <w:rsid w:val="008D7A2B"/>
    <w:rsid w:val="008D7C5C"/>
    <w:rsid w:val="008DB644"/>
    <w:rsid w:val="008E0063"/>
    <w:rsid w:val="008E0138"/>
    <w:rsid w:val="008E0450"/>
    <w:rsid w:val="008E08E4"/>
    <w:rsid w:val="008E0A24"/>
    <w:rsid w:val="008E0A3A"/>
    <w:rsid w:val="008E0F30"/>
    <w:rsid w:val="008E1744"/>
    <w:rsid w:val="008E1A7B"/>
    <w:rsid w:val="008E201B"/>
    <w:rsid w:val="008E2213"/>
    <w:rsid w:val="008E279A"/>
    <w:rsid w:val="008E2EB2"/>
    <w:rsid w:val="008E3422"/>
    <w:rsid w:val="008E35A6"/>
    <w:rsid w:val="008E3936"/>
    <w:rsid w:val="008E3C33"/>
    <w:rsid w:val="008E403B"/>
    <w:rsid w:val="008E4173"/>
    <w:rsid w:val="008E4526"/>
    <w:rsid w:val="008E46A8"/>
    <w:rsid w:val="008E4EAB"/>
    <w:rsid w:val="008E51F8"/>
    <w:rsid w:val="008E5206"/>
    <w:rsid w:val="008E5B14"/>
    <w:rsid w:val="008E5D72"/>
    <w:rsid w:val="008E61E7"/>
    <w:rsid w:val="008E642A"/>
    <w:rsid w:val="008E6844"/>
    <w:rsid w:val="008E6CBE"/>
    <w:rsid w:val="008E6E47"/>
    <w:rsid w:val="008E6E87"/>
    <w:rsid w:val="008E6EF9"/>
    <w:rsid w:val="008E73B0"/>
    <w:rsid w:val="008E7764"/>
    <w:rsid w:val="008E7AC0"/>
    <w:rsid w:val="008E7B25"/>
    <w:rsid w:val="008E7C94"/>
    <w:rsid w:val="008E7EAE"/>
    <w:rsid w:val="008E7F7D"/>
    <w:rsid w:val="008E7FF3"/>
    <w:rsid w:val="008F0107"/>
    <w:rsid w:val="008F01B1"/>
    <w:rsid w:val="008F03D9"/>
    <w:rsid w:val="008F04D1"/>
    <w:rsid w:val="008F0659"/>
    <w:rsid w:val="008F0A08"/>
    <w:rsid w:val="008F0D9F"/>
    <w:rsid w:val="008F0E54"/>
    <w:rsid w:val="008F0FA3"/>
    <w:rsid w:val="008F14AA"/>
    <w:rsid w:val="008F1BAD"/>
    <w:rsid w:val="008F1EE3"/>
    <w:rsid w:val="008F235F"/>
    <w:rsid w:val="008F2B7A"/>
    <w:rsid w:val="008F2C0C"/>
    <w:rsid w:val="008F3314"/>
    <w:rsid w:val="008F37E1"/>
    <w:rsid w:val="008F387E"/>
    <w:rsid w:val="008F3DB2"/>
    <w:rsid w:val="008F3E6F"/>
    <w:rsid w:val="008F3E83"/>
    <w:rsid w:val="008F406F"/>
    <w:rsid w:val="008F4430"/>
    <w:rsid w:val="008F47DD"/>
    <w:rsid w:val="008F4DA6"/>
    <w:rsid w:val="008F4E57"/>
    <w:rsid w:val="008F5285"/>
    <w:rsid w:val="008F52C3"/>
    <w:rsid w:val="008F5374"/>
    <w:rsid w:val="008F5390"/>
    <w:rsid w:val="008F54B0"/>
    <w:rsid w:val="008F54BE"/>
    <w:rsid w:val="008F5678"/>
    <w:rsid w:val="008F5999"/>
    <w:rsid w:val="008F64AF"/>
    <w:rsid w:val="008F67B4"/>
    <w:rsid w:val="008F690F"/>
    <w:rsid w:val="008F6C9C"/>
    <w:rsid w:val="008F71D3"/>
    <w:rsid w:val="008F72B4"/>
    <w:rsid w:val="008F78E6"/>
    <w:rsid w:val="008F7EAA"/>
    <w:rsid w:val="008F7FBD"/>
    <w:rsid w:val="00900118"/>
    <w:rsid w:val="009004CB"/>
    <w:rsid w:val="009005C2"/>
    <w:rsid w:val="00900A47"/>
    <w:rsid w:val="00900BCC"/>
    <w:rsid w:val="00900E72"/>
    <w:rsid w:val="00900EB0"/>
    <w:rsid w:val="00900EE3"/>
    <w:rsid w:val="0090138A"/>
    <w:rsid w:val="009017FB"/>
    <w:rsid w:val="0090195D"/>
    <w:rsid w:val="00901D03"/>
    <w:rsid w:val="00902095"/>
    <w:rsid w:val="009020C3"/>
    <w:rsid w:val="0090272E"/>
    <w:rsid w:val="00902A7D"/>
    <w:rsid w:val="00902B58"/>
    <w:rsid w:val="00902E8F"/>
    <w:rsid w:val="00902ECC"/>
    <w:rsid w:val="009031FF"/>
    <w:rsid w:val="00903BF1"/>
    <w:rsid w:val="00904477"/>
    <w:rsid w:val="0090454A"/>
    <w:rsid w:val="009045A8"/>
    <w:rsid w:val="00904D4D"/>
    <w:rsid w:val="009050A0"/>
    <w:rsid w:val="00905516"/>
    <w:rsid w:val="00905526"/>
    <w:rsid w:val="00905530"/>
    <w:rsid w:val="0090576B"/>
    <w:rsid w:val="00906061"/>
    <w:rsid w:val="00906281"/>
    <w:rsid w:val="00906895"/>
    <w:rsid w:val="00906A56"/>
    <w:rsid w:val="00906CC8"/>
    <w:rsid w:val="00907011"/>
    <w:rsid w:val="009070B3"/>
    <w:rsid w:val="0090778E"/>
    <w:rsid w:val="00907919"/>
    <w:rsid w:val="00907A7C"/>
    <w:rsid w:val="00907C71"/>
    <w:rsid w:val="00910363"/>
    <w:rsid w:val="009103DE"/>
    <w:rsid w:val="009105E9"/>
    <w:rsid w:val="00910B10"/>
    <w:rsid w:val="00910EF3"/>
    <w:rsid w:val="00911523"/>
    <w:rsid w:val="00911DC8"/>
    <w:rsid w:val="009121C2"/>
    <w:rsid w:val="0091250A"/>
    <w:rsid w:val="00912529"/>
    <w:rsid w:val="009127BA"/>
    <w:rsid w:val="009128A4"/>
    <w:rsid w:val="00912956"/>
    <w:rsid w:val="009129E9"/>
    <w:rsid w:val="0091307A"/>
    <w:rsid w:val="009130D2"/>
    <w:rsid w:val="0091311B"/>
    <w:rsid w:val="00913433"/>
    <w:rsid w:val="00913534"/>
    <w:rsid w:val="00913E8A"/>
    <w:rsid w:val="00913E8D"/>
    <w:rsid w:val="00913F8D"/>
    <w:rsid w:val="00913FD9"/>
    <w:rsid w:val="00914690"/>
    <w:rsid w:val="00914749"/>
    <w:rsid w:val="00914808"/>
    <w:rsid w:val="00914982"/>
    <w:rsid w:val="00914B24"/>
    <w:rsid w:val="00914B9A"/>
    <w:rsid w:val="00914C2F"/>
    <w:rsid w:val="00914EFB"/>
    <w:rsid w:val="00915034"/>
    <w:rsid w:val="0091505A"/>
    <w:rsid w:val="00915142"/>
    <w:rsid w:val="0091548E"/>
    <w:rsid w:val="0091565D"/>
    <w:rsid w:val="00915B61"/>
    <w:rsid w:val="00915D55"/>
    <w:rsid w:val="00915E57"/>
    <w:rsid w:val="00915F86"/>
    <w:rsid w:val="00915FFD"/>
    <w:rsid w:val="009160A0"/>
    <w:rsid w:val="009160EB"/>
    <w:rsid w:val="0091617F"/>
    <w:rsid w:val="00916551"/>
    <w:rsid w:val="009168FF"/>
    <w:rsid w:val="009169D1"/>
    <w:rsid w:val="00916C73"/>
    <w:rsid w:val="00916F1C"/>
    <w:rsid w:val="00917455"/>
    <w:rsid w:val="00917675"/>
    <w:rsid w:val="009177CF"/>
    <w:rsid w:val="00917AE7"/>
    <w:rsid w:val="00917DA4"/>
    <w:rsid w:val="00917E81"/>
    <w:rsid w:val="009203FE"/>
    <w:rsid w:val="0092058A"/>
    <w:rsid w:val="00920726"/>
    <w:rsid w:val="00920942"/>
    <w:rsid w:val="00920BCA"/>
    <w:rsid w:val="00920C11"/>
    <w:rsid w:val="00920CC0"/>
    <w:rsid w:val="0092106C"/>
    <w:rsid w:val="0092120C"/>
    <w:rsid w:val="0092139A"/>
    <w:rsid w:val="00921AB2"/>
    <w:rsid w:val="00921DAD"/>
    <w:rsid w:val="00921F26"/>
    <w:rsid w:val="00921FE1"/>
    <w:rsid w:val="00922171"/>
    <w:rsid w:val="009221A0"/>
    <w:rsid w:val="0092246E"/>
    <w:rsid w:val="00922913"/>
    <w:rsid w:val="00922A08"/>
    <w:rsid w:val="00922BED"/>
    <w:rsid w:val="00922C46"/>
    <w:rsid w:val="0092327C"/>
    <w:rsid w:val="0092338F"/>
    <w:rsid w:val="009233BC"/>
    <w:rsid w:val="00923736"/>
    <w:rsid w:val="00923798"/>
    <w:rsid w:val="00923907"/>
    <w:rsid w:val="0092398B"/>
    <w:rsid w:val="00923EB1"/>
    <w:rsid w:val="00924293"/>
    <w:rsid w:val="00924553"/>
    <w:rsid w:val="009247EA"/>
    <w:rsid w:val="009256FD"/>
    <w:rsid w:val="00925D98"/>
    <w:rsid w:val="00926031"/>
    <w:rsid w:val="00926439"/>
    <w:rsid w:val="0092663C"/>
    <w:rsid w:val="00926645"/>
    <w:rsid w:val="009269B1"/>
    <w:rsid w:val="00926A04"/>
    <w:rsid w:val="00926D07"/>
    <w:rsid w:val="00926EFE"/>
    <w:rsid w:val="00926FBB"/>
    <w:rsid w:val="00927572"/>
    <w:rsid w:val="00927798"/>
    <w:rsid w:val="0092797E"/>
    <w:rsid w:val="00927A72"/>
    <w:rsid w:val="00930118"/>
    <w:rsid w:val="00930164"/>
    <w:rsid w:val="00930291"/>
    <w:rsid w:val="00930361"/>
    <w:rsid w:val="009304AE"/>
    <w:rsid w:val="00930829"/>
    <w:rsid w:val="00930A3A"/>
    <w:rsid w:val="00930D44"/>
    <w:rsid w:val="00931463"/>
    <w:rsid w:val="009314C0"/>
    <w:rsid w:val="00931509"/>
    <w:rsid w:val="00931AD2"/>
    <w:rsid w:val="00931E4A"/>
    <w:rsid w:val="00932332"/>
    <w:rsid w:val="00932768"/>
    <w:rsid w:val="0093288D"/>
    <w:rsid w:val="00932B78"/>
    <w:rsid w:val="00932CBF"/>
    <w:rsid w:val="00932F41"/>
    <w:rsid w:val="009332FB"/>
    <w:rsid w:val="0093336A"/>
    <w:rsid w:val="00933B12"/>
    <w:rsid w:val="00933E64"/>
    <w:rsid w:val="00933EAA"/>
    <w:rsid w:val="00933F20"/>
    <w:rsid w:val="00933FAF"/>
    <w:rsid w:val="00934322"/>
    <w:rsid w:val="009349A2"/>
    <w:rsid w:val="00934B4C"/>
    <w:rsid w:val="00935574"/>
    <w:rsid w:val="00935609"/>
    <w:rsid w:val="00935916"/>
    <w:rsid w:val="00935B83"/>
    <w:rsid w:val="00936098"/>
    <w:rsid w:val="009361F2"/>
    <w:rsid w:val="0093644E"/>
    <w:rsid w:val="0093661D"/>
    <w:rsid w:val="00936EA5"/>
    <w:rsid w:val="0093744C"/>
    <w:rsid w:val="00937518"/>
    <w:rsid w:val="00937A18"/>
    <w:rsid w:val="00937E04"/>
    <w:rsid w:val="009403F8"/>
    <w:rsid w:val="00940596"/>
    <w:rsid w:val="009409C4"/>
    <w:rsid w:val="00940E48"/>
    <w:rsid w:val="00941049"/>
    <w:rsid w:val="0094121C"/>
    <w:rsid w:val="00941515"/>
    <w:rsid w:val="0094174D"/>
    <w:rsid w:val="009418FF"/>
    <w:rsid w:val="00941AA0"/>
    <w:rsid w:val="00941C6C"/>
    <w:rsid w:val="0094203C"/>
    <w:rsid w:val="0094215B"/>
    <w:rsid w:val="009423CB"/>
    <w:rsid w:val="00942530"/>
    <w:rsid w:val="009425B2"/>
    <w:rsid w:val="00942B7F"/>
    <w:rsid w:val="00942E12"/>
    <w:rsid w:val="00942FEF"/>
    <w:rsid w:val="00943120"/>
    <w:rsid w:val="00943159"/>
    <w:rsid w:val="00943AF7"/>
    <w:rsid w:val="00943BC6"/>
    <w:rsid w:val="009440C5"/>
    <w:rsid w:val="00944130"/>
    <w:rsid w:val="00944337"/>
    <w:rsid w:val="00944524"/>
    <w:rsid w:val="009455FA"/>
    <w:rsid w:val="009457AC"/>
    <w:rsid w:val="009457F2"/>
    <w:rsid w:val="009459AF"/>
    <w:rsid w:val="00945AB6"/>
    <w:rsid w:val="00945C2B"/>
    <w:rsid w:val="00945EFD"/>
    <w:rsid w:val="00945F19"/>
    <w:rsid w:val="009460B9"/>
    <w:rsid w:val="00946755"/>
    <w:rsid w:val="0094713E"/>
    <w:rsid w:val="009472D6"/>
    <w:rsid w:val="009472F1"/>
    <w:rsid w:val="00947726"/>
    <w:rsid w:val="00947737"/>
    <w:rsid w:val="009478F7"/>
    <w:rsid w:val="00947F44"/>
    <w:rsid w:val="00947F92"/>
    <w:rsid w:val="00947FC8"/>
    <w:rsid w:val="009500A0"/>
    <w:rsid w:val="0095026E"/>
    <w:rsid w:val="00950939"/>
    <w:rsid w:val="00950D4A"/>
    <w:rsid w:val="009519A0"/>
    <w:rsid w:val="00951A7C"/>
    <w:rsid w:val="00951AF2"/>
    <w:rsid w:val="00952141"/>
    <w:rsid w:val="00952261"/>
    <w:rsid w:val="009523C2"/>
    <w:rsid w:val="009523E3"/>
    <w:rsid w:val="0095294D"/>
    <w:rsid w:val="009529EE"/>
    <w:rsid w:val="00952CEE"/>
    <w:rsid w:val="00952E93"/>
    <w:rsid w:val="00952F68"/>
    <w:rsid w:val="009530DF"/>
    <w:rsid w:val="00953222"/>
    <w:rsid w:val="00953290"/>
    <w:rsid w:val="00953508"/>
    <w:rsid w:val="0095362D"/>
    <w:rsid w:val="0095363C"/>
    <w:rsid w:val="009538DB"/>
    <w:rsid w:val="00953B02"/>
    <w:rsid w:val="00953C3F"/>
    <w:rsid w:val="009540B3"/>
    <w:rsid w:val="0095410C"/>
    <w:rsid w:val="00954146"/>
    <w:rsid w:val="00954614"/>
    <w:rsid w:val="00954661"/>
    <w:rsid w:val="009548DE"/>
    <w:rsid w:val="00954A6E"/>
    <w:rsid w:val="00954AD2"/>
    <w:rsid w:val="00954B5D"/>
    <w:rsid w:val="00954BD9"/>
    <w:rsid w:val="00954BE0"/>
    <w:rsid w:val="00954CB4"/>
    <w:rsid w:val="00954E2E"/>
    <w:rsid w:val="00955198"/>
    <w:rsid w:val="00955271"/>
    <w:rsid w:val="0095532A"/>
    <w:rsid w:val="00955E8C"/>
    <w:rsid w:val="00955FD4"/>
    <w:rsid w:val="0095679D"/>
    <w:rsid w:val="00956A5E"/>
    <w:rsid w:val="00956C4A"/>
    <w:rsid w:val="00956C73"/>
    <w:rsid w:val="00956D6C"/>
    <w:rsid w:val="0095715F"/>
    <w:rsid w:val="0095735E"/>
    <w:rsid w:val="00957549"/>
    <w:rsid w:val="00957658"/>
    <w:rsid w:val="00957848"/>
    <w:rsid w:val="00957F66"/>
    <w:rsid w:val="009600AA"/>
    <w:rsid w:val="0096051E"/>
    <w:rsid w:val="00960533"/>
    <w:rsid w:val="00960609"/>
    <w:rsid w:val="00960B94"/>
    <w:rsid w:val="00960E26"/>
    <w:rsid w:val="0096122E"/>
    <w:rsid w:val="00961821"/>
    <w:rsid w:val="00961861"/>
    <w:rsid w:val="00961946"/>
    <w:rsid w:val="00961BD6"/>
    <w:rsid w:val="00961C2D"/>
    <w:rsid w:val="009623A0"/>
    <w:rsid w:val="00962A12"/>
    <w:rsid w:val="00962AB5"/>
    <w:rsid w:val="00962B6E"/>
    <w:rsid w:val="00962C38"/>
    <w:rsid w:val="00962FD3"/>
    <w:rsid w:val="0096308B"/>
    <w:rsid w:val="009630DC"/>
    <w:rsid w:val="009633F6"/>
    <w:rsid w:val="00963415"/>
    <w:rsid w:val="0096349D"/>
    <w:rsid w:val="00963560"/>
    <w:rsid w:val="00963626"/>
    <w:rsid w:val="0096384E"/>
    <w:rsid w:val="00963BF4"/>
    <w:rsid w:val="00963CCA"/>
    <w:rsid w:val="00964722"/>
    <w:rsid w:val="009648FE"/>
    <w:rsid w:val="009650DB"/>
    <w:rsid w:val="00965336"/>
    <w:rsid w:val="009654C9"/>
    <w:rsid w:val="009656F3"/>
    <w:rsid w:val="00965A57"/>
    <w:rsid w:val="00965D2B"/>
    <w:rsid w:val="0096632D"/>
    <w:rsid w:val="009665AD"/>
    <w:rsid w:val="009669C3"/>
    <w:rsid w:val="00966B84"/>
    <w:rsid w:val="00966C06"/>
    <w:rsid w:val="00966C2B"/>
    <w:rsid w:val="00967103"/>
    <w:rsid w:val="0096714B"/>
    <w:rsid w:val="00967635"/>
    <w:rsid w:val="00967652"/>
    <w:rsid w:val="0096768C"/>
    <w:rsid w:val="00967B26"/>
    <w:rsid w:val="00967C34"/>
    <w:rsid w:val="00967D18"/>
    <w:rsid w:val="00970967"/>
    <w:rsid w:val="00970B10"/>
    <w:rsid w:val="00970BAD"/>
    <w:rsid w:val="00970D6D"/>
    <w:rsid w:val="00971007"/>
    <w:rsid w:val="009712A8"/>
    <w:rsid w:val="0097136E"/>
    <w:rsid w:val="0097148F"/>
    <w:rsid w:val="00971561"/>
    <w:rsid w:val="00971653"/>
    <w:rsid w:val="009716B3"/>
    <w:rsid w:val="00971C9A"/>
    <w:rsid w:val="00971F5E"/>
    <w:rsid w:val="00972145"/>
    <w:rsid w:val="0097214B"/>
    <w:rsid w:val="009736B4"/>
    <w:rsid w:val="009737F7"/>
    <w:rsid w:val="00973AEB"/>
    <w:rsid w:val="00973B86"/>
    <w:rsid w:val="00973D28"/>
    <w:rsid w:val="00973DDE"/>
    <w:rsid w:val="0097410C"/>
    <w:rsid w:val="0097420C"/>
    <w:rsid w:val="00974393"/>
    <w:rsid w:val="00974485"/>
    <w:rsid w:val="00974494"/>
    <w:rsid w:val="009745E2"/>
    <w:rsid w:val="009748DE"/>
    <w:rsid w:val="00974A23"/>
    <w:rsid w:val="00974AA9"/>
    <w:rsid w:val="00974C42"/>
    <w:rsid w:val="0097503D"/>
    <w:rsid w:val="00975240"/>
    <w:rsid w:val="0097525D"/>
    <w:rsid w:val="00975C32"/>
    <w:rsid w:val="00975DB6"/>
    <w:rsid w:val="00975DC1"/>
    <w:rsid w:val="009763F4"/>
    <w:rsid w:val="0097671D"/>
    <w:rsid w:val="00976843"/>
    <w:rsid w:val="00976C84"/>
    <w:rsid w:val="00976FBF"/>
    <w:rsid w:val="0097791B"/>
    <w:rsid w:val="00977DD3"/>
    <w:rsid w:val="00977EE7"/>
    <w:rsid w:val="00980390"/>
    <w:rsid w:val="00980558"/>
    <w:rsid w:val="00980B1A"/>
    <w:rsid w:val="00980C10"/>
    <w:rsid w:val="00980DD7"/>
    <w:rsid w:val="00980F9B"/>
    <w:rsid w:val="00981087"/>
    <w:rsid w:val="009813A8"/>
    <w:rsid w:val="009816AB"/>
    <w:rsid w:val="00981DC8"/>
    <w:rsid w:val="00981E26"/>
    <w:rsid w:val="00981FBE"/>
    <w:rsid w:val="009820CD"/>
    <w:rsid w:val="009824A7"/>
    <w:rsid w:val="009824D6"/>
    <w:rsid w:val="0098278A"/>
    <w:rsid w:val="00982A90"/>
    <w:rsid w:val="00982BE2"/>
    <w:rsid w:val="00982C1B"/>
    <w:rsid w:val="00982D4C"/>
    <w:rsid w:val="00982E0D"/>
    <w:rsid w:val="00983405"/>
    <w:rsid w:val="009834A0"/>
    <w:rsid w:val="009834A4"/>
    <w:rsid w:val="009836C7"/>
    <w:rsid w:val="009838EF"/>
    <w:rsid w:val="009838F7"/>
    <w:rsid w:val="0098392F"/>
    <w:rsid w:val="00983DAF"/>
    <w:rsid w:val="00983EA2"/>
    <w:rsid w:val="009844BC"/>
    <w:rsid w:val="0098458B"/>
    <w:rsid w:val="00984D0A"/>
    <w:rsid w:val="00984E01"/>
    <w:rsid w:val="00985249"/>
    <w:rsid w:val="00985AD2"/>
    <w:rsid w:val="00985BF8"/>
    <w:rsid w:val="00986053"/>
    <w:rsid w:val="00986518"/>
    <w:rsid w:val="009865E3"/>
    <w:rsid w:val="00986E8E"/>
    <w:rsid w:val="009873D8"/>
    <w:rsid w:val="009875CA"/>
    <w:rsid w:val="00987773"/>
    <w:rsid w:val="009877B6"/>
    <w:rsid w:val="00987883"/>
    <w:rsid w:val="00987944"/>
    <w:rsid w:val="0098799D"/>
    <w:rsid w:val="00987B06"/>
    <w:rsid w:val="00987CCD"/>
    <w:rsid w:val="00987D0A"/>
    <w:rsid w:val="00987E7B"/>
    <w:rsid w:val="00990361"/>
    <w:rsid w:val="00990560"/>
    <w:rsid w:val="00990E8B"/>
    <w:rsid w:val="0099139E"/>
    <w:rsid w:val="009914F1"/>
    <w:rsid w:val="009917BC"/>
    <w:rsid w:val="009917F7"/>
    <w:rsid w:val="00992122"/>
    <w:rsid w:val="009924FA"/>
    <w:rsid w:val="009927A6"/>
    <w:rsid w:val="00992F7F"/>
    <w:rsid w:val="00993C85"/>
    <w:rsid w:val="00993DE4"/>
    <w:rsid w:val="009941AA"/>
    <w:rsid w:val="00994408"/>
    <w:rsid w:val="00994481"/>
    <w:rsid w:val="00994499"/>
    <w:rsid w:val="00994617"/>
    <w:rsid w:val="00994750"/>
    <w:rsid w:val="0099484A"/>
    <w:rsid w:val="0099578F"/>
    <w:rsid w:val="009959DE"/>
    <w:rsid w:val="00995A17"/>
    <w:rsid w:val="00995DD1"/>
    <w:rsid w:val="00995EF1"/>
    <w:rsid w:val="0099614F"/>
    <w:rsid w:val="00996263"/>
    <w:rsid w:val="009963C2"/>
    <w:rsid w:val="009964D6"/>
    <w:rsid w:val="009966E5"/>
    <w:rsid w:val="00996A68"/>
    <w:rsid w:val="00996B54"/>
    <w:rsid w:val="00996C98"/>
    <w:rsid w:val="009970FE"/>
    <w:rsid w:val="00997207"/>
    <w:rsid w:val="00997291"/>
    <w:rsid w:val="009973CF"/>
    <w:rsid w:val="00997742"/>
    <w:rsid w:val="00997D7E"/>
    <w:rsid w:val="00997DF0"/>
    <w:rsid w:val="009A00D9"/>
    <w:rsid w:val="009A0C4F"/>
    <w:rsid w:val="009A1158"/>
    <w:rsid w:val="009A1261"/>
    <w:rsid w:val="009A154D"/>
    <w:rsid w:val="009A1610"/>
    <w:rsid w:val="009A196C"/>
    <w:rsid w:val="009A198A"/>
    <w:rsid w:val="009A1992"/>
    <w:rsid w:val="009A1B7C"/>
    <w:rsid w:val="009A1E5F"/>
    <w:rsid w:val="009A1FA7"/>
    <w:rsid w:val="009A2403"/>
    <w:rsid w:val="009A2863"/>
    <w:rsid w:val="009A2BEE"/>
    <w:rsid w:val="009A2C30"/>
    <w:rsid w:val="009A30D0"/>
    <w:rsid w:val="009A32FC"/>
    <w:rsid w:val="009A3425"/>
    <w:rsid w:val="009A34A1"/>
    <w:rsid w:val="009A379A"/>
    <w:rsid w:val="009A3976"/>
    <w:rsid w:val="009A3B0C"/>
    <w:rsid w:val="009A3C59"/>
    <w:rsid w:val="009A3E41"/>
    <w:rsid w:val="009A43E3"/>
    <w:rsid w:val="009A4B55"/>
    <w:rsid w:val="009A4DFB"/>
    <w:rsid w:val="009A4E8A"/>
    <w:rsid w:val="009A4F26"/>
    <w:rsid w:val="009A5266"/>
    <w:rsid w:val="009A52FE"/>
    <w:rsid w:val="009A5305"/>
    <w:rsid w:val="009A532D"/>
    <w:rsid w:val="009A5403"/>
    <w:rsid w:val="009A5505"/>
    <w:rsid w:val="009A5616"/>
    <w:rsid w:val="009A56CC"/>
    <w:rsid w:val="009A57D5"/>
    <w:rsid w:val="009A6045"/>
    <w:rsid w:val="009A6134"/>
    <w:rsid w:val="009A61D3"/>
    <w:rsid w:val="009A6472"/>
    <w:rsid w:val="009A6799"/>
    <w:rsid w:val="009A67B6"/>
    <w:rsid w:val="009A6826"/>
    <w:rsid w:val="009A6985"/>
    <w:rsid w:val="009A69D1"/>
    <w:rsid w:val="009A6CFC"/>
    <w:rsid w:val="009A6D51"/>
    <w:rsid w:val="009A6E8C"/>
    <w:rsid w:val="009A7065"/>
    <w:rsid w:val="009A71C7"/>
    <w:rsid w:val="009A71DD"/>
    <w:rsid w:val="009A7A51"/>
    <w:rsid w:val="009A7A9C"/>
    <w:rsid w:val="009A7CE3"/>
    <w:rsid w:val="009A7D46"/>
    <w:rsid w:val="009A7E8F"/>
    <w:rsid w:val="009B053D"/>
    <w:rsid w:val="009B091E"/>
    <w:rsid w:val="009B0E51"/>
    <w:rsid w:val="009B104C"/>
    <w:rsid w:val="009B119C"/>
    <w:rsid w:val="009B19C4"/>
    <w:rsid w:val="009B19E9"/>
    <w:rsid w:val="009B1BF6"/>
    <w:rsid w:val="009B1E11"/>
    <w:rsid w:val="009B27E9"/>
    <w:rsid w:val="009B29C2"/>
    <w:rsid w:val="009B31DB"/>
    <w:rsid w:val="009B322A"/>
    <w:rsid w:val="009B3615"/>
    <w:rsid w:val="009B3956"/>
    <w:rsid w:val="009B3BA2"/>
    <w:rsid w:val="009B3CAA"/>
    <w:rsid w:val="009B3E0B"/>
    <w:rsid w:val="009B3E13"/>
    <w:rsid w:val="009B3F86"/>
    <w:rsid w:val="009B41E1"/>
    <w:rsid w:val="009B434E"/>
    <w:rsid w:val="009B49BD"/>
    <w:rsid w:val="009B4BB6"/>
    <w:rsid w:val="009B4C56"/>
    <w:rsid w:val="009B4DF2"/>
    <w:rsid w:val="009B566C"/>
    <w:rsid w:val="009B59BD"/>
    <w:rsid w:val="009B5AC1"/>
    <w:rsid w:val="009B5D85"/>
    <w:rsid w:val="009B5EC2"/>
    <w:rsid w:val="009B5ED3"/>
    <w:rsid w:val="009B60C0"/>
    <w:rsid w:val="009B62EA"/>
    <w:rsid w:val="009B64BB"/>
    <w:rsid w:val="009B68DA"/>
    <w:rsid w:val="009B6FCD"/>
    <w:rsid w:val="009B703D"/>
    <w:rsid w:val="009B70B6"/>
    <w:rsid w:val="009B7114"/>
    <w:rsid w:val="009B7127"/>
    <w:rsid w:val="009B71D8"/>
    <w:rsid w:val="009B7239"/>
    <w:rsid w:val="009B7281"/>
    <w:rsid w:val="009B7CA0"/>
    <w:rsid w:val="009C00C1"/>
    <w:rsid w:val="009C00EF"/>
    <w:rsid w:val="009C0376"/>
    <w:rsid w:val="009C0918"/>
    <w:rsid w:val="009C0BDB"/>
    <w:rsid w:val="009C1026"/>
    <w:rsid w:val="009C1180"/>
    <w:rsid w:val="009C134B"/>
    <w:rsid w:val="009C1411"/>
    <w:rsid w:val="009C1778"/>
    <w:rsid w:val="009C1E39"/>
    <w:rsid w:val="009C1FD0"/>
    <w:rsid w:val="009C2774"/>
    <w:rsid w:val="009C27BB"/>
    <w:rsid w:val="009C2AEA"/>
    <w:rsid w:val="009C2BE0"/>
    <w:rsid w:val="009C3749"/>
    <w:rsid w:val="009C3786"/>
    <w:rsid w:val="009C38E9"/>
    <w:rsid w:val="009C3A4E"/>
    <w:rsid w:val="009C3AB3"/>
    <w:rsid w:val="009C3C86"/>
    <w:rsid w:val="009C3CC9"/>
    <w:rsid w:val="009C40B6"/>
    <w:rsid w:val="009C41F2"/>
    <w:rsid w:val="009C4884"/>
    <w:rsid w:val="009C493A"/>
    <w:rsid w:val="009C4A33"/>
    <w:rsid w:val="009C5025"/>
    <w:rsid w:val="009C547C"/>
    <w:rsid w:val="009C55E2"/>
    <w:rsid w:val="009C5662"/>
    <w:rsid w:val="009C56F5"/>
    <w:rsid w:val="009C581C"/>
    <w:rsid w:val="009C5822"/>
    <w:rsid w:val="009C5C16"/>
    <w:rsid w:val="009C5C9C"/>
    <w:rsid w:val="009C5D56"/>
    <w:rsid w:val="009C5E14"/>
    <w:rsid w:val="009C643D"/>
    <w:rsid w:val="009C6796"/>
    <w:rsid w:val="009C6822"/>
    <w:rsid w:val="009C69FE"/>
    <w:rsid w:val="009C6EA1"/>
    <w:rsid w:val="009C7291"/>
    <w:rsid w:val="009C7581"/>
    <w:rsid w:val="009C75E8"/>
    <w:rsid w:val="009C7699"/>
    <w:rsid w:val="009C76FB"/>
    <w:rsid w:val="009C77A4"/>
    <w:rsid w:val="009C7C1A"/>
    <w:rsid w:val="009C7CF7"/>
    <w:rsid w:val="009C7EAC"/>
    <w:rsid w:val="009D01B2"/>
    <w:rsid w:val="009D0241"/>
    <w:rsid w:val="009D06AF"/>
    <w:rsid w:val="009D0C20"/>
    <w:rsid w:val="009D1277"/>
    <w:rsid w:val="009D1446"/>
    <w:rsid w:val="009D164D"/>
    <w:rsid w:val="009D16B9"/>
    <w:rsid w:val="009D1747"/>
    <w:rsid w:val="009D17F6"/>
    <w:rsid w:val="009D2308"/>
    <w:rsid w:val="009D2707"/>
    <w:rsid w:val="009D2A04"/>
    <w:rsid w:val="009D2A79"/>
    <w:rsid w:val="009D2B0E"/>
    <w:rsid w:val="009D2B84"/>
    <w:rsid w:val="009D2C28"/>
    <w:rsid w:val="009D2E28"/>
    <w:rsid w:val="009D31A8"/>
    <w:rsid w:val="009D3FF0"/>
    <w:rsid w:val="009D4393"/>
    <w:rsid w:val="009D43F4"/>
    <w:rsid w:val="009D4410"/>
    <w:rsid w:val="009D52D9"/>
    <w:rsid w:val="009D5481"/>
    <w:rsid w:val="009D5DBA"/>
    <w:rsid w:val="009D6076"/>
    <w:rsid w:val="009D6507"/>
    <w:rsid w:val="009D695A"/>
    <w:rsid w:val="009D6E71"/>
    <w:rsid w:val="009D6EBC"/>
    <w:rsid w:val="009D7035"/>
    <w:rsid w:val="009D7442"/>
    <w:rsid w:val="009D7750"/>
    <w:rsid w:val="009D7902"/>
    <w:rsid w:val="009D7A25"/>
    <w:rsid w:val="009D7B9F"/>
    <w:rsid w:val="009D7C7C"/>
    <w:rsid w:val="009E07F9"/>
    <w:rsid w:val="009E0D49"/>
    <w:rsid w:val="009E0D7E"/>
    <w:rsid w:val="009E0E42"/>
    <w:rsid w:val="009E0FF6"/>
    <w:rsid w:val="009E10BA"/>
    <w:rsid w:val="009E118F"/>
    <w:rsid w:val="009E12C7"/>
    <w:rsid w:val="009E145A"/>
    <w:rsid w:val="009E15CF"/>
    <w:rsid w:val="009E163B"/>
    <w:rsid w:val="009E1C5A"/>
    <w:rsid w:val="009E1E86"/>
    <w:rsid w:val="009E1E99"/>
    <w:rsid w:val="009E1F2E"/>
    <w:rsid w:val="009E20F9"/>
    <w:rsid w:val="009E22D2"/>
    <w:rsid w:val="009E22F9"/>
    <w:rsid w:val="009E2BBE"/>
    <w:rsid w:val="009E2CF6"/>
    <w:rsid w:val="009E2D19"/>
    <w:rsid w:val="009E2EBB"/>
    <w:rsid w:val="009E3173"/>
    <w:rsid w:val="009E33E0"/>
    <w:rsid w:val="009E34E7"/>
    <w:rsid w:val="009E37DE"/>
    <w:rsid w:val="009E384C"/>
    <w:rsid w:val="009E3863"/>
    <w:rsid w:val="009E3935"/>
    <w:rsid w:val="009E3C60"/>
    <w:rsid w:val="009E4573"/>
    <w:rsid w:val="009E4A64"/>
    <w:rsid w:val="009E4D39"/>
    <w:rsid w:val="009E52EA"/>
    <w:rsid w:val="009E5610"/>
    <w:rsid w:val="009E5649"/>
    <w:rsid w:val="009E5749"/>
    <w:rsid w:val="009E5B1B"/>
    <w:rsid w:val="009E5B21"/>
    <w:rsid w:val="009E5D6B"/>
    <w:rsid w:val="009E6105"/>
    <w:rsid w:val="009E62C8"/>
    <w:rsid w:val="009E6688"/>
    <w:rsid w:val="009E6B57"/>
    <w:rsid w:val="009E7090"/>
    <w:rsid w:val="009E7127"/>
    <w:rsid w:val="009E72D3"/>
    <w:rsid w:val="009E7319"/>
    <w:rsid w:val="009E73B5"/>
    <w:rsid w:val="009E7407"/>
    <w:rsid w:val="009E7873"/>
    <w:rsid w:val="009E7BF8"/>
    <w:rsid w:val="009E7E16"/>
    <w:rsid w:val="009F057C"/>
    <w:rsid w:val="009F09A2"/>
    <w:rsid w:val="009F0CB9"/>
    <w:rsid w:val="009F1141"/>
    <w:rsid w:val="009F11BB"/>
    <w:rsid w:val="009F14D2"/>
    <w:rsid w:val="009F15A5"/>
    <w:rsid w:val="009F1B01"/>
    <w:rsid w:val="009F2298"/>
    <w:rsid w:val="009F2363"/>
    <w:rsid w:val="009F23E1"/>
    <w:rsid w:val="009F297E"/>
    <w:rsid w:val="009F2C7A"/>
    <w:rsid w:val="009F306B"/>
    <w:rsid w:val="009F333B"/>
    <w:rsid w:val="009F3737"/>
    <w:rsid w:val="009F3BAE"/>
    <w:rsid w:val="009F3C88"/>
    <w:rsid w:val="009F3D98"/>
    <w:rsid w:val="009F4314"/>
    <w:rsid w:val="009F48EB"/>
    <w:rsid w:val="009F495A"/>
    <w:rsid w:val="009F4E70"/>
    <w:rsid w:val="009F4EFF"/>
    <w:rsid w:val="009F505D"/>
    <w:rsid w:val="009F5076"/>
    <w:rsid w:val="009F5470"/>
    <w:rsid w:val="009F55C9"/>
    <w:rsid w:val="009F56F6"/>
    <w:rsid w:val="009F5901"/>
    <w:rsid w:val="009F59C3"/>
    <w:rsid w:val="009F5B82"/>
    <w:rsid w:val="009F5D36"/>
    <w:rsid w:val="009F5D6D"/>
    <w:rsid w:val="009F5E28"/>
    <w:rsid w:val="009F5F4D"/>
    <w:rsid w:val="009F5F65"/>
    <w:rsid w:val="009F6343"/>
    <w:rsid w:val="009F6366"/>
    <w:rsid w:val="009F640F"/>
    <w:rsid w:val="009F6493"/>
    <w:rsid w:val="009F6504"/>
    <w:rsid w:val="009F691A"/>
    <w:rsid w:val="009F6A4E"/>
    <w:rsid w:val="009F6B8D"/>
    <w:rsid w:val="009F6D4E"/>
    <w:rsid w:val="009F6DEA"/>
    <w:rsid w:val="009F6E7F"/>
    <w:rsid w:val="009F703B"/>
    <w:rsid w:val="009F75E4"/>
    <w:rsid w:val="009F76C1"/>
    <w:rsid w:val="009F7700"/>
    <w:rsid w:val="00A00066"/>
    <w:rsid w:val="00A003A4"/>
    <w:rsid w:val="00A00687"/>
    <w:rsid w:val="00A0071C"/>
    <w:rsid w:val="00A00898"/>
    <w:rsid w:val="00A00A36"/>
    <w:rsid w:val="00A00BAA"/>
    <w:rsid w:val="00A00C7D"/>
    <w:rsid w:val="00A00EDD"/>
    <w:rsid w:val="00A00F9C"/>
    <w:rsid w:val="00A01562"/>
    <w:rsid w:val="00A017B9"/>
    <w:rsid w:val="00A017C9"/>
    <w:rsid w:val="00A01F59"/>
    <w:rsid w:val="00A023BC"/>
    <w:rsid w:val="00A02E0C"/>
    <w:rsid w:val="00A0328C"/>
    <w:rsid w:val="00A0335F"/>
    <w:rsid w:val="00A0346B"/>
    <w:rsid w:val="00A03B1D"/>
    <w:rsid w:val="00A03DB8"/>
    <w:rsid w:val="00A040C7"/>
    <w:rsid w:val="00A04330"/>
    <w:rsid w:val="00A04335"/>
    <w:rsid w:val="00A04595"/>
    <w:rsid w:val="00A0468A"/>
    <w:rsid w:val="00A04BA9"/>
    <w:rsid w:val="00A04CA3"/>
    <w:rsid w:val="00A04D2F"/>
    <w:rsid w:val="00A04EBE"/>
    <w:rsid w:val="00A0500B"/>
    <w:rsid w:val="00A0522C"/>
    <w:rsid w:val="00A0538F"/>
    <w:rsid w:val="00A05588"/>
    <w:rsid w:val="00A05753"/>
    <w:rsid w:val="00A05DA9"/>
    <w:rsid w:val="00A05FCB"/>
    <w:rsid w:val="00A06694"/>
    <w:rsid w:val="00A066F6"/>
    <w:rsid w:val="00A06AEF"/>
    <w:rsid w:val="00A06BB9"/>
    <w:rsid w:val="00A06BC2"/>
    <w:rsid w:val="00A06D18"/>
    <w:rsid w:val="00A06D5D"/>
    <w:rsid w:val="00A07309"/>
    <w:rsid w:val="00A07588"/>
    <w:rsid w:val="00A07BBD"/>
    <w:rsid w:val="00A07CCA"/>
    <w:rsid w:val="00A07D7B"/>
    <w:rsid w:val="00A10212"/>
    <w:rsid w:val="00A1049B"/>
    <w:rsid w:val="00A10682"/>
    <w:rsid w:val="00A10755"/>
    <w:rsid w:val="00A1075F"/>
    <w:rsid w:val="00A10961"/>
    <w:rsid w:val="00A10AEC"/>
    <w:rsid w:val="00A10D2F"/>
    <w:rsid w:val="00A10EB2"/>
    <w:rsid w:val="00A11121"/>
    <w:rsid w:val="00A113A5"/>
    <w:rsid w:val="00A11404"/>
    <w:rsid w:val="00A11676"/>
    <w:rsid w:val="00A11C8E"/>
    <w:rsid w:val="00A11C92"/>
    <w:rsid w:val="00A121A1"/>
    <w:rsid w:val="00A1243B"/>
    <w:rsid w:val="00A12874"/>
    <w:rsid w:val="00A12909"/>
    <w:rsid w:val="00A12A31"/>
    <w:rsid w:val="00A12C78"/>
    <w:rsid w:val="00A12D7F"/>
    <w:rsid w:val="00A130EB"/>
    <w:rsid w:val="00A132C2"/>
    <w:rsid w:val="00A13828"/>
    <w:rsid w:val="00A138B5"/>
    <w:rsid w:val="00A1391E"/>
    <w:rsid w:val="00A13AA2"/>
    <w:rsid w:val="00A13B6D"/>
    <w:rsid w:val="00A13DAC"/>
    <w:rsid w:val="00A13DB4"/>
    <w:rsid w:val="00A13E5E"/>
    <w:rsid w:val="00A13EA2"/>
    <w:rsid w:val="00A13FF0"/>
    <w:rsid w:val="00A141AD"/>
    <w:rsid w:val="00A14216"/>
    <w:rsid w:val="00A1429D"/>
    <w:rsid w:val="00A143A8"/>
    <w:rsid w:val="00A14B9E"/>
    <w:rsid w:val="00A1510E"/>
    <w:rsid w:val="00A15295"/>
    <w:rsid w:val="00A157C8"/>
    <w:rsid w:val="00A15F53"/>
    <w:rsid w:val="00A16076"/>
    <w:rsid w:val="00A165B0"/>
    <w:rsid w:val="00A165DA"/>
    <w:rsid w:val="00A16C90"/>
    <w:rsid w:val="00A16DCA"/>
    <w:rsid w:val="00A171B0"/>
    <w:rsid w:val="00A17339"/>
    <w:rsid w:val="00A178B7"/>
    <w:rsid w:val="00A17C99"/>
    <w:rsid w:val="00A17CCA"/>
    <w:rsid w:val="00A17DDD"/>
    <w:rsid w:val="00A17F21"/>
    <w:rsid w:val="00A200B7"/>
    <w:rsid w:val="00A2012A"/>
    <w:rsid w:val="00A20411"/>
    <w:rsid w:val="00A20432"/>
    <w:rsid w:val="00A20695"/>
    <w:rsid w:val="00A2124B"/>
    <w:rsid w:val="00A21375"/>
    <w:rsid w:val="00A21A99"/>
    <w:rsid w:val="00A21DF1"/>
    <w:rsid w:val="00A21F6D"/>
    <w:rsid w:val="00A222CB"/>
    <w:rsid w:val="00A22319"/>
    <w:rsid w:val="00A22464"/>
    <w:rsid w:val="00A22538"/>
    <w:rsid w:val="00A22682"/>
    <w:rsid w:val="00A226C1"/>
    <w:rsid w:val="00A22A48"/>
    <w:rsid w:val="00A23231"/>
    <w:rsid w:val="00A23774"/>
    <w:rsid w:val="00A237D1"/>
    <w:rsid w:val="00A238AD"/>
    <w:rsid w:val="00A2391D"/>
    <w:rsid w:val="00A23D0D"/>
    <w:rsid w:val="00A23DDC"/>
    <w:rsid w:val="00A23E11"/>
    <w:rsid w:val="00A24325"/>
    <w:rsid w:val="00A24351"/>
    <w:rsid w:val="00A2468F"/>
    <w:rsid w:val="00A24D2D"/>
    <w:rsid w:val="00A25032"/>
    <w:rsid w:val="00A25103"/>
    <w:rsid w:val="00A256FC"/>
    <w:rsid w:val="00A25743"/>
    <w:rsid w:val="00A25889"/>
    <w:rsid w:val="00A25A18"/>
    <w:rsid w:val="00A25D17"/>
    <w:rsid w:val="00A25D7C"/>
    <w:rsid w:val="00A25F36"/>
    <w:rsid w:val="00A26551"/>
    <w:rsid w:val="00A267CB"/>
    <w:rsid w:val="00A2684D"/>
    <w:rsid w:val="00A26BA1"/>
    <w:rsid w:val="00A26BA2"/>
    <w:rsid w:val="00A26C02"/>
    <w:rsid w:val="00A26CDD"/>
    <w:rsid w:val="00A26D7F"/>
    <w:rsid w:val="00A27034"/>
    <w:rsid w:val="00A270B5"/>
    <w:rsid w:val="00A2711E"/>
    <w:rsid w:val="00A2753E"/>
    <w:rsid w:val="00A278C4"/>
    <w:rsid w:val="00A27B1F"/>
    <w:rsid w:val="00A27D3C"/>
    <w:rsid w:val="00A27F00"/>
    <w:rsid w:val="00A27F4F"/>
    <w:rsid w:val="00A3008D"/>
    <w:rsid w:val="00A301E4"/>
    <w:rsid w:val="00A3089B"/>
    <w:rsid w:val="00A30C44"/>
    <w:rsid w:val="00A30E1D"/>
    <w:rsid w:val="00A3106B"/>
    <w:rsid w:val="00A31387"/>
    <w:rsid w:val="00A317DC"/>
    <w:rsid w:val="00A31933"/>
    <w:rsid w:val="00A31952"/>
    <w:rsid w:val="00A31E62"/>
    <w:rsid w:val="00A31EE7"/>
    <w:rsid w:val="00A322BB"/>
    <w:rsid w:val="00A327D5"/>
    <w:rsid w:val="00A32B90"/>
    <w:rsid w:val="00A32C9E"/>
    <w:rsid w:val="00A32CD3"/>
    <w:rsid w:val="00A32FD6"/>
    <w:rsid w:val="00A33038"/>
    <w:rsid w:val="00A336DD"/>
    <w:rsid w:val="00A337D6"/>
    <w:rsid w:val="00A33C88"/>
    <w:rsid w:val="00A341EE"/>
    <w:rsid w:val="00A34557"/>
    <w:rsid w:val="00A34B90"/>
    <w:rsid w:val="00A34D17"/>
    <w:rsid w:val="00A34E34"/>
    <w:rsid w:val="00A34EE6"/>
    <w:rsid w:val="00A3552E"/>
    <w:rsid w:val="00A357E9"/>
    <w:rsid w:val="00A35954"/>
    <w:rsid w:val="00A35C1D"/>
    <w:rsid w:val="00A361B9"/>
    <w:rsid w:val="00A36266"/>
    <w:rsid w:val="00A3657F"/>
    <w:rsid w:val="00A3666D"/>
    <w:rsid w:val="00A3688E"/>
    <w:rsid w:val="00A36AAA"/>
    <w:rsid w:val="00A36CE1"/>
    <w:rsid w:val="00A36E64"/>
    <w:rsid w:val="00A3721B"/>
    <w:rsid w:val="00A372D4"/>
    <w:rsid w:val="00A373DF"/>
    <w:rsid w:val="00A37449"/>
    <w:rsid w:val="00A374C8"/>
    <w:rsid w:val="00A375D8"/>
    <w:rsid w:val="00A3764F"/>
    <w:rsid w:val="00A37F6A"/>
    <w:rsid w:val="00A40B75"/>
    <w:rsid w:val="00A40CF4"/>
    <w:rsid w:val="00A40DAF"/>
    <w:rsid w:val="00A411C5"/>
    <w:rsid w:val="00A411FC"/>
    <w:rsid w:val="00A4149C"/>
    <w:rsid w:val="00A41A64"/>
    <w:rsid w:val="00A41F68"/>
    <w:rsid w:val="00A42428"/>
    <w:rsid w:val="00A42565"/>
    <w:rsid w:val="00A42755"/>
    <w:rsid w:val="00A42A24"/>
    <w:rsid w:val="00A42EDF"/>
    <w:rsid w:val="00A4302A"/>
    <w:rsid w:val="00A4329E"/>
    <w:rsid w:val="00A432EA"/>
    <w:rsid w:val="00A433B7"/>
    <w:rsid w:val="00A434A6"/>
    <w:rsid w:val="00A43648"/>
    <w:rsid w:val="00A437B7"/>
    <w:rsid w:val="00A43E5D"/>
    <w:rsid w:val="00A440B3"/>
    <w:rsid w:val="00A44559"/>
    <w:rsid w:val="00A44D67"/>
    <w:rsid w:val="00A44E18"/>
    <w:rsid w:val="00A45147"/>
    <w:rsid w:val="00A451A3"/>
    <w:rsid w:val="00A45845"/>
    <w:rsid w:val="00A459AC"/>
    <w:rsid w:val="00A45AF7"/>
    <w:rsid w:val="00A4602F"/>
    <w:rsid w:val="00A46043"/>
    <w:rsid w:val="00A460DF"/>
    <w:rsid w:val="00A461C9"/>
    <w:rsid w:val="00A4678B"/>
    <w:rsid w:val="00A467DD"/>
    <w:rsid w:val="00A469A4"/>
    <w:rsid w:val="00A46A33"/>
    <w:rsid w:val="00A46B0F"/>
    <w:rsid w:val="00A47488"/>
    <w:rsid w:val="00A47791"/>
    <w:rsid w:val="00A477D7"/>
    <w:rsid w:val="00A477EF"/>
    <w:rsid w:val="00A478FD"/>
    <w:rsid w:val="00A47993"/>
    <w:rsid w:val="00A47DB8"/>
    <w:rsid w:val="00A50061"/>
    <w:rsid w:val="00A500BD"/>
    <w:rsid w:val="00A50545"/>
    <w:rsid w:val="00A50567"/>
    <w:rsid w:val="00A50C51"/>
    <w:rsid w:val="00A510DE"/>
    <w:rsid w:val="00A5158B"/>
    <w:rsid w:val="00A51822"/>
    <w:rsid w:val="00A51C32"/>
    <w:rsid w:val="00A52170"/>
    <w:rsid w:val="00A52D0B"/>
    <w:rsid w:val="00A52D3A"/>
    <w:rsid w:val="00A52E18"/>
    <w:rsid w:val="00A53082"/>
    <w:rsid w:val="00A5366F"/>
    <w:rsid w:val="00A53C1D"/>
    <w:rsid w:val="00A541FB"/>
    <w:rsid w:val="00A543AE"/>
    <w:rsid w:val="00A54437"/>
    <w:rsid w:val="00A5455F"/>
    <w:rsid w:val="00A548BA"/>
    <w:rsid w:val="00A549B3"/>
    <w:rsid w:val="00A54B15"/>
    <w:rsid w:val="00A54C11"/>
    <w:rsid w:val="00A54D8F"/>
    <w:rsid w:val="00A54E8C"/>
    <w:rsid w:val="00A551D5"/>
    <w:rsid w:val="00A55592"/>
    <w:rsid w:val="00A5561A"/>
    <w:rsid w:val="00A56082"/>
    <w:rsid w:val="00A56576"/>
    <w:rsid w:val="00A56656"/>
    <w:rsid w:val="00A567C2"/>
    <w:rsid w:val="00A56972"/>
    <w:rsid w:val="00A56A74"/>
    <w:rsid w:val="00A56A7F"/>
    <w:rsid w:val="00A56FC7"/>
    <w:rsid w:val="00A5706B"/>
    <w:rsid w:val="00A57A5C"/>
    <w:rsid w:val="00A6009A"/>
    <w:rsid w:val="00A60187"/>
    <w:rsid w:val="00A60396"/>
    <w:rsid w:val="00A60483"/>
    <w:rsid w:val="00A60846"/>
    <w:rsid w:val="00A60910"/>
    <w:rsid w:val="00A609C2"/>
    <w:rsid w:val="00A60AE3"/>
    <w:rsid w:val="00A60DC6"/>
    <w:rsid w:val="00A60F53"/>
    <w:rsid w:val="00A616C2"/>
    <w:rsid w:val="00A617D6"/>
    <w:rsid w:val="00A618A4"/>
    <w:rsid w:val="00A61946"/>
    <w:rsid w:val="00A61B79"/>
    <w:rsid w:val="00A61C7A"/>
    <w:rsid w:val="00A61C88"/>
    <w:rsid w:val="00A61D31"/>
    <w:rsid w:val="00A62160"/>
    <w:rsid w:val="00A622B2"/>
    <w:rsid w:val="00A62405"/>
    <w:rsid w:val="00A62645"/>
    <w:rsid w:val="00A62871"/>
    <w:rsid w:val="00A62B17"/>
    <w:rsid w:val="00A62BCA"/>
    <w:rsid w:val="00A62D0F"/>
    <w:rsid w:val="00A63779"/>
    <w:rsid w:val="00A63941"/>
    <w:rsid w:val="00A63B3E"/>
    <w:rsid w:val="00A6422F"/>
    <w:rsid w:val="00A64707"/>
    <w:rsid w:val="00A6481E"/>
    <w:rsid w:val="00A64CC2"/>
    <w:rsid w:val="00A65079"/>
    <w:rsid w:val="00A6525F"/>
    <w:rsid w:val="00A6533B"/>
    <w:rsid w:val="00A6535E"/>
    <w:rsid w:val="00A65428"/>
    <w:rsid w:val="00A654DA"/>
    <w:rsid w:val="00A65C7F"/>
    <w:rsid w:val="00A65FBB"/>
    <w:rsid w:val="00A66368"/>
    <w:rsid w:val="00A664D1"/>
    <w:rsid w:val="00A667A1"/>
    <w:rsid w:val="00A668AE"/>
    <w:rsid w:val="00A66CB4"/>
    <w:rsid w:val="00A67336"/>
    <w:rsid w:val="00A67A73"/>
    <w:rsid w:val="00A67AD0"/>
    <w:rsid w:val="00A67AD6"/>
    <w:rsid w:val="00A67BD6"/>
    <w:rsid w:val="00A67BEF"/>
    <w:rsid w:val="00A701BE"/>
    <w:rsid w:val="00A7026D"/>
    <w:rsid w:val="00A702F9"/>
    <w:rsid w:val="00A7033C"/>
    <w:rsid w:val="00A704BE"/>
    <w:rsid w:val="00A70569"/>
    <w:rsid w:val="00A7058F"/>
    <w:rsid w:val="00A70958"/>
    <w:rsid w:val="00A709CE"/>
    <w:rsid w:val="00A70BA4"/>
    <w:rsid w:val="00A70CC5"/>
    <w:rsid w:val="00A70F58"/>
    <w:rsid w:val="00A71120"/>
    <w:rsid w:val="00A71303"/>
    <w:rsid w:val="00A71639"/>
    <w:rsid w:val="00A71B5D"/>
    <w:rsid w:val="00A71C20"/>
    <w:rsid w:val="00A7203C"/>
    <w:rsid w:val="00A726EE"/>
    <w:rsid w:val="00A72ACC"/>
    <w:rsid w:val="00A72B81"/>
    <w:rsid w:val="00A72D6D"/>
    <w:rsid w:val="00A730A3"/>
    <w:rsid w:val="00A734F9"/>
    <w:rsid w:val="00A735C0"/>
    <w:rsid w:val="00A737F5"/>
    <w:rsid w:val="00A7398B"/>
    <w:rsid w:val="00A73A1C"/>
    <w:rsid w:val="00A73B52"/>
    <w:rsid w:val="00A73E00"/>
    <w:rsid w:val="00A73EEE"/>
    <w:rsid w:val="00A7415F"/>
    <w:rsid w:val="00A748AB"/>
    <w:rsid w:val="00A74DE5"/>
    <w:rsid w:val="00A7516B"/>
    <w:rsid w:val="00A751C3"/>
    <w:rsid w:val="00A75417"/>
    <w:rsid w:val="00A759D2"/>
    <w:rsid w:val="00A766F8"/>
    <w:rsid w:val="00A76823"/>
    <w:rsid w:val="00A76F08"/>
    <w:rsid w:val="00A77120"/>
    <w:rsid w:val="00A775FB"/>
    <w:rsid w:val="00A779CF"/>
    <w:rsid w:val="00A77D00"/>
    <w:rsid w:val="00A80414"/>
    <w:rsid w:val="00A80A2C"/>
    <w:rsid w:val="00A80D93"/>
    <w:rsid w:val="00A8130A"/>
    <w:rsid w:val="00A81A18"/>
    <w:rsid w:val="00A81A2A"/>
    <w:rsid w:val="00A81B29"/>
    <w:rsid w:val="00A81CF4"/>
    <w:rsid w:val="00A81F63"/>
    <w:rsid w:val="00A81FAF"/>
    <w:rsid w:val="00A822AF"/>
    <w:rsid w:val="00A823AD"/>
    <w:rsid w:val="00A82508"/>
    <w:rsid w:val="00A826D9"/>
    <w:rsid w:val="00A82747"/>
    <w:rsid w:val="00A82905"/>
    <w:rsid w:val="00A82A93"/>
    <w:rsid w:val="00A82B65"/>
    <w:rsid w:val="00A82C0D"/>
    <w:rsid w:val="00A82EBD"/>
    <w:rsid w:val="00A83152"/>
    <w:rsid w:val="00A83677"/>
    <w:rsid w:val="00A83710"/>
    <w:rsid w:val="00A83AAA"/>
    <w:rsid w:val="00A84056"/>
    <w:rsid w:val="00A845E8"/>
    <w:rsid w:val="00A849DE"/>
    <w:rsid w:val="00A851B0"/>
    <w:rsid w:val="00A85378"/>
    <w:rsid w:val="00A853FC"/>
    <w:rsid w:val="00A85546"/>
    <w:rsid w:val="00A856C8"/>
    <w:rsid w:val="00A858E7"/>
    <w:rsid w:val="00A85EE6"/>
    <w:rsid w:val="00A861AF"/>
    <w:rsid w:val="00A86209"/>
    <w:rsid w:val="00A862FD"/>
    <w:rsid w:val="00A86604"/>
    <w:rsid w:val="00A86769"/>
    <w:rsid w:val="00A868E1"/>
    <w:rsid w:val="00A86B10"/>
    <w:rsid w:val="00A87063"/>
    <w:rsid w:val="00A870CF"/>
    <w:rsid w:val="00A87336"/>
    <w:rsid w:val="00A87341"/>
    <w:rsid w:val="00A879CB"/>
    <w:rsid w:val="00A87E48"/>
    <w:rsid w:val="00A87F6C"/>
    <w:rsid w:val="00A9002D"/>
    <w:rsid w:val="00A90171"/>
    <w:rsid w:val="00A905DF"/>
    <w:rsid w:val="00A9080F"/>
    <w:rsid w:val="00A90B80"/>
    <w:rsid w:val="00A91127"/>
    <w:rsid w:val="00A9143D"/>
    <w:rsid w:val="00A9164F"/>
    <w:rsid w:val="00A91B99"/>
    <w:rsid w:val="00A91E98"/>
    <w:rsid w:val="00A91FCE"/>
    <w:rsid w:val="00A921CB"/>
    <w:rsid w:val="00A92268"/>
    <w:rsid w:val="00A922BF"/>
    <w:rsid w:val="00A922E8"/>
    <w:rsid w:val="00A924DF"/>
    <w:rsid w:val="00A93433"/>
    <w:rsid w:val="00A9384A"/>
    <w:rsid w:val="00A93C22"/>
    <w:rsid w:val="00A93E6A"/>
    <w:rsid w:val="00A94346"/>
    <w:rsid w:val="00A948C5"/>
    <w:rsid w:val="00A94AD3"/>
    <w:rsid w:val="00A94F4B"/>
    <w:rsid w:val="00A94F5F"/>
    <w:rsid w:val="00A9540A"/>
    <w:rsid w:val="00A9565B"/>
    <w:rsid w:val="00A9566F"/>
    <w:rsid w:val="00A95754"/>
    <w:rsid w:val="00A95833"/>
    <w:rsid w:val="00A95BAF"/>
    <w:rsid w:val="00A95CB3"/>
    <w:rsid w:val="00A95D2D"/>
    <w:rsid w:val="00A96056"/>
    <w:rsid w:val="00A9609F"/>
    <w:rsid w:val="00A9667D"/>
    <w:rsid w:val="00A966E8"/>
    <w:rsid w:val="00A96716"/>
    <w:rsid w:val="00A96964"/>
    <w:rsid w:val="00A96AB6"/>
    <w:rsid w:val="00A974A4"/>
    <w:rsid w:val="00A97581"/>
    <w:rsid w:val="00A97D2F"/>
    <w:rsid w:val="00A97D3A"/>
    <w:rsid w:val="00A97DDB"/>
    <w:rsid w:val="00AA0335"/>
    <w:rsid w:val="00AA0496"/>
    <w:rsid w:val="00AA0A7B"/>
    <w:rsid w:val="00AA12EE"/>
    <w:rsid w:val="00AA141A"/>
    <w:rsid w:val="00AA169C"/>
    <w:rsid w:val="00AA17E3"/>
    <w:rsid w:val="00AA1C33"/>
    <w:rsid w:val="00AA1E5B"/>
    <w:rsid w:val="00AA1F59"/>
    <w:rsid w:val="00AA1FCB"/>
    <w:rsid w:val="00AA24BE"/>
    <w:rsid w:val="00AA2983"/>
    <w:rsid w:val="00AA2A22"/>
    <w:rsid w:val="00AA2B01"/>
    <w:rsid w:val="00AA2D9F"/>
    <w:rsid w:val="00AA2E3C"/>
    <w:rsid w:val="00AA3082"/>
    <w:rsid w:val="00AA3554"/>
    <w:rsid w:val="00AA355E"/>
    <w:rsid w:val="00AA3651"/>
    <w:rsid w:val="00AA36B9"/>
    <w:rsid w:val="00AA3D81"/>
    <w:rsid w:val="00AA3E55"/>
    <w:rsid w:val="00AA41A1"/>
    <w:rsid w:val="00AA434E"/>
    <w:rsid w:val="00AA4440"/>
    <w:rsid w:val="00AA4534"/>
    <w:rsid w:val="00AA470F"/>
    <w:rsid w:val="00AA4938"/>
    <w:rsid w:val="00AA4B1A"/>
    <w:rsid w:val="00AA4CB2"/>
    <w:rsid w:val="00AA4E72"/>
    <w:rsid w:val="00AA4F66"/>
    <w:rsid w:val="00AA4FC5"/>
    <w:rsid w:val="00AA5161"/>
    <w:rsid w:val="00AA52CA"/>
    <w:rsid w:val="00AA5530"/>
    <w:rsid w:val="00AA56AB"/>
    <w:rsid w:val="00AA57B0"/>
    <w:rsid w:val="00AA5919"/>
    <w:rsid w:val="00AA5D86"/>
    <w:rsid w:val="00AA5E21"/>
    <w:rsid w:val="00AA5E83"/>
    <w:rsid w:val="00AA61EC"/>
    <w:rsid w:val="00AA6469"/>
    <w:rsid w:val="00AA6686"/>
    <w:rsid w:val="00AA678A"/>
    <w:rsid w:val="00AA6998"/>
    <w:rsid w:val="00AA6C1E"/>
    <w:rsid w:val="00AA6D5B"/>
    <w:rsid w:val="00AA70B5"/>
    <w:rsid w:val="00AA7553"/>
    <w:rsid w:val="00AA7B26"/>
    <w:rsid w:val="00AA7B64"/>
    <w:rsid w:val="00AB008B"/>
    <w:rsid w:val="00AB0149"/>
    <w:rsid w:val="00AB0327"/>
    <w:rsid w:val="00AB047B"/>
    <w:rsid w:val="00AB075A"/>
    <w:rsid w:val="00AB09D7"/>
    <w:rsid w:val="00AB0ACD"/>
    <w:rsid w:val="00AB0BB1"/>
    <w:rsid w:val="00AB1634"/>
    <w:rsid w:val="00AB16EE"/>
    <w:rsid w:val="00AB1A34"/>
    <w:rsid w:val="00AB1EEA"/>
    <w:rsid w:val="00AB232B"/>
    <w:rsid w:val="00AB24BB"/>
    <w:rsid w:val="00AB2BB0"/>
    <w:rsid w:val="00AB2C60"/>
    <w:rsid w:val="00AB2FC5"/>
    <w:rsid w:val="00AB356C"/>
    <w:rsid w:val="00AB3593"/>
    <w:rsid w:val="00AB4245"/>
    <w:rsid w:val="00AB43C2"/>
    <w:rsid w:val="00AB46E6"/>
    <w:rsid w:val="00AB4B13"/>
    <w:rsid w:val="00AB4D44"/>
    <w:rsid w:val="00AB4DCF"/>
    <w:rsid w:val="00AB5287"/>
    <w:rsid w:val="00AB5647"/>
    <w:rsid w:val="00AB56CF"/>
    <w:rsid w:val="00AB570E"/>
    <w:rsid w:val="00AB5A76"/>
    <w:rsid w:val="00AB5C2D"/>
    <w:rsid w:val="00AB5D95"/>
    <w:rsid w:val="00AB5E1C"/>
    <w:rsid w:val="00AB5E8F"/>
    <w:rsid w:val="00AB6094"/>
    <w:rsid w:val="00AB6492"/>
    <w:rsid w:val="00AB68CE"/>
    <w:rsid w:val="00AB6C45"/>
    <w:rsid w:val="00AB6C8B"/>
    <w:rsid w:val="00AB78FE"/>
    <w:rsid w:val="00AB7B8F"/>
    <w:rsid w:val="00AC05D9"/>
    <w:rsid w:val="00AC07D4"/>
    <w:rsid w:val="00AC0FA4"/>
    <w:rsid w:val="00AC14DD"/>
    <w:rsid w:val="00AC15F2"/>
    <w:rsid w:val="00AC17A8"/>
    <w:rsid w:val="00AC1B15"/>
    <w:rsid w:val="00AC1B7E"/>
    <w:rsid w:val="00AC1BBA"/>
    <w:rsid w:val="00AC1D69"/>
    <w:rsid w:val="00AC1DD2"/>
    <w:rsid w:val="00AC1F03"/>
    <w:rsid w:val="00AC1FE0"/>
    <w:rsid w:val="00AC21FE"/>
    <w:rsid w:val="00AC2949"/>
    <w:rsid w:val="00AC2A3C"/>
    <w:rsid w:val="00AC2B2D"/>
    <w:rsid w:val="00AC2BCF"/>
    <w:rsid w:val="00AC2CD9"/>
    <w:rsid w:val="00AC2F65"/>
    <w:rsid w:val="00AC3088"/>
    <w:rsid w:val="00AC318C"/>
    <w:rsid w:val="00AC31C5"/>
    <w:rsid w:val="00AC3500"/>
    <w:rsid w:val="00AC3674"/>
    <w:rsid w:val="00AC3709"/>
    <w:rsid w:val="00AC3883"/>
    <w:rsid w:val="00AC3F2E"/>
    <w:rsid w:val="00AC40CE"/>
    <w:rsid w:val="00AC414C"/>
    <w:rsid w:val="00AC416C"/>
    <w:rsid w:val="00AC4236"/>
    <w:rsid w:val="00AC4243"/>
    <w:rsid w:val="00AC4E53"/>
    <w:rsid w:val="00AC52BA"/>
    <w:rsid w:val="00AC5302"/>
    <w:rsid w:val="00AC53B5"/>
    <w:rsid w:val="00AC547B"/>
    <w:rsid w:val="00AC5531"/>
    <w:rsid w:val="00AC55D2"/>
    <w:rsid w:val="00AC57AF"/>
    <w:rsid w:val="00AC584D"/>
    <w:rsid w:val="00AC58BC"/>
    <w:rsid w:val="00AC58EE"/>
    <w:rsid w:val="00AC5D4B"/>
    <w:rsid w:val="00AC63D1"/>
    <w:rsid w:val="00AC6B0D"/>
    <w:rsid w:val="00AC6E1C"/>
    <w:rsid w:val="00AC6E92"/>
    <w:rsid w:val="00AC743D"/>
    <w:rsid w:val="00AC76DF"/>
    <w:rsid w:val="00AC7AA6"/>
    <w:rsid w:val="00AD0397"/>
    <w:rsid w:val="00AD0421"/>
    <w:rsid w:val="00AD067D"/>
    <w:rsid w:val="00AD10E2"/>
    <w:rsid w:val="00AD122E"/>
    <w:rsid w:val="00AD1274"/>
    <w:rsid w:val="00AD134A"/>
    <w:rsid w:val="00AD1670"/>
    <w:rsid w:val="00AD16DB"/>
    <w:rsid w:val="00AD1833"/>
    <w:rsid w:val="00AD19FE"/>
    <w:rsid w:val="00AD1B27"/>
    <w:rsid w:val="00AD1C5A"/>
    <w:rsid w:val="00AD1DC8"/>
    <w:rsid w:val="00AD20FB"/>
    <w:rsid w:val="00AD220F"/>
    <w:rsid w:val="00AD253D"/>
    <w:rsid w:val="00AD25DD"/>
    <w:rsid w:val="00AD26FF"/>
    <w:rsid w:val="00AD2A30"/>
    <w:rsid w:val="00AD330D"/>
    <w:rsid w:val="00AD37EE"/>
    <w:rsid w:val="00AD3959"/>
    <w:rsid w:val="00AD3D2B"/>
    <w:rsid w:val="00AD3F2C"/>
    <w:rsid w:val="00AD3FB7"/>
    <w:rsid w:val="00AD3FD4"/>
    <w:rsid w:val="00AD43E7"/>
    <w:rsid w:val="00AD43F2"/>
    <w:rsid w:val="00AD4771"/>
    <w:rsid w:val="00AD486B"/>
    <w:rsid w:val="00AD4875"/>
    <w:rsid w:val="00AD48DB"/>
    <w:rsid w:val="00AD4FBD"/>
    <w:rsid w:val="00AD5406"/>
    <w:rsid w:val="00AD574F"/>
    <w:rsid w:val="00AD58E0"/>
    <w:rsid w:val="00AD5B64"/>
    <w:rsid w:val="00AD5BBD"/>
    <w:rsid w:val="00AD5BD7"/>
    <w:rsid w:val="00AD62F4"/>
    <w:rsid w:val="00AD6B97"/>
    <w:rsid w:val="00AD6F5B"/>
    <w:rsid w:val="00AD71D8"/>
    <w:rsid w:val="00AD7613"/>
    <w:rsid w:val="00AD7A88"/>
    <w:rsid w:val="00AD7B19"/>
    <w:rsid w:val="00AD7EAB"/>
    <w:rsid w:val="00AE005D"/>
    <w:rsid w:val="00AE00D3"/>
    <w:rsid w:val="00AE0242"/>
    <w:rsid w:val="00AE0266"/>
    <w:rsid w:val="00AE0449"/>
    <w:rsid w:val="00AE0727"/>
    <w:rsid w:val="00AE0A00"/>
    <w:rsid w:val="00AE0CF5"/>
    <w:rsid w:val="00AE0EC0"/>
    <w:rsid w:val="00AE0FF5"/>
    <w:rsid w:val="00AE17CD"/>
    <w:rsid w:val="00AE17DB"/>
    <w:rsid w:val="00AE19B9"/>
    <w:rsid w:val="00AE1B36"/>
    <w:rsid w:val="00AE1C59"/>
    <w:rsid w:val="00AE1E9E"/>
    <w:rsid w:val="00AE2353"/>
    <w:rsid w:val="00AE25E1"/>
    <w:rsid w:val="00AE2966"/>
    <w:rsid w:val="00AE2D6B"/>
    <w:rsid w:val="00AE33A4"/>
    <w:rsid w:val="00AE3410"/>
    <w:rsid w:val="00AE3B76"/>
    <w:rsid w:val="00AE3D4A"/>
    <w:rsid w:val="00AE3E19"/>
    <w:rsid w:val="00AE40E2"/>
    <w:rsid w:val="00AE45BD"/>
    <w:rsid w:val="00AE4691"/>
    <w:rsid w:val="00AE4775"/>
    <w:rsid w:val="00AE4993"/>
    <w:rsid w:val="00AE51F6"/>
    <w:rsid w:val="00AE52EF"/>
    <w:rsid w:val="00AE534E"/>
    <w:rsid w:val="00AE54A4"/>
    <w:rsid w:val="00AE5570"/>
    <w:rsid w:val="00AE58CF"/>
    <w:rsid w:val="00AE5C7E"/>
    <w:rsid w:val="00AE60A7"/>
    <w:rsid w:val="00AE6379"/>
    <w:rsid w:val="00AE6589"/>
    <w:rsid w:val="00AE66E5"/>
    <w:rsid w:val="00AE7037"/>
    <w:rsid w:val="00AE7057"/>
    <w:rsid w:val="00AE7234"/>
    <w:rsid w:val="00AE72CF"/>
    <w:rsid w:val="00AE76E4"/>
    <w:rsid w:val="00AE792B"/>
    <w:rsid w:val="00AE7BED"/>
    <w:rsid w:val="00AF00F1"/>
    <w:rsid w:val="00AF017A"/>
    <w:rsid w:val="00AF025F"/>
    <w:rsid w:val="00AF02AC"/>
    <w:rsid w:val="00AF0652"/>
    <w:rsid w:val="00AF0AF0"/>
    <w:rsid w:val="00AF0C6E"/>
    <w:rsid w:val="00AF16E1"/>
    <w:rsid w:val="00AF1721"/>
    <w:rsid w:val="00AF1F5F"/>
    <w:rsid w:val="00AF252F"/>
    <w:rsid w:val="00AF2654"/>
    <w:rsid w:val="00AF26AB"/>
    <w:rsid w:val="00AF289E"/>
    <w:rsid w:val="00AF2C4A"/>
    <w:rsid w:val="00AF2D8A"/>
    <w:rsid w:val="00AF307A"/>
    <w:rsid w:val="00AF3152"/>
    <w:rsid w:val="00AF323E"/>
    <w:rsid w:val="00AF3503"/>
    <w:rsid w:val="00AF3745"/>
    <w:rsid w:val="00AF3945"/>
    <w:rsid w:val="00AF3988"/>
    <w:rsid w:val="00AF39C7"/>
    <w:rsid w:val="00AF3A1D"/>
    <w:rsid w:val="00AF3E8C"/>
    <w:rsid w:val="00AF40C8"/>
    <w:rsid w:val="00AF43A1"/>
    <w:rsid w:val="00AF48DC"/>
    <w:rsid w:val="00AF4B19"/>
    <w:rsid w:val="00AF4C18"/>
    <w:rsid w:val="00AF4C6E"/>
    <w:rsid w:val="00AF5051"/>
    <w:rsid w:val="00AF50C7"/>
    <w:rsid w:val="00AF569A"/>
    <w:rsid w:val="00AF5B0B"/>
    <w:rsid w:val="00AF5B15"/>
    <w:rsid w:val="00AF5B5F"/>
    <w:rsid w:val="00AF5BDA"/>
    <w:rsid w:val="00AF5C33"/>
    <w:rsid w:val="00AF612F"/>
    <w:rsid w:val="00AF68B4"/>
    <w:rsid w:val="00AF6B34"/>
    <w:rsid w:val="00AF730B"/>
    <w:rsid w:val="00AF7480"/>
    <w:rsid w:val="00AF771A"/>
    <w:rsid w:val="00AF777E"/>
    <w:rsid w:val="00AF7C26"/>
    <w:rsid w:val="00AF7E8D"/>
    <w:rsid w:val="00B00246"/>
    <w:rsid w:val="00B00699"/>
    <w:rsid w:val="00B0086E"/>
    <w:rsid w:val="00B00CB8"/>
    <w:rsid w:val="00B00E10"/>
    <w:rsid w:val="00B00FC0"/>
    <w:rsid w:val="00B0122A"/>
    <w:rsid w:val="00B01297"/>
    <w:rsid w:val="00B019C2"/>
    <w:rsid w:val="00B01A0C"/>
    <w:rsid w:val="00B01B02"/>
    <w:rsid w:val="00B01DF7"/>
    <w:rsid w:val="00B01E44"/>
    <w:rsid w:val="00B024A8"/>
    <w:rsid w:val="00B02A68"/>
    <w:rsid w:val="00B02A7F"/>
    <w:rsid w:val="00B02D7A"/>
    <w:rsid w:val="00B03785"/>
    <w:rsid w:val="00B03826"/>
    <w:rsid w:val="00B03F7E"/>
    <w:rsid w:val="00B04076"/>
    <w:rsid w:val="00B0495F"/>
    <w:rsid w:val="00B04C88"/>
    <w:rsid w:val="00B04D33"/>
    <w:rsid w:val="00B053B2"/>
    <w:rsid w:val="00B0584E"/>
    <w:rsid w:val="00B05E97"/>
    <w:rsid w:val="00B060A7"/>
    <w:rsid w:val="00B06105"/>
    <w:rsid w:val="00B0638D"/>
    <w:rsid w:val="00B0699C"/>
    <w:rsid w:val="00B06A78"/>
    <w:rsid w:val="00B06B35"/>
    <w:rsid w:val="00B06F25"/>
    <w:rsid w:val="00B06F70"/>
    <w:rsid w:val="00B0714D"/>
    <w:rsid w:val="00B0781D"/>
    <w:rsid w:val="00B07A3E"/>
    <w:rsid w:val="00B07C6E"/>
    <w:rsid w:val="00B10961"/>
    <w:rsid w:val="00B10B10"/>
    <w:rsid w:val="00B10BFB"/>
    <w:rsid w:val="00B10E8B"/>
    <w:rsid w:val="00B10E93"/>
    <w:rsid w:val="00B1102E"/>
    <w:rsid w:val="00B11095"/>
    <w:rsid w:val="00B1146E"/>
    <w:rsid w:val="00B114DA"/>
    <w:rsid w:val="00B11609"/>
    <w:rsid w:val="00B116DD"/>
    <w:rsid w:val="00B11AE1"/>
    <w:rsid w:val="00B11C1A"/>
    <w:rsid w:val="00B11F12"/>
    <w:rsid w:val="00B11F65"/>
    <w:rsid w:val="00B121BB"/>
    <w:rsid w:val="00B12334"/>
    <w:rsid w:val="00B123CF"/>
    <w:rsid w:val="00B1279C"/>
    <w:rsid w:val="00B12AF2"/>
    <w:rsid w:val="00B12E87"/>
    <w:rsid w:val="00B12FDF"/>
    <w:rsid w:val="00B1310A"/>
    <w:rsid w:val="00B1368A"/>
    <w:rsid w:val="00B1370F"/>
    <w:rsid w:val="00B13E35"/>
    <w:rsid w:val="00B13E3E"/>
    <w:rsid w:val="00B14055"/>
    <w:rsid w:val="00B1439B"/>
    <w:rsid w:val="00B14510"/>
    <w:rsid w:val="00B14522"/>
    <w:rsid w:val="00B14686"/>
    <w:rsid w:val="00B14C04"/>
    <w:rsid w:val="00B14EBE"/>
    <w:rsid w:val="00B14F4D"/>
    <w:rsid w:val="00B1525C"/>
    <w:rsid w:val="00B156E6"/>
    <w:rsid w:val="00B157F3"/>
    <w:rsid w:val="00B158DA"/>
    <w:rsid w:val="00B15948"/>
    <w:rsid w:val="00B15954"/>
    <w:rsid w:val="00B15CB2"/>
    <w:rsid w:val="00B15D32"/>
    <w:rsid w:val="00B1668C"/>
    <w:rsid w:val="00B16ADA"/>
    <w:rsid w:val="00B16D3C"/>
    <w:rsid w:val="00B16E41"/>
    <w:rsid w:val="00B170E6"/>
    <w:rsid w:val="00B172F2"/>
    <w:rsid w:val="00B17386"/>
    <w:rsid w:val="00B173C8"/>
    <w:rsid w:val="00B17444"/>
    <w:rsid w:val="00B1794D"/>
    <w:rsid w:val="00B17AAC"/>
    <w:rsid w:val="00B17AC8"/>
    <w:rsid w:val="00B201CA"/>
    <w:rsid w:val="00B2057C"/>
    <w:rsid w:val="00B2092F"/>
    <w:rsid w:val="00B20991"/>
    <w:rsid w:val="00B2104E"/>
    <w:rsid w:val="00B21A2E"/>
    <w:rsid w:val="00B21EE2"/>
    <w:rsid w:val="00B21FCC"/>
    <w:rsid w:val="00B22062"/>
    <w:rsid w:val="00B22170"/>
    <w:rsid w:val="00B22206"/>
    <w:rsid w:val="00B22233"/>
    <w:rsid w:val="00B22366"/>
    <w:rsid w:val="00B225FF"/>
    <w:rsid w:val="00B22695"/>
    <w:rsid w:val="00B22757"/>
    <w:rsid w:val="00B22827"/>
    <w:rsid w:val="00B22A87"/>
    <w:rsid w:val="00B22D47"/>
    <w:rsid w:val="00B22FE0"/>
    <w:rsid w:val="00B2329B"/>
    <w:rsid w:val="00B23420"/>
    <w:rsid w:val="00B23500"/>
    <w:rsid w:val="00B2379E"/>
    <w:rsid w:val="00B240B1"/>
    <w:rsid w:val="00B24122"/>
    <w:rsid w:val="00B242BD"/>
    <w:rsid w:val="00B246B7"/>
    <w:rsid w:val="00B24E3D"/>
    <w:rsid w:val="00B24EF6"/>
    <w:rsid w:val="00B24FC2"/>
    <w:rsid w:val="00B250EF"/>
    <w:rsid w:val="00B251C2"/>
    <w:rsid w:val="00B25709"/>
    <w:rsid w:val="00B257F3"/>
    <w:rsid w:val="00B258DF"/>
    <w:rsid w:val="00B25EB9"/>
    <w:rsid w:val="00B260F4"/>
    <w:rsid w:val="00B26466"/>
    <w:rsid w:val="00B265C0"/>
    <w:rsid w:val="00B2664A"/>
    <w:rsid w:val="00B26980"/>
    <w:rsid w:val="00B269E8"/>
    <w:rsid w:val="00B26D0F"/>
    <w:rsid w:val="00B26DC2"/>
    <w:rsid w:val="00B26E4B"/>
    <w:rsid w:val="00B26F70"/>
    <w:rsid w:val="00B270A5"/>
    <w:rsid w:val="00B27251"/>
    <w:rsid w:val="00B27557"/>
    <w:rsid w:val="00B27D00"/>
    <w:rsid w:val="00B27EEB"/>
    <w:rsid w:val="00B3000D"/>
    <w:rsid w:val="00B30275"/>
    <w:rsid w:val="00B309D5"/>
    <w:rsid w:val="00B30DEA"/>
    <w:rsid w:val="00B30E31"/>
    <w:rsid w:val="00B31345"/>
    <w:rsid w:val="00B31368"/>
    <w:rsid w:val="00B315E9"/>
    <w:rsid w:val="00B31D73"/>
    <w:rsid w:val="00B31E45"/>
    <w:rsid w:val="00B31FF9"/>
    <w:rsid w:val="00B325DA"/>
    <w:rsid w:val="00B329DB"/>
    <w:rsid w:val="00B32AA3"/>
    <w:rsid w:val="00B32AA9"/>
    <w:rsid w:val="00B32B18"/>
    <w:rsid w:val="00B32F15"/>
    <w:rsid w:val="00B3332E"/>
    <w:rsid w:val="00B33834"/>
    <w:rsid w:val="00B33846"/>
    <w:rsid w:val="00B33A9F"/>
    <w:rsid w:val="00B33FFF"/>
    <w:rsid w:val="00B3438D"/>
    <w:rsid w:val="00B343D9"/>
    <w:rsid w:val="00B344C8"/>
    <w:rsid w:val="00B34CC1"/>
    <w:rsid w:val="00B34D1C"/>
    <w:rsid w:val="00B3516D"/>
    <w:rsid w:val="00B35434"/>
    <w:rsid w:val="00B357FA"/>
    <w:rsid w:val="00B358C6"/>
    <w:rsid w:val="00B35A70"/>
    <w:rsid w:val="00B35F4D"/>
    <w:rsid w:val="00B36011"/>
    <w:rsid w:val="00B36300"/>
    <w:rsid w:val="00B36664"/>
    <w:rsid w:val="00B3668A"/>
    <w:rsid w:val="00B36915"/>
    <w:rsid w:val="00B36BD4"/>
    <w:rsid w:val="00B36D39"/>
    <w:rsid w:val="00B374DA"/>
    <w:rsid w:val="00B37742"/>
    <w:rsid w:val="00B378AF"/>
    <w:rsid w:val="00B37BDB"/>
    <w:rsid w:val="00B37D55"/>
    <w:rsid w:val="00B40079"/>
    <w:rsid w:val="00B400E5"/>
    <w:rsid w:val="00B40171"/>
    <w:rsid w:val="00B40351"/>
    <w:rsid w:val="00B403EA"/>
    <w:rsid w:val="00B4063E"/>
    <w:rsid w:val="00B406D7"/>
    <w:rsid w:val="00B40C46"/>
    <w:rsid w:val="00B40CC2"/>
    <w:rsid w:val="00B40D32"/>
    <w:rsid w:val="00B411B2"/>
    <w:rsid w:val="00B4129A"/>
    <w:rsid w:val="00B419C3"/>
    <w:rsid w:val="00B41BDD"/>
    <w:rsid w:val="00B42C45"/>
    <w:rsid w:val="00B42C98"/>
    <w:rsid w:val="00B42CE9"/>
    <w:rsid w:val="00B42DC7"/>
    <w:rsid w:val="00B42EC4"/>
    <w:rsid w:val="00B42F1A"/>
    <w:rsid w:val="00B42F40"/>
    <w:rsid w:val="00B430C4"/>
    <w:rsid w:val="00B436D6"/>
    <w:rsid w:val="00B439AB"/>
    <w:rsid w:val="00B43DA2"/>
    <w:rsid w:val="00B44389"/>
    <w:rsid w:val="00B446B2"/>
    <w:rsid w:val="00B44859"/>
    <w:rsid w:val="00B44A52"/>
    <w:rsid w:val="00B44D83"/>
    <w:rsid w:val="00B44E26"/>
    <w:rsid w:val="00B4532F"/>
    <w:rsid w:val="00B453E2"/>
    <w:rsid w:val="00B45445"/>
    <w:rsid w:val="00B456CC"/>
    <w:rsid w:val="00B457A1"/>
    <w:rsid w:val="00B45993"/>
    <w:rsid w:val="00B45D5A"/>
    <w:rsid w:val="00B45EB4"/>
    <w:rsid w:val="00B45FB2"/>
    <w:rsid w:val="00B46295"/>
    <w:rsid w:val="00B465F2"/>
    <w:rsid w:val="00B4720B"/>
    <w:rsid w:val="00B472B7"/>
    <w:rsid w:val="00B47399"/>
    <w:rsid w:val="00B474E3"/>
    <w:rsid w:val="00B474E8"/>
    <w:rsid w:val="00B478DA"/>
    <w:rsid w:val="00B47D93"/>
    <w:rsid w:val="00B50283"/>
    <w:rsid w:val="00B50707"/>
    <w:rsid w:val="00B5072C"/>
    <w:rsid w:val="00B50869"/>
    <w:rsid w:val="00B50A2A"/>
    <w:rsid w:val="00B50B15"/>
    <w:rsid w:val="00B50C89"/>
    <w:rsid w:val="00B50ED3"/>
    <w:rsid w:val="00B510C3"/>
    <w:rsid w:val="00B514A0"/>
    <w:rsid w:val="00B5154B"/>
    <w:rsid w:val="00B51751"/>
    <w:rsid w:val="00B51826"/>
    <w:rsid w:val="00B51847"/>
    <w:rsid w:val="00B51E2E"/>
    <w:rsid w:val="00B51FF0"/>
    <w:rsid w:val="00B520EC"/>
    <w:rsid w:val="00B525ED"/>
    <w:rsid w:val="00B526D5"/>
    <w:rsid w:val="00B5280C"/>
    <w:rsid w:val="00B52D61"/>
    <w:rsid w:val="00B52E78"/>
    <w:rsid w:val="00B52F24"/>
    <w:rsid w:val="00B52F60"/>
    <w:rsid w:val="00B52F8B"/>
    <w:rsid w:val="00B52FE3"/>
    <w:rsid w:val="00B53145"/>
    <w:rsid w:val="00B53276"/>
    <w:rsid w:val="00B53B6F"/>
    <w:rsid w:val="00B53BA8"/>
    <w:rsid w:val="00B53E3E"/>
    <w:rsid w:val="00B5401B"/>
    <w:rsid w:val="00B54057"/>
    <w:rsid w:val="00B5450B"/>
    <w:rsid w:val="00B54AFB"/>
    <w:rsid w:val="00B54C7F"/>
    <w:rsid w:val="00B54DE4"/>
    <w:rsid w:val="00B54E47"/>
    <w:rsid w:val="00B54E94"/>
    <w:rsid w:val="00B55700"/>
    <w:rsid w:val="00B558F4"/>
    <w:rsid w:val="00B55939"/>
    <w:rsid w:val="00B55CD2"/>
    <w:rsid w:val="00B56031"/>
    <w:rsid w:val="00B560F8"/>
    <w:rsid w:val="00B56292"/>
    <w:rsid w:val="00B5634B"/>
    <w:rsid w:val="00B56453"/>
    <w:rsid w:val="00B56507"/>
    <w:rsid w:val="00B5667C"/>
    <w:rsid w:val="00B56C9E"/>
    <w:rsid w:val="00B570E1"/>
    <w:rsid w:val="00B5759C"/>
    <w:rsid w:val="00B5771A"/>
    <w:rsid w:val="00B60265"/>
    <w:rsid w:val="00B60C7A"/>
    <w:rsid w:val="00B60CC9"/>
    <w:rsid w:val="00B60CCB"/>
    <w:rsid w:val="00B610F7"/>
    <w:rsid w:val="00B6113E"/>
    <w:rsid w:val="00B6143A"/>
    <w:rsid w:val="00B61875"/>
    <w:rsid w:val="00B618F7"/>
    <w:rsid w:val="00B619F9"/>
    <w:rsid w:val="00B61B5B"/>
    <w:rsid w:val="00B61C73"/>
    <w:rsid w:val="00B61D25"/>
    <w:rsid w:val="00B620B4"/>
    <w:rsid w:val="00B623FC"/>
    <w:rsid w:val="00B6253A"/>
    <w:rsid w:val="00B625CC"/>
    <w:rsid w:val="00B625FC"/>
    <w:rsid w:val="00B62634"/>
    <w:rsid w:val="00B62743"/>
    <w:rsid w:val="00B628C0"/>
    <w:rsid w:val="00B62B90"/>
    <w:rsid w:val="00B62FF7"/>
    <w:rsid w:val="00B63046"/>
    <w:rsid w:val="00B630DF"/>
    <w:rsid w:val="00B63386"/>
    <w:rsid w:val="00B63484"/>
    <w:rsid w:val="00B6352F"/>
    <w:rsid w:val="00B63B4B"/>
    <w:rsid w:val="00B63BB7"/>
    <w:rsid w:val="00B63CC6"/>
    <w:rsid w:val="00B63EE9"/>
    <w:rsid w:val="00B64078"/>
    <w:rsid w:val="00B641F6"/>
    <w:rsid w:val="00B6429F"/>
    <w:rsid w:val="00B64809"/>
    <w:rsid w:val="00B64A59"/>
    <w:rsid w:val="00B64C25"/>
    <w:rsid w:val="00B64C3E"/>
    <w:rsid w:val="00B64C65"/>
    <w:rsid w:val="00B64EDA"/>
    <w:rsid w:val="00B65155"/>
    <w:rsid w:val="00B65477"/>
    <w:rsid w:val="00B654C3"/>
    <w:rsid w:val="00B656D5"/>
    <w:rsid w:val="00B65775"/>
    <w:rsid w:val="00B657AC"/>
    <w:rsid w:val="00B65A5F"/>
    <w:rsid w:val="00B65B28"/>
    <w:rsid w:val="00B65BBE"/>
    <w:rsid w:val="00B66451"/>
    <w:rsid w:val="00B6677F"/>
    <w:rsid w:val="00B6726C"/>
    <w:rsid w:val="00B676F0"/>
    <w:rsid w:val="00B67CAB"/>
    <w:rsid w:val="00B67EEC"/>
    <w:rsid w:val="00B67F61"/>
    <w:rsid w:val="00B70133"/>
    <w:rsid w:val="00B7050B"/>
    <w:rsid w:val="00B70546"/>
    <w:rsid w:val="00B708BE"/>
    <w:rsid w:val="00B709A4"/>
    <w:rsid w:val="00B709F6"/>
    <w:rsid w:val="00B70AAD"/>
    <w:rsid w:val="00B70B30"/>
    <w:rsid w:val="00B70B6D"/>
    <w:rsid w:val="00B70D2E"/>
    <w:rsid w:val="00B70F5C"/>
    <w:rsid w:val="00B71571"/>
    <w:rsid w:val="00B71628"/>
    <w:rsid w:val="00B7165E"/>
    <w:rsid w:val="00B71971"/>
    <w:rsid w:val="00B721EF"/>
    <w:rsid w:val="00B722D6"/>
    <w:rsid w:val="00B73139"/>
    <w:rsid w:val="00B737CB"/>
    <w:rsid w:val="00B7382A"/>
    <w:rsid w:val="00B73B96"/>
    <w:rsid w:val="00B73E58"/>
    <w:rsid w:val="00B73EF1"/>
    <w:rsid w:val="00B74461"/>
    <w:rsid w:val="00B7493D"/>
    <w:rsid w:val="00B74B61"/>
    <w:rsid w:val="00B74D1E"/>
    <w:rsid w:val="00B74F3E"/>
    <w:rsid w:val="00B7513A"/>
    <w:rsid w:val="00B754E4"/>
    <w:rsid w:val="00B756E6"/>
    <w:rsid w:val="00B757D1"/>
    <w:rsid w:val="00B75A99"/>
    <w:rsid w:val="00B75ABB"/>
    <w:rsid w:val="00B7609C"/>
    <w:rsid w:val="00B763CD"/>
    <w:rsid w:val="00B76B31"/>
    <w:rsid w:val="00B76B90"/>
    <w:rsid w:val="00B76BB3"/>
    <w:rsid w:val="00B76F44"/>
    <w:rsid w:val="00B7701F"/>
    <w:rsid w:val="00B770E4"/>
    <w:rsid w:val="00B7743B"/>
    <w:rsid w:val="00B77550"/>
    <w:rsid w:val="00B778FD"/>
    <w:rsid w:val="00B779A2"/>
    <w:rsid w:val="00B779C9"/>
    <w:rsid w:val="00B779F7"/>
    <w:rsid w:val="00B80241"/>
    <w:rsid w:val="00B806B8"/>
    <w:rsid w:val="00B80B5E"/>
    <w:rsid w:val="00B80B76"/>
    <w:rsid w:val="00B80D14"/>
    <w:rsid w:val="00B80F0E"/>
    <w:rsid w:val="00B8102A"/>
    <w:rsid w:val="00B81625"/>
    <w:rsid w:val="00B816C0"/>
    <w:rsid w:val="00B81E22"/>
    <w:rsid w:val="00B81F99"/>
    <w:rsid w:val="00B820F6"/>
    <w:rsid w:val="00B82101"/>
    <w:rsid w:val="00B828ED"/>
    <w:rsid w:val="00B828FF"/>
    <w:rsid w:val="00B82B8E"/>
    <w:rsid w:val="00B8334B"/>
    <w:rsid w:val="00B83C9F"/>
    <w:rsid w:val="00B842CE"/>
    <w:rsid w:val="00B843BC"/>
    <w:rsid w:val="00B8496A"/>
    <w:rsid w:val="00B84AF1"/>
    <w:rsid w:val="00B84C4A"/>
    <w:rsid w:val="00B84C84"/>
    <w:rsid w:val="00B84E8F"/>
    <w:rsid w:val="00B852AA"/>
    <w:rsid w:val="00B8531B"/>
    <w:rsid w:val="00B85545"/>
    <w:rsid w:val="00B85572"/>
    <w:rsid w:val="00B855E0"/>
    <w:rsid w:val="00B85981"/>
    <w:rsid w:val="00B859F5"/>
    <w:rsid w:val="00B85EA0"/>
    <w:rsid w:val="00B862AB"/>
    <w:rsid w:val="00B86569"/>
    <w:rsid w:val="00B865BE"/>
    <w:rsid w:val="00B86632"/>
    <w:rsid w:val="00B86BC0"/>
    <w:rsid w:val="00B86DE8"/>
    <w:rsid w:val="00B87903"/>
    <w:rsid w:val="00B87A5E"/>
    <w:rsid w:val="00B87CA6"/>
    <w:rsid w:val="00B87F20"/>
    <w:rsid w:val="00B87F53"/>
    <w:rsid w:val="00B90578"/>
    <w:rsid w:val="00B90874"/>
    <w:rsid w:val="00B90B05"/>
    <w:rsid w:val="00B90B7D"/>
    <w:rsid w:val="00B90EB1"/>
    <w:rsid w:val="00B91291"/>
    <w:rsid w:val="00B91822"/>
    <w:rsid w:val="00B91D56"/>
    <w:rsid w:val="00B92108"/>
    <w:rsid w:val="00B9221A"/>
    <w:rsid w:val="00B923D4"/>
    <w:rsid w:val="00B9248F"/>
    <w:rsid w:val="00B92999"/>
    <w:rsid w:val="00B92CA9"/>
    <w:rsid w:val="00B92FEA"/>
    <w:rsid w:val="00B93192"/>
    <w:rsid w:val="00B934FA"/>
    <w:rsid w:val="00B93537"/>
    <w:rsid w:val="00B9376A"/>
    <w:rsid w:val="00B93920"/>
    <w:rsid w:val="00B93E2F"/>
    <w:rsid w:val="00B94165"/>
    <w:rsid w:val="00B946F1"/>
    <w:rsid w:val="00B94D68"/>
    <w:rsid w:val="00B94F11"/>
    <w:rsid w:val="00B95393"/>
    <w:rsid w:val="00B9552E"/>
    <w:rsid w:val="00B955BB"/>
    <w:rsid w:val="00B95700"/>
    <w:rsid w:val="00B95955"/>
    <w:rsid w:val="00B95BB3"/>
    <w:rsid w:val="00B95EFF"/>
    <w:rsid w:val="00B96029"/>
    <w:rsid w:val="00B9610A"/>
    <w:rsid w:val="00B963A9"/>
    <w:rsid w:val="00B96477"/>
    <w:rsid w:val="00B967FF"/>
    <w:rsid w:val="00B96AEC"/>
    <w:rsid w:val="00B97071"/>
    <w:rsid w:val="00B9730C"/>
    <w:rsid w:val="00B979FC"/>
    <w:rsid w:val="00B97B07"/>
    <w:rsid w:val="00B97B6E"/>
    <w:rsid w:val="00B97CA7"/>
    <w:rsid w:val="00B97E5C"/>
    <w:rsid w:val="00BA00FC"/>
    <w:rsid w:val="00BA011C"/>
    <w:rsid w:val="00BA01FF"/>
    <w:rsid w:val="00BA043F"/>
    <w:rsid w:val="00BA06F5"/>
    <w:rsid w:val="00BA078F"/>
    <w:rsid w:val="00BA0A8A"/>
    <w:rsid w:val="00BA0F00"/>
    <w:rsid w:val="00BA11E5"/>
    <w:rsid w:val="00BA17BC"/>
    <w:rsid w:val="00BA1EDE"/>
    <w:rsid w:val="00BA1F4D"/>
    <w:rsid w:val="00BA23DB"/>
    <w:rsid w:val="00BA24C0"/>
    <w:rsid w:val="00BA24D5"/>
    <w:rsid w:val="00BA2514"/>
    <w:rsid w:val="00BA25BE"/>
    <w:rsid w:val="00BA25FB"/>
    <w:rsid w:val="00BA2730"/>
    <w:rsid w:val="00BA2B7E"/>
    <w:rsid w:val="00BA2D37"/>
    <w:rsid w:val="00BA3A22"/>
    <w:rsid w:val="00BA448A"/>
    <w:rsid w:val="00BA44DE"/>
    <w:rsid w:val="00BA472F"/>
    <w:rsid w:val="00BA478A"/>
    <w:rsid w:val="00BA4832"/>
    <w:rsid w:val="00BA49E7"/>
    <w:rsid w:val="00BA4A80"/>
    <w:rsid w:val="00BA4C89"/>
    <w:rsid w:val="00BA4DFF"/>
    <w:rsid w:val="00BA4E04"/>
    <w:rsid w:val="00BA52F3"/>
    <w:rsid w:val="00BA56F2"/>
    <w:rsid w:val="00BA57CC"/>
    <w:rsid w:val="00BA5AD9"/>
    <w:rsid w:val="00BA5DC3"/>
    <w:rsid w:val="00BA5EB2"/>
    <w:rsid w:val="00BA61D8"/>
    <w:rsid w:val="00BA6220"/>
    <w:rsid w:val="00BA66DA"/>
    <w:rsid w:val="00BA69B4"/>
    <w:rsid w:val="00BA6ADA"/>
    <w:rsid w:val="00BA748E"/>
    <w:rsid w:val="00BA75EC"/>
    <w:rsid w:val="00BA77EC"/>
    <w:rsid w:val="00BA7984"/>
    <w:rsid w:val="00BA79D3"/>
    <w:rsid w:val="00BA7C07"/>
    <w:rsid w:val="00BB01D7"/>
    <w:rsid w:val="00BB0688"/>
    <w:rsid w:val="00BB07DC"/>
    <w:rsid w:val="00BB08DD"/>
    <w:rsid w:val="00BB0F45"/>
    <w:rsid w:val="00BB1088"/>
    <w:rsid w:val="00BB1214"/>
    <w:rsid w:val="00BB1ADB"/>
    <w:rsid w:val="00BB1EDC"/>
    <w:rsid w:val="00BB259F"/>
    <w:rsid w:val="00BB2A83"/>
    <w:rsid w:val="00BB2FAB"/>
    <w:rsid w:val="00BB312F"/>
    <w:rsid w:val="00BB335C"/>
    <w:rsid w:val="00BB33AE"/>
    <w:rsid w:val="00BB3ABF"/>
    <w:rsid w:val="00BB3B38"/>
    <w:rsid w:val="00BB3C5F"/>
    <w:rsid w:val="00BB3C6E"/>
    <w:rsid w:val="00BB4081"/>
    <w:rsid w:val="00BB4230"/>
    <w:rsid w:val="00BB42A6"/>
    <w:rsid w:val="00BB4DA8"/>
    <w:rsid w:val="00BB50FF"/>
    <w:rsid w:val="00BB53B1"/>
    <w:rsid w:val="00BB5786"/>
    <w:rsid w:val="00BB578B"/>
    <w:rsid w:val="00BB5B1C"/>
    <w:rsid w:val="00BB5D33"/>
    <w:rsid w:val="00BB5E16"/>
    <w:rsid w:val="00BB6341"/>
    <w:rsid w:val="00BB63B2"/>
    <w:rsid w:val="00BB63D4"/>
    <w:rsid w:val="00BB63F7"/>
    <w:rsid w:val="00BB64C3"/>
    <w:rsid w:val="00BB675D"/>
    <w:rsid w:val="00BB680B"/>
    <w:rsid w:val="00BB6B51"/>
    <w:rsid w:val="00BB6D04"/>
    <w:rsid w:val="00BB6E74"/>
    <w:rsid w:val="00BB6ED5"/>
    <w:rsid w:val="00BB6F12"/>
    <w:rsid w:val="00BB717E"/>
    <w:rsid w:val="00BB740D"/>
    <w:rsid w:val="00BB75A6"/>
    <w:rsid w:val="00BB777A"/>
    <w:rsid w:val="00BC0310"/>
    <w:rsid w:val="00BC0824"/>
    <w:rsid w:val="00BC0894"/>
    <w:rsid w:val="00BC0906"/>
    <w:rsid w:val="00BC0AD4"/>
    <w:rsid w:val="00BC0B16"/>
    <w:rsid w:val="00BC1595"/>
    <w:rsid w:val="00BC1876"/>
    <w:rsid w:val="00BC18EB"/>
    <w:rsid w:val="00BC1E27"/>
    <w:rsid w:val="00BC1E8D"/>
    <w:rsid w:val="00BC2171"/>
    <w:rsid w:val="00BC21CA"/>
    <w:rsid w:val="00BC246E"/>
    <w:rsid w:val="00BC2765"/>
    <w:rsid w:val="00BC2A1E"/>
    <w:rsid w:val="00BC2B36"/>
    <w:rsid w:val="00BC30DA"/>
    <w:rsid w:val="00BC31E7"/>
    <w:rsid w:val="00BC3277"/>
    <w:rsid w:val="00BC34FC"/>
    <w:rsid w:val="00BC35EF"/>
    <w:rsid w:val="00BC42B7"/>
    <w:rsid w:val="00BC44C0"/>
    <w:rsid w:val="00BC4B27"/>
    <w:rsid w:val="00BC4B28"/>
    <w:rsid w:val="00BC4C18"/>
    <w:rsid w:val="00BC4F2B"/>
    <w:rsid w:val="00BC5213"/>
    <w:rsid w:val="00BC54FE"/>
    <w:rsid w:val="00BC57E9"/>
    <w:rsid w:val="00BC5D03"/>
    <w:rsid w:val="00BC60EF"/>
    <w:rsid w:val="00BC6284"/>
    <w:rsid w:val="00BC6636"/>
    <w:rsid w:val="00BC6C21"/>
    <w:rsid w:val="00BC6D98"/>
    <w:rsid w:val="00BC7344"/>
    <w:rsid w:val="00BC76BC"/>
    <w:rsid w:val="00BC79B3"/>
    <w:rsid w:val="00BC7DBA"/>
    <w:rsid w:val="00BD0333"/>
    <w:rsid w:val="00BD04B3"/>
    <w:rsid w:val="00BD05CF"/>
    <w:rsid w:val="00BD0736"/>
    <w:rsid w:val="00BD0C18"/>
    <w:rsid w:val="00BD120D"/>
    <w:rsid w:val="00BD183B"/>
    <w:rsid w:val="00BD1C70"/>
    <w:rsid w:val="00BD1D11"/>
    <w:rsid w:val="00BD1F78"/>
    <w:rsid w:val="00BD2076"/>
    <w:rsid w:val="00BD219E"/>
    <w:rsid w:val="00BD2433"/>
    <w:rsid w:val="00BD265C"/>
    <w:rsid w:val="00BD26E5"/>
    <w:rsid w:val="00BD287D"/>
    <w:rsid w:val="00BD2C17"/>
    <w:rsid w:val="00BD2CF4"/>
    <w:rsid w:val="00BD2D17"/>
    <w:rsid w:val="00BD3042"/>
    <w:rsid w:val="00BD32B3"/>
    <w:rsid w:val="00BD3947"/>
    <w:rsid w:val="00BD3A12"/>
    <w:rsid w:val="00BD3ACE"/>
    <w:rsid w:val="00BD4619"/>
    <w:rsid w:val="00BD5029"/>
    <w:rsid w:val="00BD512E"/>
    <w:rsid w:val="00BD53FA"/>
    <w:rsid w:val="00BD54BE"/>
    <w:rsid w:val="00BD5D36"/>
    <w:rsid w:val="00BD5D53"/>
    <w:rsid w:val="00BD5F59"/>
    <w:rsid w:val="00BD60D8"/>
    <w:rsid w:val="00BD6AD8"/>
    <w:rsid w:val="00BD6D3B"/>
    <w:rsid w:val="00BD718D"/>
    <w:rsid w:val="00BD7518"/>
    <w:rsid w:val="00BD76CD"/>
    <w:rsid w:val="00BD79E0"/>
    <w:rsid w:val="00BD7DAD"/>
    <w:rsid w:val="00BD7E74"/>
    <w:rsid w:val="00BD7F7A"/>
    <w:rsid w:val="00BE0296"/>
    <w:rsid w:val="00BE08CB"/>
    <w:rsid w:val="00BE0AC2"/>
    <w:rsid w:val="00BE0ADB"/>
    <w:rsid w:val="00BE0E0C"/>
    <w:rsid w:val="00BE0FEA"/>
    <w:rsid w:val="00BE18F8"/>
    <w:rsid w:val="00BE1919"/>
    <w:rsid w:val="00BE1D7D"/>
    <w:rsid w:val="00BE1F75"/>
    <w:rsid w:val="00BE22F3"/>
    <w:rsid w:val="00BE2383"/>
    <w:rsid w:val="00BE2440"/>
    <w:rsid w:val="00BE2469"/>
    <w:rsid w:val="00BE2719"/>
    <w:rsid w:val="00BE29AC"/>
    <w:rsid w:val="00BE2DB4"/>
    <w:rsid w:val="00BE2E2E"/>
    <w:rsid w:val="00BE2FB7"/>
    <w:rsid w:val="00BE34B0"/>
    <w:rsid w:val="00BE3753"/>
    <w:rsid w:val="00BE3C4F"/>
    <w:rsid w:val="00BE431C"/>
    <w:rsid w:val="00BE4D2F"/>
    <w:rsid w:val="00BE502F"/>
    <w:rsid w:val="00BE524F"/>
    <w:rsid w:val="00BE52EA"/>
    <w:rsid w:val="00BE5378"/>
    <w:rsid w:val="00BE545B"/>
    <w:rsid w:val="00BE5598"/>
    <w:rsid w:val="00BE590B"/>
    <w:rsid w:val="00BE59F9"/>
    <w:rsid w:val="00BE5B36"/>
    <w:rsid w:val="00BE5C28"/>
    <w:rsid w:val="00BE6032"/>
    <w:rsid w:val="00BE6163"/>
    <w:rsid w:val="00BE63F0"/>
    <w:rsid w:val="00BE673B"/>
    <w:rsid w:val="00BE6BB9"/>
    <w:rsid w:val="00BE6DC9"/>
    <w:rsid w:val="00BE6E2F"/>
    <w:rsid w:val="00BE705F"/>
    <w:rsid w:val="00BE72F4"/>
    <w:rsid w:val="00BE769B"/>
    <w:rsid w:val="00BE79A8"/>
    <w:rsid w:val="00BE7BF6"/>
    <w:rsid w:val="00BF0512"/>
    <w:rsid w:val="00BF05D1"/>
    <w:rsid w:val="00BF07FA"/>
    <w:rsid w:val="00BF099B"/>
    <w:rsid w:val="00BF0AB2"/>
    <w:rsid w:val="00BF0FE7"/>
    <w:rsid w:val="00BF10D5"/>
    <w:rsid w:val="00BF15AF"/>
    <w:rsid w:val="00BF18A1"/>
    <w:rsid w:val="00BF2171"/>
    <w:rsid w:val="00BF2E90"/>
    <w:rsid w:val="00BF2E99"/>
    <w:rsid w:val="00BF2F9C"/>
    <w:rsid w:val="00BF35A8"/>
    <w:rsid w:val="00BF3682"/>
    <w:rsid w:val="00BF36CF"/>
    <w:rsid w:val="00BF3937"/>
    <w:rsid w:val="00BF398F"/>
    <w:rsid w:val="00BF3B6E"/>
    <w:rsid w:val="00BF3E23"/>
    <w:rsid w:val="00BF3F02"/>
    <w:rsid w:val="00BF3F69"/>
    <w:rsid w:val="00BF4014"/>
    <w:rsid w:val="00BF44A7"/>
    <w:rsid w:val="00BF4677"/>
    <w:rsid w:val="00BF46A7"/>
    <w:rsid w:val="00BF4822"/>
    <w:rsid w:val="00BF495D"/>
    <w:rsid w:val="00BF4D6B"/>
    <w:rsid w:val="00BF4DE3"/>
    <w:rsid w:val="00BF5142"/>
    <w:rsid w:val="00BF5736"/>
    <w:rsid w:val="00BF598D"/>
    <w:rsid w:val="00BF5E84"/>
    <w:rsid w:val="00BF681B"/>
    <w:rsid w:val="00BF69F6"/>
    <w:rsid w:val="00BF6E75"/>
    <w:rsid w:val="00BF6F0F"/>
    <w:rsid w:val="00BF72EC"/>
    <w:rsid w:val="00BF75BA"/>
    <w:rsid w:val="00BF765D"/>
    <w:rsid w:val="00BF778A"/>
    <w:rsid w:val="00BF779D"/>
    <w:rsid w:val="00BF78ED"/>
    <w:rsid w:val="00BF7BA9"/>
    <w:rsid w:val="00BF7C58"/>
    <w:rsid w:val="00BF7DC9"/>
    <w:rsid w:val="00C00056"/>
    <w:rsid w:val="00C003D7"/>
    <w:rsid w:val="00C005D8"/>
    <w:rsid w:val="00C00985"/>
    <w:rsid w:val="00C010F6"/>
    <w:rsid w:val="00C0119C"/>
    <w:rsid w:val="00C01395"/>
    <w:rsid w:val="00C01755"/>
    <w:rsid w:val="00C017B2"/>
    <w:rsid w:val="00C01B42"/>
    <w:rsid w:val="00C01BF2"/>
    <w:rsid w:val="00C01CD6"/>
    <w:rsid w:val="00C01D34"/>
    <w:rsid w:val="00C02611"/>
    <w:rsid w:val="00C029EB"/>
    <w:rsid w:val="00C02A86"/>
    <w:rsid w:val="00C02C2A"/>
    <w:rsid w:val="00C02C5F"/>
    <w:rsid w:val="00C02DB5"/>
    <w:rsid w:val="00C0367B"/>
    <w:rsid w:val="00C03D38"/>
    <w:rsid w:val="00C03D53"/>
    <w:rsid w:val="00C03E1B"/>
    <w:rsid w:val="00C03F8A"/>
    <w:rsid w:val="00C040E2"/>
    <w:rsid w:val="00C04689"/>
    <w:rsid w:val="00C04807"/>
    <w:rsid w:val="00C049AE"/>
    <w:rsid w:val="00C04E6E"/>
    <w:rsid w:val="00C050CC"/>
    <w:rsid w:val="00C05EFA"/>
    <w:rsid w:val="00C05F04"/>
    <w:rsid w:val="00C06896"/>
    <w:rsid w:val="00C06B8E"/>
    <w:rsid w:val="00C06C7E"/>
    <w:rsid w:val="00C06F09"/>
    <w:rsid w:val="00C07286"/>
    <w:rsid w:val="00C07325"/>
    <w:rsid w:val="00C07633"/>
    <w:rsid w:val="00C0776A"/>
    <w:rsid w:val="00C07CBF"/>
    <w:rsid w:val="00C07E87"/>
    <w:rsid w:val="00C10421"/>
    <w:rsid w:val="00C10531"/>
    <w:rsid w:val="00C1092E"/>
    <w:rsid w:val="00C10A75"/>
    <w:rsid w:val="00C10B7B"/>
    <w:rsid w:val="00C10B98"/>
    <w:rsid w:val="00C10DA7"/>
    <w:rsid w:val="00C1123A"/>
    <w:rsid w:val="00C11719"/>
    <w:rsid w:val="00C11758"/>
    <w:rsid w:val="00C117B2"/>
    <w:rsid w:val="00C11884"/>
    <w:rsid w:val="00C11C92"/>
    <w:rsid w:val="00C11E68"/>
    <w:rsid w:val="00C11E6F"/>
    <w:rsid w:val="00C12148"/>
    <w:rsid w:val="00C12190"/>
    <w:rsid w:val="00C12379"/>
    <w:rsid w:val="00C124E1"/>
    <w:rsid w:val="00C126EF"/>
    <w:rsid w:val="00C1278F"/>
    <w:rsid w:val="00C127B3"/>
    <w:rsid w:val="00C12932"/>
    <w:rsid w:val="00C12A36"/>
    <w:rsid w:val="00C130F7"/>
    <w:rsid w:val="00C13696"/>
    <w:rsid w:val="00C136E5"/>
    <w:rsid w:val="00C139EF"/>
    <w:rsid w:val="00C13B79"/>
    <w:rsid w:val="00C13C56"/>
    <w:rsid w:val="00C14A86"/>
    <w:rsid w:val="00C15445"/>
    <w:rsid w:val="00C15747"/>
    <w:rsid w:val="00C159B4"/>
    <w:rsid w:val="00C15C39"/>
    <w:rsid w:val="00C16001"/>
    <w:rsid w:val="00C1603A"/>
    <w:rsid w:val="00C1673A"/>
    <w:rsid w:val="00C167E9"/>
    <w:rsid w:val="00C16883"/>
    <w:rsid w:val="00C168B1"/>
    <w:rsid w:val="00C16905"/>
    <w:rsid w:val="00C16AE4"/>
    <w:rsid w:val="00C16BF7"/>
    <w:rsid w:val="00C16DD7"/>
    <w:rsid w:val="00C1713F"/>
    <w:rsid w:val="00C171D1"/>
    <w:rsid w:val="00C1729B"/>
    <w:rsid w:val="00C17459"/>
    <w:rsid w:val="00C17748"/>
    <w:rsid w:val="00C1778B"/>
    <w:rsid w:val="00C179A8"/>
    <w:rsid w:val="00C17E8B"/>
    <w:rsid w:val="00C17EFC"/>
    <w:rsid w:val="00C20028"/>
    <w:rsid w:val="00C2004F"/>
    <w:rsid w:val="00C2009E"/>
    <w:rsid w:val="00C20A34"/>
    <w:rsid w:val="00C20B01"/>
    <w:rsid w:val="00C20BA6"/>
    <w:rsid w:val="00C20C38"/>
    <w:rsid w:val="00C20DDC"/>
    <w:rsid w:val="00C20FA5"/>
    <w:rsid w:val="00C210CF"/>
    <w:rsid w:val="00C21540"/>
    <w:rsid w:val="00C21871"/>
    <w:rsid w:val="00C2237C"/>
    <w:rsid w:val="00C2249B"/>
    <w:rsid w:val="00C225D9"/>
    <w:rsid w:val="00C22A95"/>
    <w:rsid w:val="00C22AD0"/>
    <w:rsid w:val="00C23391"/>
    <w:rsid w:val="00C23499"/>
    <w:rsid w:val="00C234A2"/>
    <w:rsid w:val="00C23607"/>
    <w:rsid w:val="00C23728"/>
    <w:rsid w:val="00C23B70"/>
    <w:rsid w:val="00C23D74"/>
    <w:rsid w:val="00C23F5B"/>
    <w:rsid w:val="00C24730"/>
    <w:rsid w:val="00C2473A"/>
    <w:rsid w:val="00C2497D"/>
    <w:rsid w:val="00C24994"/>
    <w:rsid w:val="00C24A6A"/>
    <w:rsid w:val="00C24B39"/>
    <w:rsid w:val="00C2507C"/>
    <w:rsid w:val="00C2535E"/>
    <w:rsid w:val="00C254F9"/>
    <w:rsid w:val="00C256EB"/>
    <w:rsid w:val="00C25B63"/>
    <w:rsid w:val="00C25F06"/>
    <w:rsid w:val="00C25F84"/>
    <w:rsid w:val="00C26840"/>
    <w:rsid w:val="00C26897"/>
    <w:rsid w:val="00C26FC1"/>
    <w:rsid w:val="00C27B24"/>
    <w:rsid w:val="00C27D31"/>
    <w:rsid w:val="00C27E8E"/>
    <w:rsid w:val="00C300B8"/>
    <w:rsid w:val="00C30447"/>
    <w:rsid w:val="00C30A9A"/>
    <w:rsid w:val="00C30AAA"/>
    <w:rsid w:val="00C30AC3"/>
    <w:rsid w:val="00C311A2"/>
    <w:rsid w:val="00C311FA"/>
    <w:rsid w:val="00C313E1"/>
    <w:rsid w:val="00C31594"/>
    <w:rsid w:val="00C31671"/>
    <w:rsid w:val="00C316BA"/>
    <w:rsid w:val="00C3185F"/>
    <w:rsid w:val="00C3192A"/>
    <w:rsid w:val="00C31991"/>
    <w:rsid w:val="00C319E3"/>
    <w:rsid w:val="00C319F7"/>
    <w:rsid w:val="00C31B29"/>
    <w:rsid w:val="00C31D34"/>
    <w:rsid w:val="00C325CC"/>
    <w:rsid w:val="00C32C60"/>
    <w:rsid w:val="00C32D98"/>
    <w:rsid w:val="00C3329A"/>
    <w:rsid w:val="00C334C0"/>
    <w:rsid w:val="00C33C23"/>
    <w:rsid w:val="00C33E66"/>
    <w:rsid w:val="00C33EA8"/>
    <w:rsid w:val="00C3402A"/>
    <w:rsid w:val="00C34193"/>
    <w:rsid w:val="00C34A1B"/>
    <w:rsid w:val="00C34D1A"/>
    <w:rsid w:val="00C34E6F"/>
    <w:rsid w:val="00C35B2E"/>
    <w:rsid w:val="00C35C89"/>
    <w:rsid w:val="00C36120"/>
    <w:rsid w:val="00C362F9"/>
    <w:rsid w:val="00C3633A"/>
    <w:rsid w:val="00C36357"/>
    <w:rsid w:val="00C36A58"/>
    <w:rsid w:val="00C36BE8"/>
    <w:rsid w:val="00C36C71"/>
    <w:rsid w:val="00C37102"/>
    <w:rsid w:val="00C3741D"/>
    <w:rsid w:val="00C37660"/>
    <w:rsid w:val="00C376F5"/>
    <w:rsid w:val="00C37B7B"/>
    <w:rsid w:val="00C37ED9"/>
    <w:rsid w:val="00C37F61"/>
    <w:rsid w:val="00C400C8"/>
    <w:rsid w:val="00C4035D"/>
    <w:rsid w:val="00C4044B"/>
    <w:rsid w:val="00C4070E"/>
    <w:rsid w:val="00C40755"/>
    <w:rsid w:val="00C40786"/>
    <w:rsid w:val="00C409E0"/>
    <w:rsid w:val="00C40A09"/>
    <w:rsid w:val="00C40E61"/>
    <w:rsid w:val="00C411B9"/>
    <w:rsid w:val="00C414A4"/>
    <w:rsid w:val="00C414CA"/>
    <w:rsid w:val="00C41531"/>
    <w:rsid w:val="00C415E1"/>
    <w:rsid w:val="00C4167D"/>
    <w:rsid w:val="00C41875"/>
    <w:rsid w:val="00C419AA"/>
    <w:rsid w:val="00C419B6"/>
    <w:rsid w:val="00C424EA"/>
    <w:rsid w:val="00C42579"/>
    <w:rsid w:val="00C425A7"/>
    <w:rsid w:val="00C42766"/>
    <w:rsid w:val="00C42AAB"/>
    <w:rsid w:val="00C42AFA"/>
    <w:rsid w:val="00C42B07"/>
    <w:rsid w:val="00C42BAD"/>
    <w:rsid w:val="00C42D64"/>
    <w:rsid w:val="00C4333E"/>
    <w:rsid w:val="00C43611"/>
    <w:rsid w:val="00C44790"/>
    <w:rsid w:val="00C44A12"/>
    <w:rsid w:val="00C44DB1"/>
    <w:rsid w:val="00C44E14"/>
    <w:rsid w:val="00C4523C"/>
    <w:rsid w:val="00C452B8"/>
    <w:rsid w:val="00C453A3"/>
    <w:rsid w:val="00C4557A"/>
    <w:rsid w:val="00C459A8"/>
    <w:rsid w:val="00C45B4C"/>
    <w:rsid w:val="00C45D9B"/>
    <w:rsid w:val="00C4605B"/>
    <w:rsid w:val="00C4615D"/>
    <w:rsid w:val="00C4669D"/>
    <w:rsid w:val="00C47180"/>
    <w:rsid w:val="00C471CA"/>
    <w:rsid w:val="00C476B1"/>
    <w:rsid w:val="00C4773E"/>
    <w:rsid w:val="00C47814"/>
    <w:rsid w:val="00C4799F"/>
    <w:rsid w:val="00C47D22"/>
    <w:rsid w:val="00C47D33"/>
    <w:rsid w:val="00C501A7"/>
    <w:rsid w:val="00C509FE"/>
    <w:rsid w:val="00C50C05"/>
    <w:rsid w:val="00C50D0D"/>
    <w:rsid w:val="00C50E65"/>
    <w:rsid w:val="00C51118"/>
    <w:rsid w:val="00C51615"/>
    <w:rsid w:val="00C51C46"/>
    <w:rsid w:val="00C51DFF"/>
    <w:rsid w:val="00C5204F"/>
    <w:rsid w:val="00C5209D"/>
    <w:rsid w:val="00C523D2"/>
    <w:rsid w:val="00C52BF6"/>
    <w:rsid w:val="00C52C68"/>
    <w:rsid w:val="00C52DAF"/>
    <w:rsid w:val="00C52FB3"/>
    <w:rsid w:val="00C53087"/>
    <w:rsid w:val="00C532AA"/>
    <w:rsid w:val="00C53BAD"/>
    <w:rsid w:val="00C53BE1"/>
    <w:rsid w:val="00C53E36"/>
    <w:rsid w:val="00C53EE5"/>
    <w:rsid w:val="00C54008"/>
    <w:rsid w:val="00C5448F"/>
    <w:rsid w:val="00C54658"/>
    <w:rsid w:val="00C5470A"/>
    <w:rsid w:val="00C54B12"/>
    <w:rsid w:val="00C54B5C"/>
    <w:rsid w:val="00C54F2D"/>
    <w:rsid w:val="00C54F51"/>
    <w:rsid w:val="00C55230"/>
    <w:rsid w:val="00C55427"/>
    <w:rsid w:val="00C55C5B"/>
    <w:rsid w:val="00C565EE"/>
    <w:rsid w:val="00C565F4"/>
    <w:rsid w:val="00C56B45"/>
    <w:rsid w:val="00C56BA9"/>
    <w:rsid w:val="00C56C35"/>
    <w:rsid w:val="00C56ED9"/>
    <w:rsid w:val="00C5754C"/>
    <w:rsid w:val="00C577A3"/>
    <w:rsid w:val="00C57815"/>
    <w:rsid w:val="00C5784C"/>
    <w:rsid w:val="00C57B7A"/>
    <w:rsid w:val="00C57DDD"/>
    <w:rsid w:val="00C5B83D"/>
    <w:rsid w:val="00C6046E"/>
    <w:rsid w:val="00C6084C"/>
    <w:rsid w:val="00C60B0F"/>
    <w:rsid w:val="00C61658"/>
    <w:rsid w:val="00C617CA"/>
    <w:rsid w:val="00C61845"/>
    <w:rsid w:val="00C61AFC"/>
    <w:rsid w:val="00C61E7F"/>
    <w:rsid w:val="00C62044"/>
    <w:rsid w:val="00C620F4"/>
    <w:rsid w:val="00C62331"/>
    <w:rsid w:val="00C62351"/>
    <w:rsid w:val="00C6237A"/>
    <w:rsid w:val="00C6239F"/>
    <w:rsid w:val="00C62404"/>
    <w:rsid w:val="00C629D9"/>
    <w:rsid w:val="00C62CC3"/>
    <w:rsid w:val="00C62D03"/>
    <w:rsid w:val="00C634AE"/>
    <w:rsid w:val="00C63772"/>
    <w:rsid w:val="00C63A3D"/>
    <w:rsid w:val="00C63B28"/>
    <w:rsid w:val="00C63D6B"/>
    <w:rsid w:val="00C63DDB"/>
    <w:rsid w:val="00C63F78"/>
    <w:rsid w:val="00C64276"/>
    <w:rsid w:val="00C644DD"/>
    <w:rsid w:val="00C64C3A"/>
    <w:rsid w:val="00C65147"/>
    <w:rsid w:val="00C65244"/>
    <w:rsid w:val="00C65484"/>
    <w:rsid w:val="00C65A1E"/>
    <w:rsid w:val="00C65B73"/>
    <w:rsid w:val="00C65E91"/>
    <w:rsid w:val="00C66296"/>
    <w:rsid w:val="00C66310"/>
    <w:rsid w:val="00C664E4"/>
    <w:rsid w:val="00C668A5"/>
    <w:rsid w:val="00C668B7"/>
    <w:rsid w:val="00C66C06"/>
    <w:rsid w:val="00C66DCF"/>
    <w:rsid w:val="00C66DD9"/>
    <w:rsid w:val="00C66F52"/>
    <w:rsid w:val="00C67010"/>
    <w:rsid w:val="00C67207"/>
    <w:rsid w:val="00C67C54"/>
    <w:rsid w:val="00C7040A"/>
    <w:rsid w:val="00C70771"/>
    <w:rsid w:val="00C71338"/>
    <w:rsid w:val="00C713E3"/>
    <w:rsid w:val="00C714E1"/>
    <w:rsid w:val="00C7150E"/>
    <w:rsid w:val="00C715F4"/>
    <w:rsid w:val="00C71872"/>
    <w:rsid w:val="00C71A10"/>
    <w:rsid w:val="00C71B0F"/>
    <w:rsid w:val="00C72717"/>
    <w:rsid w:val="00C7278F"/>
    <w:rsid w:val="00C727D3"/>
    <w:rsid w:val="00C7296A"/>
    <w:rsid w:val="00C729BF"/>
    <w:rsid w:val="00C73222"/>
    <w:rsid w:val="00C73449"/>
    <w:rsid w:val="00C73661"/>
    <w:rsid w:val="00C736D8"/>
    <w:rsid w:val="00C737E2"/>
    <w:rsid w:val="00C73DE0"/>
    <w:rsid w:val="00C73F1D"/>
    <w:rsid w:val="00C740D5"/>
    <w:rsid w:val="00C74512"/>
    <w:rsid w:val="00C745CA"/>
    <w:rsid w:val="00C74677"/>
    <w:rsid w:val="00C7478E"/>
    <w:rsid w:val="00C74AD8"/>
    <w:rsid w:val="00C74C3A"/>
    <w:rsid w:val="00C7502E"/>
    <w:rsid w:val="00C750F7"/>
    <w:rsid w:val="00C75111"/>
    <w:rsid w:val="00C754C2"/>
    <w:rsid w:val="00C75526"/>
    <w:rsid w:val="00C75535"/>
    <w:rsid w:val="00C75593"/>
    <w:rsid w:val="00C7567B"/>
    <w:rsid w:val="00C759A2"/>
    <w:rsid w:val="00C75A22"/>
    <w:rsid w:val="00C75AAD"/>
    <w:rsid w:val="00C75C1D"/>
    <w:rsid w:val="00C75CAD"/>
    <w:rsid w:val="00C75D1F"/>
    <w:rsid w:val="00C76006"/>
    <w:rsid w:val="00C764E7"/>
    <w:rsid w:val="00C76549"/>
    <w:rsid w:val="00C765A3"/>
    <w:rsid w:val="00C7684E"/>
    <w:rsid w:val="00C76853"/>
    <w:rsid w:val="00C76984"/>
    <w:rsid w:val="00C76C14"/>
    <w:rsid w:val="00C76C1B"/>
    <w:rsid w:val="00C76CF3"/>
    <w:rsid w:val="00C776C7"/>
    <w:rsid w:val="00C77E20"/>
    <w:rsid w:val="00C77E64"/>
    <w:rsid w:val="00C77F3F"/>
    <w:rsid w:val="00C8031E"/>
    <w:rsid w:val="00C80830"/>
    <w:rsid w:val="00C80B72"/>
    <w:rsid w:val="00C80E99"/>
    <w:rsid w:val="00C80EAB"/>
    <w:rsid w:val="00C81B56"/>
    <w:rsid w:val="00C81EE2"/>
    <w:rsid w:val="00C8208D"/>
    <w:rsid w:val="00C82119"/>
    <w:rsid w:val="00C8226D"/>
    <w:rsid w:val="00C825B9"/>
    <w:rsid w:val="00C829FF"/>
    <w:rsid w:val="00C82C62"/>
    <w:rsid w:val="00C83104"/>
    <w:rsid w:val="00C839A5"/>
    <w:rsid w:val="00C83AEB"/>
    <w:rsid w:val="00C83B52"/>
    <w:rsid w:val="00C83C7A"/>
    <w:rsid w:val="00C83E19"/>
    <w:rsid w:val="00C84126"/>
    <w:rsid w:val="00C84291"/>
    <w:rsid w:val="00C843D4"/>
    <w:rsid w:val="00C845C7"/>
    <w:rsid w:val="00C846EA"/>
    <w:rsid w:val="00C84A5D"/>
    <w:rsid w:val="00C84B54"/>
    <w:rsid w:val="00C84C28"/>
    <w:rsid w:val="00C84DF9"/>
    <w:rsid w:val="00C84F08"/>
    <w:rsid w:val="00C853EC"/>
    <w:rsid w:val="00C854CA"/>
    <w:rsid w:val="00C855DB"/>
    <w:rsid w:val="00C85697"/>
    <w:rsid w:val="00C856C4"/>
    <w:rsid w:val="00C85978"/>
    <w:rsid w:val="00C85B43"/>
    <w:rsid w:val="00C86082"/>
    <w:rsid w:val="00C86104"/>
    <w:rsid w:val="00C866A1"/>
    <w:rsid w:val="00C86942"/>
    <w:rsid w:val="00C86DF3"/>
    <w:rsid w:val="00C87026"/>
    <w:rsid w:val="00C870B8"/>
    <w:rsid w:val="00C87252"/>
    <w:rsid w:val="00C878D1"/>
    <w:rsid w:val="00C87D0E"/>
    <w:rsid w:val="00C87F14"/>
    <w:rsid w:val="00C90021"/>
    <w:rsid w:val="00C90240"/>
    <w:rsid w:val="00C906BE"/>
    <w:rsid w:val="00C9070E"/>
    <w:rsid w:val="00C90811"/>
    <w:rsid w:val="00C908C0"/>
    <w:rsid w:val="00C90937"/>
    <w:rsid w:val="00C909EA"/>
    <w:rsid w:val="00C90F39"/>
    <w:rsid w:val="00C91065"/>
    <w:rsid w:val="00C91934"/>
    <w:rsid w:val="00C91FF2"/>
    <w:rsid w:val="00C9217B"/>
    <w:rsid w:val="00C92296"/>
    <w:rsid w:val="00C92726"/>
    <w:rsid w:val="00C9276F"/>
    <w:rsid w:val="00C92774"/>
    <w:rsid w:val="00C92AB7"/>
    <w:rsid w:val="00C92DE9"/>
    <w:rsid w:val="00C92EA3"/>
    <w:rsid w:val="00C92F17"/>
    <w:rsid w:val="00C93244"/>
    <w:rsid w:val="00C93360"/>
    <w:rsid w:val="00C9377B"/>
    <w:rsid w:val="00C938B0"/>
    <w:rsid w:val="00C93A7D"/>
    <w:rsid w:val="00C93B26"/>
    <w:rsid w:val="00C93B5B"/>
    <w:rsid w:val="00C93D3F"/>
    <w:rsid w:val="00C9410E"/>
    <w:rsid w:val="00C94714"/>
    <w:rsid w:val="00C94D64"/>
    <w:rsid w:val="00C95150"/>
    <w:rsid w:val="00C9518B"/>
    <w:rsid w:val="00C95850"/>
    <w:rsid w:val="00C9585F"/>
    <w:rsid w:val="00C959D6"/>
    <w:rsid w:val="00C959E7"/>
    <w:rsid w:val="00C95C8B"/>
    <w:rsid w:val="00C95CF5"/>
    <w:rsid w:val="00C95F9D"/>
    <w:rsid w:val="00C96268"/>
    <w:rsid w:val="00C96DAD"/>
    <w:rsid w:val="00C96DF2"/>
    <w:rsid w:val="00C96E74"/>
    <w:rsid w:val="00C96F13"/>
    <w:rsid w:val="00C9706F"/>
    <w:rsid w:val="00C97132"/>
    <w:rsid w:val="00C97172"/>
    <w:rsid w:val="00C9729A"/>
    <w:rsid w:val="00C972B9"/>
    <w:rsid w:val="00C9740F"/>
    <w:rsid w:val="00C975E7"/>
    <w:rsid w:val="00C976D0"/>
    <w:rsid w:val="00C97753"/>
    <w:rsid w:val="00C9798F"/>
    <w:rsid w:val="00CA0886"/>
    <w:rsid w:val="00CA0DAD"/>
    <w:rsid w:val="00CA0EBC"/>
    <w:rsid w:val="00CA110B"/>
    <w:rsid w:val="00CA173E"/>
    <w:rsid w:val="00CA1758"/>
    <w:rsid w:val="00CA1BC4"/>
    <w:rsid w:val="00CA1EEB"/>
    <w:rsid w:val="00CA1FC1"/>
    <w:rsid w:val="00CA217B"/>
    <w:rsid w:val="00CA21A0"/>
    <w:rsid w:val="00CA2D7E"/>
    <w:rsid w:val="00CA35DB"/>
    <w:rsid w:val="00CA3849"/>
    <w:rsid w:val="00CA3F08"/>
    <w:rsid w:val="00CA438C"/>
    <w:rsid w:val="00CA4444"/>
    <w:rsid w:val="00CA473C"/>
    <w:rsid w:val="00CA4A07"/>
    <w:rsid w:val="00CA4C2A"/>
    <w:rsid w:val="00CA4C4D"/>
    <w:rsid w:val="00CA4F50"/>
    <w:rsid w:val="00CA5145"/>
    <w:rsid w:val="00CA5572"/>
    <w:rsid w:val="00CA572A"/>
    <w:rsid w:val="00CA5B42"/>
    <w:rsid w:val="00CA5C48"/>
    <w:rsid w:val="00CA5D8A"/>
    <w:rsid w:val="00CA5DA8"/>
    <w:rsid w:val="00CA6164"/>
    <w:rsid w:val="00CA66AE"/>
    <w:rsid w:val="00CA68C2"/>
    <w:rsid w:val="00CA70A5"/>
    <w:rsid w:val="00CA70C8"/>
    <w:rsid w:val="00CA7100"/>
    <w:rsid w:val="00CA7269"/>
    <w:rsid w:val="00CA730C"/>
    <w:rsid w:val="00CA7634"/>
    <w:rsid w:val="00CA78A3"/>
    <w:rsid w:val="00CA7AE9"/>
    <w:rsid w:val="00CA7B5E"/>
    <w:rsid w:val="00CA7CA1"/>
    <w:rsid w:val="00CA7D32"/>
    <w:rsid w:val="00CB099C"/>
    <w:rsid w:val="00CB0A50"/>
    <w:rsid w:val="00CB0EE9"/>
    <w:rsid w:val="00CB1108"/>
    <w:rsid w:val="00CB147B"/>
    <w:rsid w:val="00CB1845"/>
    <w:rsid w:val="00CB1973"/>
    <w:rsid w:val="00CB1A69"/>
    <w:rsid w:val="00CB1ABA"/>
    <w:rsid w:val="00CB1CAA"/>
    <w:rsid w:val="00CB1D68"/>
    <w:rsid w:val="00CB1D8A"/>
    <w:rsid w:val="00CB1EEF"/>
    <w:rsid w:val="00CB22BC"/>
    <w:rsid w:val="00CB2307"/>
    <w:rsid w:val="00CB2503"/>
    <w:rsid w:val="00CB2615"/>
    <w:rsid w:val="00CB267A"/>
    <w:rsid w:val="00CB2752"/>
    <w:rsid w:val="00CB281D"/>
    <w:rsid w:val="00CB2902"/>
    <w:rsid w:val="00CB2A6D"/>
    <w:rsid w:val="00CB2B3F"/>
    <w:rsid w:val="00CB2E9B"/>
    <w:rsid w:val="00CB3070"/>
    <w:rsid w:val="00CB40AF"/>
    <w:rsid w:val="00CB4AEF"/>
    <w:rsid w:val="00CB551A"/>
    <w:rsid w:val="00CB57B3"/>
    <w:rsid w:val="00CB589C"/>
    <w:rsid w:val="00CB599A"/>
    <w:rsid w:val="00CB615A"/>
    <w:rsid w:val="00CB626A"/>
    <w:rsid w:val="00CB64E2"/>
    <w:rsid w:val="00CB6A2B"/>
    <w:rsid w:val="00CB6C8C"/>
    <w:rsid w:val="00CB7C1D"/>
    <w:rsid w:val="00CB7D90"/>
    <w:rsid w:val="00CB7E6C"/>
    <w:rsid w:val="00CC0081"/>
    <w:rsid w:val="00CC013C"/>
    <w:rsid w:val="00CC024E"/>
    <w:rsid w:val="00CC0726"/>
    <w:rsid w:val="00CC076B"/>
    <w:rsid w:val="00CC0827"/>
    <w:rsid w:val="00CC0907"/>
    <w:rsid w:val="00CC0B2F"/>
    <w:rsid w:val="00CC0BAC"/>
    <w:rsid w:val="00CC1406"/>
    <w:rsid w:val="00CC1E06"/>
    <w:rsid w:val="00CC1FF9"/>
    <w:rsid w:val="00CC2228"/>
    <w:rsid w:val="00CC22ED"/>
    <w:rsid w:val="00CC24D1"/>
    <w:rsid w:val="00CC24EF"/>
    <w:rsid w:val="00CC264F"/>
    <w:rsid w:val="00CC2A4B"/>
    <w:rsid w:val="00CC35D3"/>
    <w:rsid w:val="00CC37AB"/>
    <w:rsid w:val="00CC3C28"/>
    <w:rsid w:val="00CC3CE7"/>
    <w:rsid w:val="00CC3EA2"/>
    <w:rsid w:val="00CC4059"/>
    <w:rsid w:val="00CC4380"/>
    <w:rsid w:val="00CC43EB"/>
    <w:rsid w:val="00CC4413"/>
    <w:rsid w:val="00CC4C38"/>
    <w:rsid w:val="00CC4CD8"/>
    <w:rsid w:val="00CC4DCE"/>
    <w:rsid w:val="00CC4E46"/>
    <w:rsid w:val="00CC4F42"/>
    <w:rsid w:val="00CC507C"/>
    <w:rsid w:val="00CC51BE"/>
    <w:rsid w:val="00CC5480"/>
    <w:rsid w:val="00CC5609"/>
    <w:rsid w:val="00CC562C"/>
    <w:rsid w:val="00CC5842"/>
    <w:rsid w:val="00CC5916"/>
    <w:rsid w:val="00CC69CB"/>
    <w:rsid w:val="00CC6D4D"/>
    <w:rsid w:val="00CC6E9C"/>
    <w:rsid w:val="00CC6FAB"/>
    <w:rsid w:val="00CC70A6"/>
    <w:rsid w:val="00CC7741"/>
    <w:rsid w:val="00CC7DEB"/>
    <w:rsid w:val="00CD01A7"/>
    <w:rsid w:val="00CD05BE"/>
    <w:rsid w:val="00CD0780"/>
    <w:rsid w:val="00CD0B39"/>
    <w:rsid w:val="00CD0CF4"/>
    <w:rsid w:val="00CD0FAC"/>
    <w:rsid w:val="00CD1780"/>
    <w:rsid w:val="00CD2112"/>
    <w:rsid w:val="00CD22F6"/>
    <w:rsid w:val="00CD2375"/>
    <w:rsid w:val="00CD238D"/>
    <w:rsid w:val="00CD24CE"/>
    <w:rsid w:val="00CD2A1D"/>
    <w:rsid w:val="00CD2B3B"/>
    <w:rsid w:val="00CD32E7"/>
    <w:rsid w:val="00CD34C9"/>
    <w:rsid w:val="00CD368E"/>
    <w:rsid w:val="00CD38EC"/>
    <w:rsid w:val="00CD3A17"/>
    <w:rsid w:val="00CD4013"/>
    <w:rsid w:val="00CD4195"/>
    <w:rsid w:val="00CD4417"/>
    <w:rsid w:val="00CD46E9"/>
    <w:rsid w:val="00CD4791"/>
    <w:rsid w:val="00CD4BEE"/>
    <w:rsid w:val="00CD4DFD"/>
    <w:rsid w:val="00CD4E37"/>
    <w:rsid w:val="00CD50EE"/>
    <w:rsid w:val="00CD57C8"/>
    <w:rsid w:val="00CD5A46"/>
    <w:rsid w:val="00CD5B75"/>
    <w:rsid w:val="00CD5F03"/>
    <w:rsid w:val="00CD60E4"/>
    <w:rsid w:val="00CD6818"/>
    <w:rsid w:val="00CD6A2B"/>
    <w:rsid w:val="00CD6BED"/>
    <w:rsid w:val="00CD73DD"/>
    <w:rsid w:val="00CD752C"/>
    <w:rsid w:val="00CD77E0"/>
    <w:rsid w:val="00CD79A0"/>
    <w:rsid w:val="00CD7BA8"/>
    <w:rsid w:val="00CD7EA8"/>
    <w:rsid w:val="00CE0207"/>
    <w:rsid w:val="00CE02D0"/>
    <w:rsid w:val="00CE057F"/>
    <w:rsid w:val="00CE0A65"/>
    <w:rsid w:val="00CE0B80"/>
    <w:rsid w:val="00CE0BBC"/>
    <w:rsid w:val="00CE0D92"/>
    <w:rsid w:val="00CE1739"/>
    <w:rsid w:val="00CE281C"/>
    <w:rsid w:val="00CE288C"/>
    <w:rsid w:val="00CE2967"/>
    <w:rsid w:val="00CE2A0F"/>
    <w:rsid w:val="00CE2D2F"/>
    <w:rsid w:val="00CE2EC7"/>
    <w:rsid w:val="00CE3530"/>
    <w:rsid w:val="00CE365E"/>
    <w:rsid w:val="00CE3778"/>
    <w:rsid w:val="00CE3984"/>
    <w:rsid w:val="00CE39C4"/>
    <w:rsid w:val="00CE3D98"/>
    <w:rsid w:val="00CE3E99"/>
    <w:rsid w:val="00CE414C"/>
    <w:rsid w:val="00CE42DB"/>
    <w:rsid w:val="00CE4572"/>
    <w:rsid w:val="00CE46AE"/>
    <w:rsid w:val="00CE47BF"/>
    <w:rsid w:val="00CE4F7A"/>
    <w:rsid w:val="00CE5088"/>
    <w:rsid w:val="00CE515E"/>
    <w:rsid w:val="00CE521A"/>
    <w:rsid w:val="00CE530D"/>
    <w:rsid w:val="00CE583F"/>
    <w:rsid w:val="00CE5922"/>
    <w:rsid w:val="00CE5B2F"/>
    <w:rsid w:val="00CE5BE1"/>
    <w:rsid w:val="00CE5CF6"/>
    <w:rsid w:val="00CE60FA"/>
    <w:rsid w:val="00CE6450"/>
    <w:rsid w:val="00CE6532"/>
    <w:rsid w:val="00CE65DC"/>
    <w:rsid w:val="00CE6C3C"/>
    <w:rsid w:val="00CE6FB5"/>
    <w:rsid w:val="00CE70BC"/>
    <w:rsid w:val="00CE747A"/>
    <w:rsid w:val="00CE7C59"/>
    <w:rsid w:val="00CF0025"/>
    <w:rsid w:val="00CF022E"/>
    <w:rsid w:val="00CF02DD"/>
    <w:rsid w:val="00CF056C"/>
    <w:rsid w:val="00CF07FD"/>
    <w:rsid w:val="00CF09CA"/>
    <w:rsid w:val="00CF0C3F"/>
    <w:rsid w:val="00CF0F62"/>
    <w:rsid w:val="00CF1153"/>
    <w:rsid w:val="00CF115E"/>
    <w:rsid w:val="00CF13AC"/>
    <w:rsid w:val="00CF1703"/>
    <w:rsid w:val="00CF1CF7"/>
    <w:rsid w:val="00CF1F3B"/>
    <w:rsid w:val="00CF201A"/>
    <w:rsid w:val="00CF20F7"/>
    <w:rsid w:val="00CF2278"/>
    <w:rsid w:val="00CF22F8"/>
    <w:rsid w:val="00CF2B68"/>
    <w:rsid w:val="00CF2D3A"/>
    <w:rsid w:val="00CF2D85"/>
    <w:rsid w:val="00CF3016"/>
    <w:rsid w:val="00CF33CC"/>
    <w:rsid w:val="00CF33EB"/>
    <w:rsid w:val="00CF357F"/>
    <w:rsid w:val="00CF358F"/>
    <w:rsid w:val="00CF3612"/>
    <w:rsid w:val="00CF3B45"/>
    <w:rsid w:val="00CF3C53"/>
    <w:rsid w:val="00CF42E9"/>
    <w:rsid w:val="00CF43A5"/>
    <w:rsid w:val="00CF4993"/>
    <w:rsid w:val="00CF5025"/>
    <w:rsid w:val="00CF5067"/>
    <w:rsid w:val="00CF5208"/>
    <w:rsid w:val="00CF5342"/>
    <w:rsid w:val="00CF57D6"/>
    <w:rsid w:val="00CF5F43"/>
    <w:rsid w:val="00CF60AA"/>
    <w:rsid w:val="00CF614C"/>
    <w:rsid w:val="00CF62A9"/>
    <w:rsid w:val="00CF664F"/>
    <w:rsid w:val="00CF6CC2"/>
    <w:rsid w:val="00CF73BB"/>
    <w:rsid w:val="00CF742D"/>
    <w:rsid w:val="00CF7904"/>
    <w:rsid w:val="00CF79C6"/>
    <w:rsid w:val="00CF7A51"/>
    <w:rsid w:val="00CF7C14"/>
    <w:rsid w:val="00D002CF"/>
    <w:rsid w:val="00D00907"/>
    <w:rsid w:val="00D00AC9"/>
    <w:rsid w:val="00D00AFB"/>
    <w:rsid w:val="00D00D84"/>
    <w:rsid w:val="00D011C6"/>
    <w:rsid w:val="00D01374"/>
    <w:rsid w:val="00D016C6"/>
    <w:rsid w:val="00D01BF7"/>
    <w:rsid w:val="00D01E1B"/>
    <w:rsid w:val="00D021AB"/>
    <w:rsid w:val="00D023A5"/>
    <w:rsid w:val="00D0256C"/>
    <w:rsid w:val="00D026CE"/>
    <w:rsid w:val="00D02726"/>
    <w:rsid w:val="00D028E2"/>
    <w:rsid w:val="00D02C34"/>
    <w:rsid w:val="00D02EF6"/>
    <w:rsid w:val="00D02F7F"/>
    <w:rsid w:val="00D03109"/>
    <w:rsid w:val="00D03492"/>
    <w:rsid w:val="00D0396B"/>
    <w:rsid w:val="00D03DDF"/>
    <w:rsid w:val="00D03E4C"/>
    <w:rsid w:val="00D03E99"/>
    <w:rsid w:val="00D03F7B"/>
    <w:rsid w:val="00D04158"/>
    <w:rsid w:val="00D04277"/>
    <w:rsid w:val="00D04CF6"/>
    <w:rsid w:val="00D04EDE"/>
    <w:rsid w:val="00D04FE7"/>
    <w:rsid w:val="00D054A9"/>
    <w:rsid w:val="00D05534"/>
    <w:rsid w:val="00D05685"/>
    <w:rsid w:val="00D0591F"/>
    <w:rsid w:val="00D05ACD"/>
    <w:rsid w:val="00D05C8A"/>
    <w:rsid w:val="00D05E83"/>
    <w:rsid w:val="00D05F89"/>
    <w:rsid w:val="00D05FFF"/>
    <w:rsid w:val="00D06101"/>
    <w:rsid w:val="00D0662F"/>
    <w:rsid w:val="00D06ADA"/>
    <w:rsid w:val="00D06BBC"/>
    <w:rsid w:val="00D06BE1"/>
    <w:rsid w:val="00D06D60"/>
    <w:rsid w:val="00D0710F"/>
    <w:rsid w:val="00D073D5"/>
    <w:rsid w:val="00D075DE"/>
    <w:rsid w:val="00D0774C"/>
    <w:rsid w:val="00D07CAE"/>
    <w:rsid w:val="00D103ED"/>
    <w:rsid w:val="00D10653"/>
    <w:rsid w:val="00D10AD0"/>
    <w:rsid w:val="00D10CCE"/>
    <w:rsid w:val="00D10D57"/>
    <w:rsid w:val="00D11013"/>
    <w:rsid w:val="00D11139"/>
    <w:rsid w:val="00D1125A"/>
    <w:rsid w:val="00D11D79"/>
    <w:rsid w:val="00D11DD3"/>
    <w:rsid w:val="00D11F35"/>
    <w:rsid w:val="00D11F8E"/>
    <w:rsid w:val="00D12028"/>
    <w:rsid w:val="00D12158"/>
    <w:rsid w:val="00D121CB"/>
    <w:rsid w:val="00D122A3"/>
    <w:rsid w:val="00D123A2"/>
    <w:rsid w:val="00D128AD"/>
    <w:rsid w:val="00D12C3B"/>
    <w:rsid w:val="00D12DEB"/>
    <w:rsid w:val="00D12E09"/>
    <w:rsid w:val="00D13275"/>
    <w:rsid w:val="00D13516"/>
    <w:rsid w:val="00D135D2"/>
    <w:rsid w:val="00D13F20"/>
    <w:rsid w:val="00D142E0"/>
    <w:rsid w:val="00D1453E"/>
    <w:rsid w:val="00D145AB"/>
    <w:rsid w:val="00D146FB"/>
    <w:rsid w:val="00D1481F"/>
    <w:rsid w:val="00D1516C"/>
    <w:rsid w:val="00D15208"/>
    <w:rsid w:val="00D15603"/>
    <w:rsid w:val="00D1567D"/>
    <w:rsid w:val="00D157EE"/>
    <w:rsid w:val="00D15B32"/>
    <w:rsid w:val="00D15CF3"/>
    <w:rsid w:val="00D15CFA"/>
    <w:rsid w:val="00D160A7"/>
    <w:rsid w:val="00D162E4"/>
    <w:rsid w:val="00D163D2"/>
    <w:rsid w:val="00D1663E"/>
    <w:rsid w:val="00D169B2"/>
    <w:rsid w:val="00D16AB3"/>
    <w:rsid w:val="00D16AB6"/>
    <w:rsid w:val="00D16BD6"/>
    <w:rsid w:val="00D16E24"/>
    <w:rsid w:val="00D16E67"/>
    <w:rsid w:val="00D16F5D"/>
    <w:rsid w:val="00D173E1"/>
    <w:rsid w:val="00D17B5B"/>
    <w:rsid w:val="00D17F27"/>
    <w:rsid w:val="00D20239"/>
    <w:rsid w:val="00D20434"/>
    <w:rsid w:val="00D2068B"/>
    <w:rsid w:val="00D20FB0"/>
    <w:rsid w:val="00D21032"/>
    <w:rsid w:val="00D21549"/>
    <w:rsid w:val="00D21ABB"/>
    <w:rsid w:val="00D221E1"/>
    <w:rsid w:val="00D223A6"/>
    <w:rsid w:val="00D2265F"/>
    <w:rsid w:val="00D22CB2"/>
    <w:rsid w:val="00D22D14"/>
    <w:rsid w:val="00D22F65"/>
    <w:rsid w:val="00D23668"/>
    <w:rsid w:val="00D236BF"/>
    <w:rsid w:val="00D23EC2"/>
    <w:rsid w:val="00D242E0"/>
    <w:rsid w:val="00D243B6"/>
    <w:rsid w:val="00D246D7"/>
    <w:rsid w:val="00D24805"/>
    <w:rsid w:val="00D24E46"/>
    <w:rsid w:val="00D24FE4"/>
    <w:rsid w:val="00D254DE"/>
    <w:rsid w:val="00D25934"/>
    <w:rsid w:val="00D25983"/>
    <w:rsid w:val="00D26327"/>
    <w:rsid w:val="00D26330"/>
    <w:rsid w:val="00D2667F"/>
    <w:rsid w:val="00D26823"/>
    <w:rsid w:val="00D26987"/>
    <w:rsid w:val="00D26C3E"/>
    <w:rsid w:val="00D274A4"/>
    <w:rsid w:val="00D2781C"/>
    <w:rsid w:val="00D27BC3"/>
    <w:rsid w:val="00D27F8E"/>
    <w:rsid w:val="00D30453"/>
    <w:rsid w:val="00D30825"/>
    <w:rsid w:val="00D308DE"/>
    <w:rsid w:val="00D309E3"/>
    <w:rsid w:val="00D30A67"/>
    <w:rsid w:val="00D30E65"/>
    <w:rsid w:val="00D30F75"/>
    <w:rsid w:val="00D3105C"/>
    <w:rsid w:val="00D310AB"/>
    <w:rsid w:val="00D310C9"/>
    <w:rsid w:val="00D31220"/>
    <w:rsid w:val="00D31741"/>
    <w:rsid w:val="00D31A1A"/>
    <w:rsid w:val="00D31E52"/>
    <w:rsid w:val="00D31EFC"/>
    <w:rsid w:val="00D3216D"/>
    <w:rsid w:val="00D3226E"/>
    <w:rsid w:val="00D32581"/>
    <w:rsid w:val="00D325E4"/>
    <w:rsid w:val="00D32603"/>
    <w:rsid w:val="00D32662"/>
    <w:rsid w:val="00D3293A"/>
    <w:rsid w:val="00D32C00"/>
    <w:rsid w:val="00D32C25"/>
    <w:rsid w:val="00D32C9D"/>
    <w:rsid w:val="00D33150"/>
    <w:rsid w:val="00D331CE"/>
    <w:rsid w:val="00D334AB"/>
    <w:rsid w:val="00D33E48"/>
    <w:rsid w:val="00D342D9"/>
    <w:rsid w:val="00D34A70"/>
    <w:rsid w:val="00D35088"/>
    <w:rsid w:val="00D35282"/>
    <w:rsid w:val="00D3539D"/>
    <w:rsid w:val="00D3540B"/>
    <w:rsid w:val="00D35714"/>
    <w:rsid w:val="00D358ED"/>
    <w:rsid w:val="00D35A2C"/>
    <w:rsid w:val="00D35D01"/>
    <w:rsid w:val="00D35D03"/>
    <w:rsid w:val="00D36514"/>
    <w:rsid w:val="00D36A56"/>
    <w:rsid w:val="00D36F51"/>
    <w:rsid w:val="00D36F7E"/>
    <w:rsid w:val="00D36FDA"/>
    <w:rsid w:val="00D37186"/>
    <w:rsid w:val="00D3767C"/>
    <w:rsid w:val="00D377B5"/>
    <w:rsid w:val="00D37D1F"/>
    <w:rsid w:val="00D37EA1"/>
    <w:rsid w:val="00D37EC9"/>
    <w:rsid w:val="00D4057D"/>
    <w:rsid w:val="00D405B3"/>
    <w:rsid w:val="00D40623"/>
    <w:rsid w:val="00D408E7"/>
    <w:rsid w:val="00D40ACC"/>
    <w:rsid w:val="00D40E52"/>
    <w:rsid w:val="00D41693"/>
    <w:rsid w:val="00D4170C"/>
    <w:rsid w:val="00D417BE"/>
    <w:rsid w:val="00D41A58"/>
    <w:rsid w:val="00D41D3D"/>
    <w:rsid w:val="00D4231F"/>
    <w:rsid w:val="00D4296E"/>
    <w:rsid w:val="00D42B22"/>
    <w:rsid w:val="00D42CD9"/>
    <w:rsid w:val="00D42D4E"/>
    <w:rsid w:val="00D42E64"/>
    <w:rsid w:val="00D43172"/>
    <w:rsid w:val="00D433E7"/>
    <w:rsid w:val="00D4363D"/>
    <w:rsid w:val="00D43886"/>
    <w:rsid w:val="00D43E05"/>
    <w:rsid w:val="00D4420B"/>
    <w:rsid w:val="00D444BE"/>
    <w:rsid w:val="00D448E0"/>
    <w:rsid w:val="00D44C95"/>
    <w:rsid w:val="00D44C9B"/>
    <w:rsid w:val="00D44CCF"/>
    <w:rsid w:val="00D44F18"/>
    <w:rsid w:val="00D45130"/>
    <w:rsid w:val="00D45234"/>
    <w:rsid w:val="00D452A1"/>
    <w:rsid w:val="00D45C81"/>
    <w:rsid w:val="00D45FE2"/>
    <w:rsid w:val="00D462D4"/>
    <w:rsid w:val="00D464D8"/>
    <w:rsid w:val="00D46CD9"/>
    <w:rsid w:val="00D46CF4"/>
    <w:rsid w:val="00D470EC"/>
    <w:rsid w:val="00D471A8"/>
    <w:rsid w:val="00D47387"/>
    <w:rsid w:val="00D4749D"/>
    <w:rsid w:val="00D474DC"/>
    <w:rsid w:val="00D4787E"/>
    <w:rsid w:val="00D47892"/>
    <w:rsid w:val="00D47BD4"/>
    <w:rsid w:val="00D47C93"/>
    <w:rsid w:val="00D47F75"/>
    <w:rsid w:val="00D50C49"/>
    <w:rsid w:val="00D51430"/>
    <w:rsid w:val="00D51A3F"/>
    <w:rsid w:val="00D51B1A"/>
    <w:rsid w:val="00D522E3"/>
    <w:rsid w:val="00D523FE"/>
    <w:rsid w:val="00D5248A"/>
    <w:rsid w:val="00D52B79"/>
    <w:rsid w:val="00D52FD9"/>
    <w:rsid w:val="00D5301D"/>
    <w:rsid w:val="00D5333B"/>
    <w:rsid w:val="00D53577"/>
    <w:rsid w:val="00D53591"/>
    <w:rsid w:val="00D53F50"/>
    <w:rsid w:val="00D541E9"/>
    <w:rsid w:val="00D54FD7"/>
    <w:rsid w:val="00D5500A"/>
    <w:rsid w:val="00D55239"/>
    <w:rsid w:val="00D55257"/>
    <w:rsid w:val="00D55397"/>
    <w:rsid w:val="00D554C1"/>
    <w:rsid w:val="00D55839"/>
    <w:rsid w:val="00D55DD7"/>
    <w:rsid w:val="00D561E6"/>
    <w:rsid w:val="00D56434"/>
    <w:rsid w:val="00D56581"/>
    <w:rsid w:val="00D56BA6"/>
    <w:rsid w:val="00D56D9A"/>
    <w:rsid w:val="00D56E26"/>
    <w:rsid w:val="00D57276"/>
    <w:rsid w:val="00D57534"/>
    <w:rsid w:val="00D57578"/>
    <w:rsid w:val="00D575FB"/>
    <w:rsid w:val="00D578BF"/>
    <w:rsid w:val="00D578C0"/>
    <w:rsid w:val="00D57974"/>
    <w:rsid w:val="00D57A54"/>
    <w:rsid w:val="00D57C6F"/>
    <w:rsid w:val="00D57E79"/>
    <w:rsid w:val="00D60309"/>
    <w:rsid w:val="00D6048C"/>
    <w:rsid w:val="00D60783"/>
    <w:rsid w:val="00D60896"/>
    <w:rsid w:val="00D60961"/>
    <w:rsid w:val="00D609E7"/>
    <w:rsid w:val="00D60C38"/>
    <w:rsid w:val="00D610D5"/>
    <w:rsid w:val="00D61190"/>
    <w:rsid w:val="00D61735"/>
    <w:rsid w:val="00D61A8A"/>
    <w:rsid w:val="00D62348"/>
    <w:rsid w:val="00D625BB"/>
    <w:rsid w:val="00D6289B"/>
    <w:rsid w:val="00D62AA2"/>
    <w:rsid w:val="00D62EF6"/>
    <w:rsid w:val="00D632BC"/>
    <w:rsid w:val="00D6377B"/>
    <w:rsid w:val="00D63BCA"/>
    <w:rsid w:val="00D63CA0"/>
    <w:rsid w:val="00D63D73"/>
    <w:rsid w:val="00D641F6"/>
    <w:rsid w:val="00D6421D"/>
    <w:rsid w:val="00D646B7"/>
    <w:rsid w:val="00D649AB"/>
    <w:rsid w:val="00D64A0E"/>
    <w:rsid w:val="00D65001"/>
    <w:rsid w:val="00D650CC"/>
    <w:rsid w:val="00D65306"/>
    <w:rsid w:val="00D653A8"/>
    <w:rsid w:val="00D65997"/>
    <w:rsid w:val="00D659DB"/>
    <w:rsid w:val="00D65A22"/>
    <w:rsid w:val="00D6634E"/>
    <w:rsid w:val="00D66684"/>
    <w:rsid w:val="00D667C8"/>
    <w:rsid w:val="00D66830"/>
    <w:rsid w:val="00D66926"/>
    <w:rsid w:val="00D6692F"/>
    <w:rsid w:val="00D66B63"/>
    <w:rsid w:val="00D66BBA"/>
    <w:rsid w:val="00D66E5A"/>
    <w:rsid w:val="00D67A8A"/>
    <w:rsid w:val="00D70310"/>
    <w:rsid w:val="00D703F6"/>
    <w:rsid w:val="00D70787"/>
    <w:rsid w:val="00D7097B"/>
    <w:rsid w:val="00D70B9D"/>
    <w:rsid w:val="00D70D8E"/>
    <w:rsid w:val="00D712A5"/>
    <w:rsid w:val="00D7174E"/>
    <w:rsid w:val="00D71D90"/>
    <w:rsid w:val="00D727A9"/>
    <w:rsid w:val="00D729CD"/>
    <w:rsid w:val="00D72B87"/>
    <w:rsid w:val="00D72D99"/>
    <w:rsid w:val="00D72E6B"/>
    <w:rsid w:val="00D73F12"/>
    <w:rsid w:val="00D7405B"/>
    <w:rsid w:val="00D74522"/>
    <w:rsid w:val="00D74B1B"/>
    <w:rsid w:val="00D74FB2"/>
    <w:rsid w:val="00D7534B"/>
    <w:rsid w:val="00D754F4"/>
    <w:rsid w:val="00D75DC0"/>
    <w:rsid w:val="00D7626B"/>
    <w:rsid w:val="00D76764"/>
    <w:rsid w:val="00D76810"/>
    <w:rsid w:val="00D76E37"/>
    <w:rsid w:val="00D7715E"/>
    <w:rsid w:val="00D771C3"/>
    <w:rsid w:val="00D77363"/>
    <w:rsid w:val="00D77411"/>
    <w:rsid w:val="00D77774"/>
    <w:rsid w:val="00D77B27"/>
    <w:rsid w:val="00D77C9A"/>
    <w:rsid w:val="00D77CFE"/>
    <w:rsid w:val="00D801DB"/>
    <w:rsid w:val="00D801EF"/>
    <w:rsid w:val="00D80951"/>
    <w:rsid w:val="00D80A13"/>
    <w:rsid w:val="00D80E76"/>
    <w:rsid w:val="00D810C3"/>
    <w:rsid w:val="00D8113E"/>
    <w:rsid w:val="00D81157"/>
    <w:rsid w:val="00D81361"/>
    <w:rsid w:val="00D81A35"/>
    <w:rsid w:val="00D81A6C"/>
    <w:rsid w:val="00D81C6F"/>
    <w:rsid w:val="00D81CD7"/>
    <w:rsid w:val="00D81DF4"/>
    <w:rsid w:val="00D81F13"/>
    <w:rsid w:val="00D82132"/>
    <w:rsid w:val="00D8216E"/>
    <w:rsid w:val="00D82256"/>
    <w:rsid w:val="00D82586"/>
    <w:rsid w:val="00D825D1"/>
    <w:rsid w:val="00D82804"/>
    <w:rsid w:val="00D82818"/>
    <w:rsid w:val="00D82928"/>
    <w:rsid w:val="00D82985"/>
    <w:rsid w:val="00D829AF"/>
    <w:rsid w:val="00D82B3C"/>
    <w:rsid w:val="00D82C05"/>
    <w:rsid w:val="00D82E39"/>
    <w:rsid w:val="00D833F0"/>
    <w:rsid w:val="00D83542"/>
    <w:rsid w:val="00D83605"/>
    <w:rsid w:val="00D8398F"/>
    <w:rsid w:val="00D83D40"/>
    <w:rsid w:val="00D83E21"/>
    <w:rsid w:val="00D84062"/>
    <w:rsid w:val="00D84493"/>
    <w:rsid w:val="00D8450B"/>
    <w:rsid w:val="00D846D1"/>
    <w:rsid w:val="00D84793"/>
    <w:rsid w:val="00D84F5A"/>
    <w:rsid w:val="00D85016"/>
    <w:rsid w:val="00D854B0"/>
    <w:rsid w:val="00D8555A"/>
    <w:rsid w:val="00D8565E"/>
    <w:rsid w:val="00D85821"/>
    <w:rsid w:val="00D85F39"/>
    <w:rsid w:val="00D86154"/>
    <w:rsid w:val="00D86291"/>
    <w:rsid w:val="00D8663E"/>
    <w:rsid w:val="00D86737"/>
    <w:rsid w:val="00D8679D"/>
    <w:rsid w:val="00D868B5"/>
    <w:rsid w:val="00D86D84"/>
    <w:rsid w:val="00D872C7"/>
    <w:rsid w:val="00D8764E"/>
    <w:rsid w:val="00D87CA8"/>
    <w:rsid w:val="00D90074"/>
    <w:rsid w:val="00D903E8"/>
    <w:rsid w:val="00D906F2"/>
    <w:rsid w:val="00D9089E"/>
    <w:rsid w:val="00D9099D"/>
    <w:rsid w:val="00D90A8E"/>
    <w:rsid w:val="00D90D9C"/>
    <w:rsid w:val="00D90D9F"/>
    <w:rsid w:val="00D90DC2"/>
    <w:rsid w:val="00D90EB3"/>
    <w:rsid w:val="00D90FDA"/>
    <w:rsid w:val="00D913B0"/>
    <w:rsid w:val="00D913FD"/>
    <w:rsid w:val="00D917F3"/>
    <w:rsid w:val="00D9189E"/>
    <w:rsid w:val="00D91B3A"/>
    <w:rsid w:val="00D92022"/>
    <w:rsid w:val="00D923CF"/>
    <w:rsid w:val="00D9252A"/>
    <w:rsid w:val="00D92532"/>
    <w:rsid w:val="00D92785"/>
    <w:rsid w:val="00D927B3"/>
    <w:rsid w:val="00D929D7"/>
    <w:rsid w:val="00D92B44"/>
    <w:rsid w:val="00D92E45"/>
    <w:rsid w:val="00D92F26"/>
    <w:rsid w:val="00D9304F"/>
    <w:rsid w:val="00D93227"/>
    <w:rsid w:val="00D93319"/>
    <w:rsid w:val="00D935EB"/>
    <w:rsid w:val="00D9373B"/>
    <w:rsid w:val="00D93746"/>
    <w:rsid w:val="00D937A3"/>
    <w:rsid w:val="00D93BFE"/>
    <w:rsid w:val="00D942DF"/>
    <w:rsid w:val="00D94C3A"/>
    <w:rsid w:val="00D95189"/>
    <w:rsid w:val="00D954A3"/>
    <w:rsid w:val="00D95544"/>
    <w:rsid w:val="00D9578C"/>
    <w:rsid w:val="00D95F41"/>
    <w:rsid w:val="00D962B4"/>
    <w:rsid w:val="00D962DA"/>
    <w:rsid w:val="00D968CC"/>
    <w:rsid w:val="00D96972"/>
    <w:rsid w:val="00D96A79"/>
    <w:rsid w:val="00D96C3A"/>
    <w:rsid w:val="00D9744B"/>
    <w:rsid w:val="00D97544"/>
    <w:rsid w:val="00D97BC1"/>
    <w:rsid w:val="00D97E91"/>
    <w:rsid w:val="00DA008B"/>
    <w:rsid w:val="00DA0568"/>
    <w:rsid w:val="00DA09FB"/>
    <w:rsid w:val="00DA0A46"/>
    <w:rsid w:val="00DA0CFE"/>
    <w:rsid w:val="00DA0D3D"/>
    <w:rsid w:val="00DA0E12"/>
    <w:rsid w:val="00DA0E6B"/>
    <w:rsid w:val="00DA1222"/>
    <w:rsid w:val="00DA154E"/>
    <w:rsid w:val="00DA1638"/>
    <w:rsid w:val="00DA1946"/>
    <w:rsid w:val="00DA1C03"/>
    <w:rsid w:val="00DA1E71"/>
    <w:rsid w:val="00DA230C"/>
    <w:rsid w:val="00DA23E9"/>
    <w:rsid w:val="00DA24E6"/>
    <w:rsid w:val="00DA25A0"/>
    <w:rsid w:val="00DA25DC"/>
    <w:rsid w:val="00DA2C22"/>
    <w:rsid w:val="00DA2D15"/>
    <w:rsid w:val="00DA3654"/>
    <w:rsid w:val="00DA3ED2"/>
    <w:rsid w:val="00DA4278"/>
    <w:rsid w:val="00DA44CD"/>
    <w:rsid w:val="00DA47D0"/>
    <w:rsid w:val="00DA4866"/>
    <w:rsid w:val="00DA4867"/>
    <w:rsid w:val="00DA4AB7"/>
    <w:rsid w:val="00DA506C"/>
    <w:rsid w:val="00DA5A04"/>
    <w:rsid w:val="00DA5C2B"/>
    <w:rsid w:val="00DA5C43"/>
    <w:rsid w:val="00DA6085"/>
    <w:rsid w:val="00DA6124"/>
    <w:rsid w:val="00DA6168"/>
    <w:rsid w:val="00DA616C"/>
    <w:rsid w:val="00DA67D6"/>
    <w:rsid w:val="00DA6805"/>
    <w:rsid w:val="00DA684D"/>
    <w:rsid w:val="00DA6A37"/>
    <w:rsid w:val="00DA6E9C"/>
    <w:rsid w:val="00DA70E6"/>
    <w:rsid w:val="00DA7B4D"/>
    <w:rsid w:val="00DA7DA7"/>
    <w:rsid w:val="00DA7EDF"/>
    <w:rsid w:val="00DB0713"/>
    <w:rsid w:val="00DB07B7"/>
    <w:rsid w:val="00DB10F1"/>
    <w:rsid w:val="00DB11F7"/>
    <w:rsid w:val="00DB14ED"/>
    <w:rsid w:val="00DB1778"/>
    <w:rsid w:val="00DB1C77"/>
    <w:rsid w:val="00DB1D0D"/>
    <w:rsid w:val="00DB1E8D"/>
    <w:rsid w:val="00DB1E92"/>
    <w:rsid w:val="00DB1EE9"/>
    <w:rsid w:val="00DB1F8B"/>
    <w:rsid w:val="00DB2015"/>
    <w:rsid w:val="00DB23BB"/>
    <w:rsid w:val="00DB2451"/>
    <w:rsid w:val="00DB2978"/>
    <w:rsid w:val="00DB2B18"/>
    <w:rsid w:val="00DB2DF5"/>
    <w:rsid w:val="00DB2E49"/>
    <w:rsid w:val="00DB327E"/>
    <w:rsid w:val="00DB32BB"/>
    <w:rsid w:val="00DB34C7"/>
    <w:rsid w:val="00DB356D"/>
    <w:rsid w:val="00DB3666"/>
    <w:rsid w:val="00DB3801"/>
    <w:rsid w:val="00DB38B4"/>
    <w:rsid w:val="00DB39BC"/>
    <w:rsid w:val="00DB3CAE"/>
    <w:rsid w:val="00DB44D6"/>
    <w:rsid w:val="00DB46F7"/>
    <w:rsid w:val="00DB4736"/>
    <w:rsid w:val="00DB4771"/>
    <w:rsid w:val="00DB47B1"/>
    <w:rsid w:val="00DB4EED"/>
    <w:rsid w:val="00DB4FEA"/>
    <w:rsid w:val="00DB54C6"/>
    <w:rsid w:val="00DB5EF7"/>
    <w:rsid w:val="00DB6092"/>
    <w:rsid w:val="00DB65D1"/>
    <w:rsid w:val="00DB67A2"/>
    <w:rsid w:val="00DB6AB7"/>
    <w:rsid w:val="00DB6F82"/>
    <w:rsid w:val="00DB7126"/>
    <w:rsid w:val="00DB734F"/>
    <w:rsid w:val="00DB7471"/>
    <w:rsid w:val="00DB76EA"/>
    <w:rsid w:val="00DB7B7E"/>
    <w:rsid w:val="00DB7CC7"/>
    <w:rsid w:val="00DC01FB"/>
    <w:rsid w:val="00DC0435"/>
    <w:rsid w:val="00DC0688"/>
    <w:rsid w:val="00DC0A76"/>
    <w:rsid w:val="00DC0F08"/>
    <w:rsid w:val="00DC136C"/>
    <w:rsid w:val="00DC14A7"/>
    <w:rsid w:val="00DC170A"/>
    <w:rsid w:val="00DC1C09"/>
    <w:rsid w:val="00DC20A1"/>
    <w:rsid w:val="00DC2153"/>
    <w:rsid w:val="00DC261B"/>
    <w:rsid w:val="00DC2A8B"/>
    <w:rsid w:val="00DC2B81"/>
    <w:rsid w:val="00DC3688"/>
    <w:rsid w:val="00DC3823"/>
    <w:rsid w:val="00DC39A3"/>
    <w:rsid w:val="00DC3EBE"/>
    <w:rsid w:val="00DC3F41"/>
    <w:rsid w:val="00DC4072"/>
    <w:rsid w:val="00DC42A6"/>
    <w:rsid w:val="00DC43BD"/>
    <w:rsid w:val="00DC463D"/>
    <w:rsid w:val="00DC49E7"/>
    <w:rsid w:val="00DC5663"/>
    <w:rsid w:val="00DC595C"/>
    <w:rsid w:val="00DC597D"/>
    <w:rsid w:val="00DC59FA"/>
    <w:rsid w:val="00DC5AC2"/>
    <w:rsid w:val="00DC60A2"/>
    <w:rsid w:val="00DC6242"/>
    <w:rsid w:val="00DC62C0"/>
    <w:rsid w:val="00DC6412"/>
    <w:rsid w:val="00DC6615"/>
    <w:rsid w:val="00DC6A92"/>
    <w:rsid w:val="00DC6C94"/>
    <w:rsid w:val="00DC6F8D"/>
    <w:rsid w:val="00DC701B"/>
    <w:rsid w:val="00DC7CA1"/>
    <w:rsid w:val="00DD003C"/>
    <w:rsid w:val="00DD0054"/>
    <w:rsid w:val="00DD017A"/>
    <w:rsid w:val="00DD0275"/>
    <w:rsid w:val="00DD088D"/>
    <w:rsid w:val="00DD1149"/>
    <w:rsid w:val="00DD180A"/>
    <w:rsid w:val="00DD1948"/>
    <w:rsid w:val="00DD1A43"/>
    <w:rsid w:val="00DD2647"/>
    <w:rsid w:val="00DD267C"/>
    <w:rsid w:val="00DD2869"/>
    <w:rsid w:val="00DD286B"/>
    <w:rsid w:val="00DD2914"/>
    <w:rsid w:val="00DD2E0B"/>
    <w:rsid w:val="00DD3231"/>
    <w:rsid w:val="00DD3595"/>
    <w:rsid w:val="00DD35E3"/>
    <w:rsid w:val="00DD37DA"/>
    <w:rsid w:val="00DD37FB"/>
    <w:rsid w:val="00DD42D7"/>
    <w:rsid w:val="00DD44C4"/>
    <w:rsid w:val="00DD48EE"/>
    <w:rsid w:val="00DD49ED"/>
    <w:rsid w:val="00DD4A0E"/>
    <w:rsid w:val="00DD4EE2"/>
    <w:rsid w:val="00DD4FBA"/>
    <w:rsid w:val="00DD5055"/>
    <w:rsid w:val="00DD50B8"/>
    <w:rsid w:val="00DD51C9"/>
    <w:rsid w:val="00DD5267"/>
    <w:rsid w:val="00DD5297"/>
    <w:rsid w:val="00DD5697"/>
    <w:rsid w:val="00DD5781"/>
    <w:rsid w:val="00DD5E5B"/>
    <w:rsid w:val="00DD5FED"/>
    <w:rsid w:val="00DD695F"/>
    <w:rsid w:val="00DD6A90"/>
    <w:rsid w:val="00DD73F8"/>
    <w:rsid w:val="00DD753A"/>
    <w:rsid w:val="00DD7824"/>
    <w:rsid w:val="00DD790A"/>
    <w:rsid w:val="00DD7F66"/>
    <w:rsid w:val="00DE0177"/>
    <w:rsid w:val="00DE0198"/>
    <w:rsid w:val="00DE0606"/>
    <w:rsid w:val="00DE0CA3"/>
    <w:rsid w:val="00DE0D2C"/>
    <w:rsid w:val="00DE0DBE"/>
    <w:rsid w:val="00DE0E1F"/>
    <w:rsid w:val="00DE0FF2"/>
    <w:rsid w:val="00DE153D"/>
    <w:rsid w:val="00DE16B6"/>
    <w:rsid w:val="00DE1A89"/>
    <w:rsid w:val="00DE1BF2"/>
    <w:rsid w:val="00DE23F9"/>
    <w:rsid w:val="00DE2548"/>
    <w:rsid w:val="00DE29AF"/>
    <w:rsid w:val="00DE2D49"/>
    <w:rsid w:val="00DE2D62"/>
    <w:rsid w:val="00DE2EEC"/>
    <w:rsid w:val="00DE32D4"/>
    <w:rsid w:val="00DE38DD"/>
    <w:rsid w:val="00DE395C"/>
    <w:rsid w:val="00DE3C9A"/>
    <w:rsid w:val="00DE3D9A"/>
    <w:rsid w:val="00DE3DEF"/>
    <w:rsid w:val="00DE3E53"/>
    <w:rsid w:val="00DE4023"/>
    <w:rsid w:val="00DE4049"/>
    <w:rsid w:val="00DE40E8"/>
    <w:rsid w:val="00DE42B7"/>
    <w:rsid w:val="00DE46CA"/>
    <w:rsid w:val="00DE47C6"/>
    <w:rsid w:val="00DE4DA9"/>
    <w:rsid w:val="00DE5CA5"/>
    <w:rsid w:val="00DE5E19"/>
    <w:rsid w:val="00DE5F8E"/>
    <w:rsid w:val="00DE6380"/>
    <w:rsid w:val="00DE67CD"/>
    <w:rsid w:val="00DE6C58"/>
    <w:rsid w:val="00DE6D36"/>
    <w:rsid w:val="00DE75AB"/>
    <w:rsid w:val="00DE799A"/>
    <w:rsid w:val="00DE79EE"/>
    <w:rsid w:val="00DE7BF0"/>
    <w:rsid w:val="00DE7E2C"/>
    <w:rsid w:val="00DE7E5E"/>
    <w:rsid w:val="00DE7EA9"/>
    <w:rsid w:val="00DF01D6"/>
    <w:rsid w:val="00DF0542"/>
    <w:rsid w:val="00DF0A56"/>
    <w:rsid w:val="00DF0B36"/>
    <w:rsid w:val="00DF0C31"/>
    <w:rsid w:val="00DF0E43"/>
    <w:rsid w:val="00DF1388"/>
    <w:rsid w:val="00DF13BA"/>
    <w:rsid w:val="00DF1670"/>
    <w:rsid w:val="00DF1857"/>
    <w:rsid w:val="00DF19AE"/>
    <w:rsid w:val="00DF1DBC"/>
    <w:rsid w:val="00DF1F4A"/>
    <w:rsid w:val="00DF2210"/>
    <w:rsid w:val="00DF2521"/>
    <w:rsid w:val="00DF2FA4"/>
    <w:rsid w:val="00DF33B6"/>
    <w:rsid w:val="00DF3551"/>
    <w:rsid w:val="00DF365A"/>
    <w:rsid w:val="00DF3769"/>
    <w:rsid w:val="00DF3A79"/>
    <w:rsid w:val="00DF4035"/>
    <w:rsid w:val="00DF42FF"/>
    <w:rsid w:val="00DF4A38"/>
    <w:rsid w:val="00DF4CBF"/>
    <w:rsid w:val="00DF4F4B"/>
    <w:rsid w:val="00DF527B"/>
    <w:rsid w:val="00DF561D"/>
    <w:rsid w:val="00DF569B"/>
    <w:rsid w:val="00DF584F"/>
    <w:rsid w:val="00DF616C"/>
    <w:rsid w:val="00DF65B2"/>
    <w:rsid w:val="00DF672E"/>
    <w:rsid w:val="00DF68A8"/>
    <w:rsid w:val="00DF6A22"/>
    <w:rsid w:val="00DF6B12"/>
    <w:rsid w:val="00DF6F86"/>
    <w:rsid w:val="00DF7143"/>
    <w:rsid w:val="00DF73DD"/>
    <w:rsid w:val="00DF7477"/>
    <w:rsid w:val="00DF74CA"/>
    <w:rsid w:val="00DF74FC"/>
    <w:rsid w:val="00DF76B1"/>
    <w:rsid w:val="00DF76F0"/>
    <w:rsid w:val="00DF791A"/>
    <w:rsid w:val="00DF7AB6"/>
    <w:rsid w:val="00DF7AD9"/>
    <w:rsid w:val="00DF7EBB"/>
    <w:rsid w:val="00DF7FC8"/>
    <w:rsid w:val="00E002C7"/>
    <w:rsid w:val="00E00440"/>
    <w:rsid w:val="00E004BA"/>
    <w:rsid w:val="00E00F26"/>
    <w:rsid w:val="00E0154F"/>
    <w:rsid w:val="00E01990"/>
    <w:rsid w:val="00E01B1C"/>
    <w:rsid w:val="00E01C75"/>
    <w:rsid w:val="00E021F7"/>
    <w:rsid w:val="00E02442"/>
    <w:rsid w:val="00E026BA"/>
    <w:rsid w:val="00E02CAB"/>
    <w:rsid w:val="00E03099"/>
    <w:rsid w:val="00E03630"/>
    <w:rsid w:val="00E0371B"/>
    <w:rsid w:val="00E03993"/>
    <w:rsid w:val="00E03A3F"/>
    <w:rsid w:val="00E03B4B"/>
    <w:rsid w:val="00E03BB3"/>
    <w:rsid w:val="00E03DA2"/>
    <w:rsid w:val="00E03FC2"/>
    <w:rsid w:val="00E04067"/>
    <w:rsid w:val="00E04087"/>
    <w:rsid w:val="00E0420F"/>
    <w:rsid w:val="00E04533"/>
    <w:rsid w:val="00E045AA"/>
    <w:rsid w:val="00E04834"/>
    <w:rsid w:val="00E04DE5"/>
    <w:rsid w:val="00E04F26"/>
    <w:rsid w:val="00E0542B"/>
    <w:rsid w:val="00E0542F"/>
    <w:rsid w:val="00E05A21"/>
    <w:rsid w:val="00E05D4B"/>
    <w:rsid w:val="00E05E61"/>
    <w:rsid w:val="00E05F63"/>
    <w:rsid w:val="00E06489"/>
    <w:rsid w:val="00E064CC"/>
    <w:rsid w:val="00E069A2"/>
    <w:rsid w:val="00E06ADE"/>
    <w:rsid w:val="00E06E90"/>
    <w:rsid w:val="00E070B2"/>
    <w:rsid w:val="00E0737C"/>
    <w:rsid w:val="00E07456"/>
    <w:rsid w:val="00E07514"/>
    <w:rsid w:val="00E075E8"/>
    <w:rsid w:val="00E07A46"/>
    <w:rsid w:val="00E07B2D"/>
    <w:rsid w:val="00E07C4C"/>
    <w:rsid w:val="00E07EBB"/>
    <w:rsid w:val="00E10106"/>
    <w:rsid w:val="00E10124"/>
    <w:rsid w:val="00E103F5"/>
    <w:rsid w:val="00E10693"/>
    <w:rsid w:val="00E10F80"/>
    <w:rsid w:val="00E1169C"/>
    <w:rsid w:val="00E11770"/>
    <w:rsid w:val="00E11D00"/>
    <w:rsid w:val="00E11F59"/>
    <w:rsid w:val="00E12614"/>
    <w:rsid w:val="00E12918"/>
    <w:rsid w:val="00E129E4"/>
    <w:rsid w:val="00E129FC"/>
    <w:rsid w:val="00E12D44"/>
    <w:rsid w:val="00E13264"/>
    <w:rsid w:val="00E13332"/>
    <w:rsid w:val="00E136F1"/>
    <w:rsid w:val="00E138B4"/>
    <w:rsid w:val="00E13C2E"/>
    <w:rsid w:val="00E13C44"/>
    <w:rsid w:val="00E13DAE"/>
    <w:rsid w:val="00E14411"/>
    <w:rsid w:val="00E1478A"/>
    <w:rsid w:val="00E14B4D"/>
    <w:rsid w:val="00E14CF1"/>
    <w:rsid w:val="00E14D2C"/>
    <w:rsid w:val="00E14DC2"/>
    <w:rsid w:val="00E1513A"/>
    <w:rsid w:val="00E151BD"/>
    <w:rsid w:val="00E15E7E"/>
    <w:rsid w:val="00E16086"/>
    <w:rsid w:val="00E1654F"/>
    <w:rsid w:val="00E166F8"/>
    <w:rsid w:val="00E167AD"/>
    <w:rsid w:val="00E16F26"/>
    <w:rsid w:val="00E17039"/>
    <w:rsid w:val="00E17095"/>
    <w:rsid w:val="00E173DC"/>
    <w:rsid w:val="00E1741B"/>
    <w:rsid w:val="00E174B4"/>
    <w:rsid w:val="00E17532"/>
    <w:rsid w:val="00E17953"/>
    <w:rsid w:val="00E17DB3"/>
    <w:rsid w:val="00E2019A"/>
    <w:rsid w:val="00E201C0"/>
    <w:rsid w:val="00E203AE"/>
    <w:rsid w:val="00E2041C"/>
    <w:rsid w:val="00E20589"/>
    <w:rsid w:val="00E20746"/>
    <w:rsid w:val="00E20AB5"/>
    <w:rsid w:val="00E20F26"/>
    <w:rsid w:val="00E210A7"/>
    <w:rsid w:val="00E21185"/>
    <w:rsid w:val="00E21314"/>
    <w:rsid w:val="00E213D8"/>
    <w:rsid w:val="00E213F4"/>
    <w:rsid w:val="00E21558"/>
    <w:rsid w:val="00E21972"/>
    <w:rsid w:val="00E21E43"/>
    <w:rsid w:val="00E220D0"/>
    <w:rsid w:val="00E2221C"/>
    <w:rsid w:val="00E2222D"/>
    <w:rsid w:val="00E22D13"/>
    <w:rsid w:val="00E232BC"/>
    <w:rsid w:val="00E23337"/>
    <w:rsid w:val="00E23338"/>
    <w:rsid w:val="00E234C9"/>
    <w:rsid w:val="00E236B6"/>
    <w:rsid w:val="00E238A7"/>
    <w:rsid w:val="00E23D66"/>
    <w:rsid w:val="00E24011"/>
    <w:rsid w:val="00E2450E"/>
    <w:rsid w:val="00E24E88"/>
    <w:rsid w:val="00E25053"/>
    <w:rsid w:val="00E250FB"/>
    <w:rsid w:val="00E25184"/>
    <w:rsid w:val="00E252BC"/>
    <w:rsid w:val="00E253EF"/>
    <w:rsid w:val="00E25413"/>
    <w:rsid w:val="00E25451"/>
    <w:rsid w:val="00E257B3"/>
    <w:rsid w:val="00E25959"/>
    <w:rsid w:val="00E25DB0"/>
    <w:rsid w:val="00E26122"/>
    <w:rsid w:val="00E2623A"/>
    <w:rsid w:val="00E2634A"/>
    <w:rsid w:val="00E2641C"/>
    <w:rsid w:val="00E2662E"/>
    <w:rsid w:val="00E266B6"/>
    <w:rsid w:val="00E27272"/>
    <w:rsid w:val="00E27278"/>
    <w:rsid w:val="00E274C4"/>
    <w:rsid w:val="00E27C43"/>
    <w:rsid w:val="00E27CBB"/>
    <w:rsid w:val="00E27DA1"/>
    <w:rsid w:val="00E27F1B"/>
    <w:rsid w:val="00E27F46"/>
    <w:rsid w:val="00E27FA9"/>
    <w:rsid w:val="00E309A9"/>
    <w:rsid w:val="00E30C15"/>
    <w:rsid w:val="00E30DE1"/>
    <w:rsid w:val="00E31563"/>
    <w:rsid w:val="00E31807"/>
    <w:rsid w:val="00E319B5"/>
    <w:rsid w:val="00E328D0"/>
    <w:rsid w:val="00E328D6"/>
    <w:rsid w:val="00E32EFA"/>
    <w:rsid w:val="00E33396"/>
    <w:rsid w:val="00E333F3"/>
    <w:rsid w:val="00E3358A"/>
    <w:rsid w:val="00E3385E"/>
    <w:rsid w:val="00E33D2F"/>
    <w:rsid w:val="00E33D7D"/>
    <w:rsid w:val="00E33E27"/>
    <w:rsid w:val="00E33F23"/>
    <w:rsid w:val="00E33F76"/>
    <w:rsid w:val="00E34046"/>
    <w:rsid w:val="00E34217"/>
    <w:rsid w:val="00E343C5"/>
    <w:rsid w:val="00E34642"/>
    <w:rsid w:val="00E34926"/>
    <w:rsid w:val="00E34957"/>
    <w:rsid w:val="00E34A7E"/>
    <w:rsid w:val="00E34EBC"/>
    <w:rsid w:val="00E34FD9"/>
    <w:rsid w:val="00E351DA"/>
    <w:rsid w:val="00E355C2"/>
    <w:rsid w:val="00E35694"/>
    <w:rsid w:val="00E35BC6"/>
    <w:rsid w:val="00E35C27"/>
    <w:rsid w:val="00E35C7B"/>
    <w:rsid w:val="00E35CE6"/>
    <w:rsid w:val="00E35FDB"/>
    <w:rsid w:val="00E3625B"/>
    <w:rsid w:val="00E3692C"/>
    <w:rsid w:val="00E36B55"/>
    <w:rsid w:val="00E36C3F"/>
    <w:rsid w:val="00E36D2F"/>
    <w:rsid w:val="00E3700D"/>
    <w:rsid w:val="00E37187"/>
    <w:rsid w:val="00E3773E"/>
    <w:rsid w:val="00E378CC"/>
    <w:rsid w:val="00E40092"/>
    <w:rsid w:val="00E400B1"/>
    <w:rsid w:val="00E4046A"/>
    <w:rsid w:val="00E40653"/>
    <w:rsid w:val="00E40954"/>
    <w:rsid w:val="00E40A32"/>
    <w:rsid w:val="00E40B1F"/>
    <w:rsid w:val="00E40C1F"/>
    <w:rsid w:val="00E40EFC"/>
    <w:rsid w:val="00E41439"/>
    <w:rsid w:val="00E41949"/>
    <w:rsid w:val="00E41C09"/>
    <w:rsid w:val="00E420C1"/>
    <w:rsid w:val="00E420DD"/>
    <w:rsid w:val="00E42132"/>
    <w:rsid w:val="00E42205"/>
    <w:rsid w:val="00E425DC"/>
    <w:rsid w:val="00E42CE7"/>
    <w:rsid w:val="00E42D20"/>
    <w:rsid w:val="00E42FB5"/>
    <w:rsid w:val="00E43024"/>
    <w:rsid w:val="00E430BF"/>
    <w:rsid w:val="00E43234"/>
    <w:rsid w:val="00E43302"/>
    <w:rsid w:val="00E43AA0"/>
    <w:rsid w:val="00E43E9A"/>
    <w:rsid w:val="00E44690"/>
    <w:rsid w:val="00E448B5"/>
    <w:rsid w:val="00E44D36"/>
    <w:rsid w:val="00E45103"/>
    <w:rsid w:val="00E45268"/>
    <w:rsid w:val="00E4552C"/>
    <w:rsid w:val="00E45838"/>
    <w:rsid w:val="00E45953"/>
    <w:rsid w:val="00E459F3"/>
    <w:rsid w:val="00E45DDE"/>
    <w:rsid w:val="00E4608E"/>
    <w:rsid w:val="00E460FE"/>
    <w:rsid w:val="00E46670"/>
    <w:rsid w:val="00E46740"/>
    <w:rsid w:val="00E4683B"/>
    <w:rsid w:val="00E46C1C"/>
    <w:rsid w:val="00E46D52"/>
    <w:rsid w:val="00E46E1C"/>
    <w:rsid w:val="00E4735D"/>
    <w:rsid w:val="00E47653"/>
    <w:rsid w:val="00E4773E"/>
    <w:rsid w:val="00E47801"/>
    <w:rsid w:val="00E47854"/>
    <w:rsid w:val="00E47A78"/>
    <w:rsid w:val="00E47D09"/>
    <w:rsid w:val="00E47E89"/>
    <w:rsid w:val="00E47E8B"/>
    <w:rsid w:val="00E47EC7"/>
    <w:rsid w:val="00E502DE"/>
    <w:rsid w:val="00E502E5"/>
    <w:rsid w:val="00E5049E"/>
    <w:rsid w:val="00E504EE"/>
    <w:rsid w:val="00E505C8"/>
    <w:rsid w:val="00E5095C"/>
    <w:rsid w:val="00E50CE3"/>
    <w:rsid w:val="00E51341"/>
    <w:rsid w:val="00E51595"/>
    <w:rsid w:val="00E515D8"/>
    <w:rsid w:val="00E5167B"/>
    <w:rsid w:val="00E5185E"/>
    <w:rsid w:val="00E51BCF"/>
    <w:rsid w:val="00E51DB1"/>
    <w:rsid w:val="00E51DC0"/>
    <w:rsid w:val="00E51E42"/>
    <w:rsid w:val="00E52125"/>
    <w:rsid w:val="00E522D6"/>
    <w:rsid w:val="00E52408"/>
    <w:rsid w:val="00E524B8"/>
    <w:rsid w:val="00E5301C"/>
    <w:rsid w:val="00E53088"/>
    <w:rsid w:val="00E532D3"/>
    <w:rsid w:val="00E534FE"/>
    <w:rsid w:val="00E53657"/>
    <w:rsid w:val="00E5394E"/>
    <w:rsid w:val="00E53ABC"/>
    <w:rsid w:val="00E53F72"/>
    <w:rsid w:val="00E5403C"/>
    <w:rsid w:val="00E5481B"/>
    <w:rsid w:val="00E549F4"/>
    <w:rsid w:val="00E54A18"/>
    <w:rsid w:val="00E54FF3"/>
    <w:rsid w:val="00E55273"/>
    <w:rsid w:val="00E5538A"/>
    <w:rsid w:val="00E557E1"/>
    <w:rsid w:val="00E559CC"/>
    <w:rsid w:val="00E55A68"/>
    <w:rsid w:val="00E55B8E"/>
    <w:rsid w:val="00E55E17"/>
    <w:rsid w:val="00E5614E"/>
    <w:rsid w:val="00E561AA"/>
    <w:rsid w:val="00E56490"/>
    <w:rsid w:val="00E5656D"/>
    <w:rsid w:val="00E56BEE"/>
    <w:rsid w:val="00E56E60"/>
    <w:rsid w:val="00E56EF9"/>
    <w:rsid w:val="00E56F9E"/>
    <w:rsid w:val="00E56FEC"/>
    <w:rsid w:val="00E571D5"/>
    <w:rsid w:val="00E5743B"/>
    <w:rsid w:val="00E575C9"/>
    <w:rsid w:val="00E576C7"/>
    <w:rsid w:val="00E600B0"/>
    <w:rsid w:val="00E601DB"/>
    <w:rsid w:val="00E60617"/>
    <w:rsid w:val="00E60644"/>
    <w:rsid w:val="00E60668"/>
    <w:rsid w:val="00E6090F"/>
    <w:rsid w:val="00E60A05"/>
    <w:rsid w:val="00E60BD1"/>
    <w:rsid w:val="00E60CC0"/>
    <w:rsid w:val="00E60DB8"/>
    <w:rsid w:val="00E610BB"/>
    <w:rsid w:val="00E61196"/>
    <w:rsid w:val="00E612FF"/>
    <w:rsid w:val="00E61320"/>
    <w:rsid w:val="00E61D7C"/>
    <w:rsid w:val="00E62074"/>
    <w:rsid w:val="00E62157"/>
    <w:rsid w:val="00E623F1"/>
    <w:rsid w:val="00E62724"/>
    <w:rsid w:val="00E62952"/>
    <w:rsid w:val="00E6295D"/>
    <w:rsid w:val="00E629F4"/>
    <w:rsid w:val="00E62A5A"/>
    <w:rsid w:val="00E62DC8"/>
    <w:rsid w:val="00E62E39"/>
    <w:rsid w:val="00E63959"/>
    <w:rsid w:val="00E63B7E"/>
    <w:rsid w:val="00E63C66"/>
    <w:rsid w:val="00E63D7B"/>
    <w:rsid w:val="00E6404B"/>
    <w:rsid w:val="00E643FE"/>
    <w:rsid w:val="00E64920"/>
    <w:rsid w:val="00E65024"/>
    <w:rsid w:val="00E655E3"/>
    <w:rsid w:val="00E656C5"/>
    <w:rsid w:val="00E658AD"/>
    <w:rsid w:val="00E65A52"/>
    <w:rsid w:val="00E6611B"/>
    <w:rsid w:val="00E66449"/>
    <w:rsid w:val="00E6695C"/>
    <w:rsid w:val="00E66AE2"/>
    <w:rsid w:val="00E66D58"/>
    <w:rsid w:val="00E66F67"/>
    <w:rsid w:val="00E673B3"/>
    <w:rsid w:val="00E6742E"/>
    <w:rsid w:val="00E67B4A"/>
    <w:rsid w:val="00E706B4"/>
    <w:rsid w:val="00E70805"/>
    <w:rsid w:val="00E70A65"/>
    <w:rsid w:val="00E70AD6"/>
    <w:rsid w:val="00E70B76"/>
    <w:rsid w:val="00E70CDA"/>
    <w:rsid w:val="00E70E04"/>
    <w:rsid w:val="00E70E30"/>
    <w:rsid w:val="00E70FF9"/>
    <w:rsid w:val="00E711E1"/>
    <w:rsid w:val="00E712D8"/>
    <w:rsid w:val="00E714C1"/>
    <w:rsid w:val="00E717A7"/>
    <w:rsid w:val="00E71CBF"/>
    <w:rsid w:val="00E71E7E"/>
    <w:rsid w:val="00E724C9"/>
    <w:rsid w:val="00E72647"/>
    <w:rsid w:val="00E72932"/>
    <w:rsid w:val="00E72B2E"/>
    <w:rsid w:val="00E72E76"/>
    <w:rsid w:val="00E72F09"/>
    <w:rsid w:val="00E735A1"/>
    <w:rsid w:val="00E7395F"/>
    <w:rsid w:val="00E73C04"/>
    <w:rsid w:val="00E73D0C"/>
    <w:rsid w:val="00E741ED"/>
    <w:rsid w:val="00E743AB"/>
    <w:rsid w:val="00E743EF"/>
    <w:rsid w:val="00E745A5"/>
    <w:rsid w:val="00E74639"/>
    <w:rsid w:val="00E74701"/>
    <w:rsid w:val="00E74B15"/>
    <w:rsid w:val="00E74C8C"/>
    <w:rsid w:val="00E74F69"/>
    <w:rsid w:val="00E751A8"/>
    <w:rsid w:val="00E756BA"/>
    <w:rsid w:val="00E7579F"/>
    <w:rsid w:val="00E757DC"/>
    <w:rsid w:val="00E75E41"/>
    <w:rsid w:val="00E75E55"/>
    <w:rsid w:val="00E76174"/>
    <w:rsid w:val="00E76201"/>
    <w:rsid w:val="00E76833"/>
    <w:rsid w:val="00E76BFD"/>
    <w:rsid w:val="00E7737E"/>
    <w:rsid w:val="00E774D4"/>
    <w:rsid w:val="00E776C2"/>
    <w:rsid w:val="00E80067"/>
    <w:rsid w:val="00E8063C"/>
    <w:rsid w:val="00E806D4"/>
    <w:rsid w:val="00E8094A"/>
    <w:rsid w:val="00E80B57"/>
    <w:rsid w:val="00E80CE0"/>
    <w:rsid w:val="00E80EC3"/>
    <w:rsid w:val="00E81956"/>
    <w:rsid w:val="00E81991"/>
    <w:rsid w:val="00E81A58"/>
    <w:rsid w:val="00E81A67"/>
    <w:rsid w:val="00E82257"/>
    <w:rsid w:val="00E82762"/>
    <w:rsid w:val="00E829D3"/>
    <w:rsid w:val="00E82AEE"/>
    <w:rsid w:val="00E83033"/>
    <w:rsid w:val="00E835B3"/>
    <w:rsid w:val="00E837F6"/>
    <w:rsid w:val="00E838D7"/>
    <w:rsid w:val="00E83A6F"/>
    <w:rsid w:val="00E83ABB"/>
    <w:rsid w:val="00E83FA4"/>
    <w:rsid w:val="00E83FC7"/>
    <w:rsid w:val="00E849D6"/>
    <w:rsid w:val="00E84A68"/>
    <w:rsid w:val="00E84C63"/>
    <w:rsid w:val="00E84D42"/>
    <w:rsid w:val="00E855A9"/>
    <w:rsid w:val="00E855B4"/>
    <w:rsid w:val="00E86184"/>
    <w:rsid w:val="00E86260"/>
    <w:rsid w:val="00E8673F"/>
    <w:rsid w:val="00E86859"/>
    <w:rsid w:val="00E868DC"/>
    <w:rsid w:val="00E869C3"/>
    <w:rsid w:val="00E86B53"/>
    <w:rsid w:val="00E86DC3"/>
    <w:rsid w:val="00E86DDF"/>
    <w:rsid w:val="00E86F15"/>
    <w:rsid w:val="00E87108"/>
    <w:rsid w:val="00E87700"/>
    <w:rsid w:val="00E8782E"/>
    <w:rsid w:val="00E87BC4"/>
    <w:rsid w:val="00E87CDB"/>
    <w:rsid w:val="00E87DAA"/>
    <w:rsid w:val="00E87EA7"/>
    <w:rsid w:val="00E903F2"/>
    <w:rsid w:val="00E90AFE"/>
    <w:rsid w:val="00E90F71"/>
    <w:rsid w:val="00E91032"/>
    <w:rsid w:val="00E91640"/>
    <w:rsid w:val="00E91A86"/>
    <w:rsid w:val="00E91BA1"/>
    <w:rsid w:val="00E91C92"/>
    <w:rsid w:val="00E91EEB"/>
    <w:rsid w:val="00E92198"/>
    <w:rsid w:val="00E923F8"/>
    <w:rsid w:val="00E928E7"/>
    <w:rsid w:val="00E92909"/>
    <w:rsid w:val="00E92B78"/>
    <w:rsid w:val="00E92DB0"/>
    <w:rsid w:val="00E92E7F"/>
    <w:rsid w:val="00E92F1C"/>
    <w:rsid w:val="00E9348C"/>
    <w:rsid w:val="00E93793"/>
    <w:rsid w:val="00E93C1C"/>
    <w:rsid w:val="00E94128"/>
    <w:rsid w:val="00E94300"/>
    <w:rsid w:val="00E947F0"/>
    <w:rsid w:val="00E94CD3"/>
    <w:rsid w:val="00E94EC3"/>
    <w:rsid w:val="00E94FBB"/>
    <w:rsid w:val="00E950AF"/>
    <w:rsid w:val="00E956FD"/>
    <w:rsid w:val="00E95D0E"/>
    <w:rsid w:val="00E964C8"/>
    <w:rsid w:val="00E96583"/>
    <w:rsid w:val="00E9661F"/>
    <w:rsid w:val="00E96829"/>
    <w:rsid w:val="00E96913"/>
    <w:rsid w:val="00E96BCD"/>
    <w:rsid w:val="00E96D01"/>
    <w:rsid w:val="00E9731F"/>
    <w:rsid w:val="00E97367"/>
    <w:rsid w:val="00E973AE"/>
    <w:rsid w:val="00E97560"/>
    <w:rsid w:val="00E97857"/>
    <w:rsid w:val="00E979AF"/>
    <w:rsid w:val="00E97BB6"/>
    <w:rsid w:val="00E97D57"/>
    <w:rsid w:val="00E97FCF"/>
    <w:rsid w:val="00EA0325"/>
    <w:rsid w:val="00EA0555"/>
    <w:rsid w:val="00EA06ED"/>
    <w:rsid w:val="00EA0BF2"/>
    <w:rsid w:val="00EA0FF3"/>
    <w:rsid w:val="00EA12D5"/>
    <w:rsid w:val="00EA133D"/>
    <w:rsid w:val="00EA1917"/>
    <w:rsid w:val="00EA1EC6"/>
    <w:rsid w:val="00EA26D1"/>
    <w:rsid w:val="00EA27CC"/>
    <w:rsid w:val="00EA2E06"/>
    <w:rsid w:val="00EA3054"/>
    <w:rsid w:val="00EA3396"/>
    <w:rsid w:val="00EA34F9"/>
    <w:rsid w:val="00EA36D5"/>
    <w:rsid w:val="00EA3755"/>
    <w:rsid w:val="00EA3BD5"/>
    <w:rsid w:val="00EA3F8C"/>
    <w:rsid w:val="00EA41E4"/>
    <w:rsid w:val="00EA484B"/>
    <w:rsid w:val="00EA487C"/>
    <w:rsid w:val="00EA4A88"/>
    <w:rsid w:val="00EA4B0E"/>
    <w:rsid w:val="00EA4F3D"/>
    <w:rsid w:val="00EA4FD7"/>
    <w:rsid w:val="00EA5029"/>
    <w:rsid w:val="00EA514B"/>
    <w:rsid w:val="00EA5359"/>
    <w:rsid w:val="00EA5493"/>
    <w:rsid w:val="00EA5506"/>
    <w:rsid w:val="00EA577B"/>
    <w:rsid w:val="00EA58ED"/>
    <w:rsid w:val="00EA5E5D"/>
    <w:rsid w:val="00EA619F"/>
    <w:rsid w:val="00EA65AB"/>
    <w:rsid w:val="00EA6AFB"/>
    <w:rsid w:val="00EA6BB3"/>
    <w:rsid w:val="00EA6C64"/>
    <w:rsid w:val="00EA6C66"/>
    <w:rsid w:val="00EA7113"/>
    <w:rsid w:val="00EA7835"/>
    <w:rsid w:val="00EA7B71"/>
    <w:rsid w:val="00EA7DAF"/>
    <w:rsid w:val="00EB0309"/>
    <w:rsid w:val="00EB04AA"/>
    <w:rsid w:val="00EB0A7B"/>
    <w:rsid w:val="00EB100A"/>
    <w:rsid w:val="00EB14C5"/>
    <w:rsid w:val="00EB1921"/>
    <w:rsid w:val="00EB1AD4"/>
    <w:rsid w:val="00EB1CE4"/>
    <w:rsid w:val="00EB1DE3"/>
    <w:rsid w:val="00EB20C1"/>
    <w:rsid w:val="00EB20F3"/>
    <w:rsid w:val="00EB2220"/>
    <w:rsid w:val="00EB2530"/>
    <w:rsid w:val="00EB273B"/>
    <w:rsid w:val="00EB27A2"/>
    <w:rsid w:val="00EB27C7"/>
    <w:rsid w:val="00EB2A23"/>
    <w:rsid w:val="00EB32BF"/>
    <w:rsid w:val="00EB371B"/>
    <w:rsid w:val="00EB3BF7"/>
    <w:rsid w:val="00EB432C"/>
    <w:rsid w:val="00EB4962"/>
    <w:rsid w:val="00EB49E1"/>
    <w:rsid w:val="00EB4CF8"/>
    <w:rsid w:val="00EB4F33"/>
    <w:rsid w:val="00EB53D1"/>
    <w:rsid w:val="00EB545D"/>
    <w:rsid w:val="00EB577A"/>
    <w:rsid w:val="00EB5E0D"/>
    <w:rsid w:val="00EB6006"/>
    <w:rsid w:val="00EB63B7"/>
    <w:rsid w:val="00EB63F6"/>
    <w:rsid w:val="00EB694A"/>
    <w:rsid w:val="00EB6A14"/>
    <w:rsid w:val="00EB6A86"/>
    <w:rsid w:val="00EB6B00"/>
    <w:rsid w:val="00EB6C8E"/>
    <w:rsid w:val="00EB6DF9"/>
    <w:rsid w:val="00EB6F91"/>
    <w:rsid w:val="00EB782D"/>
    <w:rsid w:val="00EB7885"/>
    <w:rsid w:val="00EB7AA4"/>
    <w:rsid w:val="00EB7AAE"/>
    <w:rsid w:val="00EB7B39"/>
    <w:rsid w:val="00EB7F33"/>
    <w:rsid w:val="00EC06AB"/>
    <w:rsid w:val="00EC0CE9"/>
    <w:rsid w:val="00EC0E3E"/>
    <w:rsid w:val="00EC0F09"/>
    <w:rsid w:val="00EC15DA"/>
    <w:rsid w:val="00EC16A5"/>
    <w:rsid w:val="00EC1763"/>
    <w:rsid w:val="00EC1A58"/>
    <w:rsid w:val="00EC1E54"/>
    <w:rsid w:val="00EC1E6F"/>
    <w:rsid w:val="00EC1F5A"/>
    <w:rsid w:val="00EC227B"/>
    <w:rsid w:val="00EC228D"/>
    <w:rsid w:val="00EC22E9"/>
    <w:rsid w:val="00EC277C"/>
    <w:rsid w:val="00EC2836"/>
    <w:rsid w:val="00EC2AA7"/>
    <w:rsid w:val="00EC2E7E"/>
    <w:rsid w:val="00EC34C5"/>
    <w:rsid w:val="00EC3E24"/>
    <w:rsid w:val="00EC3EB6"/>
    <w:rsid w:val="00EC43DB"/>
    <w:rsid w:val="00EC445B"/>
    <w:rsid w:val="00EC47D9"/>
    <w:rsid w:val="00EC4C52"/>
    <w:rsid w:val="00EC4E04"/>
    <w:rsid w:val="00EC4F3E"/>
    <w:rsid w:val="00EC50D2"/>
    <w:rsid w:val="00EC51B4"/>
    <w:rsid w:val="00EC5478"/>
    <w:rsid w:val="00EC5BD1"/>
    <w:rsid w:val="00EC5FB2"/>
    <w:rsid w:val="00EC6557"/>
    <w:rsid w:val="00EC674B"/>
    <w:rsid w:val="00EC6BB8"/>
    <w:rsid w:val="00EC6C52"/>
    <w:rsid w:val="00EC719A"/>
    <w:rsid w:val="00EC72DA"/>
    <w:rsid w:val="00EC731E"/>
    <w:rsid w:val="00EC75A5"/>
    <w:rsid w:val="00EC775B"/>
    <w:rsid w:val="00EC7822"/>
    <w:rsid w:val="00EC7946"/>
    <w:rsid w:val="00EC7A45"/>
    <w:rsid w:val="00EC7AE7"/>
    <w:rsid w:val="00EC7CC9"/>
    <w:rsid w:val="00EC7D59"/>
    <w:rsid w:val="00ED0117"/>
    <w:rsid w:val="00ED03AF"/>
    <w:rsid w:val="00ED043C"/>
    <w:rsid w:val="00ED0842"/>
    <w:rsid w:val="00ED0BD1"/>
    <w:rsid w:val="00ED0DE4"/>
    <w:rsid w:val="00ED0FD1"/>
    <w:rsid w:val="00ED13A5"/>
    <w:rsid w:val="00ED14AE"/>
    <w:rsid w:val="00ED17FA"/>
    <w:rsid w:val="00ED1A8A"/>
    <w:rsid w:val="00ED1F97"/>
    <w:rsid w:val="00ED271E"/>
    <w:rsid w:val="00ED2839"/>
    <w:rsid w:val="00ED2869"/>
    <w:rsid w:val="00ED28DF"/>
    <w:rsid w:val="00ED29FA"/>
    <w:rsid w:val="00ED2C77"/>
    <w:rsid w:val="00ED2DEB"/>
    <w:rsid w:val="00ED329C"/>
    <w:rsid w:val="00ED39E1"/>
    <w:rsid w:val="00ED3EBA"/>
    <w:rsid w:val="00ED44C4"/>
    <w:rsid w:val="00ED46DE"/>
    <w:rsid w:val="00ED47D7"/>
    <w:rsid w:val="00ED4913"/>
    <w:rsid w:val="00ED4B8C"/>
    <w:rsid w:val="00ED4B98"/>
    <w:rsid w:val="00ED4FE6"/>
    <w:rsid w:val="00ED51C4"/>
    <w:rsid w:val="00ED51CA"/>
    <w:rsid w:val="00ED51E9"/>
    <w:rsid w:val="00ED55DD"/>
    <w:rsid w:val="00ED5649"/>
    <w:rsid w:val="00ED5663"/>
    <w:rsid w:val="00ED573C"/>
    <w:rsid w:val="00ED5966"/>
    <w:rsid w:val="00ED59C7"/>
    <w:rsid w:val="00ED5AD1"/>
    <w:rsid w:val="00ED613F"/>
    <w:rsid w:val="00ED6873"/>
    <w:rsid w:val="00ED69EE"/>
    <w:rsid w:val="00ED6AA7"/>
    <w:rsid w:val="00ED6BC3"/>
    <w:rsid w:val="00ED7101"/>
    <w:rsid w:val="00ED71B1"/>
    <w:rsid w:val="00ED734F"/>
    <w:rsid w:val="00ED7521"/>
    <w:rsid w:val="00ED758E"/>
    <w:rsid w:val="00ED7727"/>
    <w:rsid w:val="00ED7D45"/>
    <w:rsid w:val="00ED7D96"/>
    <w:rsid w:val="00ED7F26"/>
    <w:rsid w:val="00EE078F"/>
    <w:rsid w:val="00EE0820"/>
    <w:rsid w:val="00EE0837"/>
    <w:rsid w:val="00EE0B22"/>
    <w:rsid w:val="00EE0C09"/>
    <w:rsid w:val="00EE0EE0"/>
    <w:rsid w:val="00EE166E"/>
    <w:rsid w:val="00EE19C6"/>
    <w:rsid w:val="00EE1A52"/>
    <w:rsid w:val="00EE227F"/>
    <w:rsid w:val="00EE25CA"/>
    <w:rsid w:val="00EE2A82"/>
    <w:rsid w:val="00EE2E69"/>
    <w:rsid w:val="00EE3362"/>
    <w:rsid w:val="00EE39F6"/>
    <w:rsid w:val="00EE3B72"/>
    <w:rsid w:val="00EE3B92"/>
    <w:rsid w:val="00EE3BFC"/>
    <w:rsid w:val="00EE415D"/>
    <w:rsid w:val="00EE43FF"/>
    <w:rsid w:val="00EE4577"/>
    <w:rsid w:val="00EE4DFE"/>
    <w:rsid w:val="00EE50A3"/>
    <w:rsid w:val="00EE51E0"/>
    <w:rsid w:val="00EE5266"/>
    <w:rsid w:val="00EE5973"/>
    <w:rsid w:val="00EE617F"/>
    <w:rsid w:val="00EE62C4"/>
    <w:rsid w:val="00EE64BA"/>
    <w:rsid w:val="00EE65A6"/>
    <w:rsid w:val="00EE66F3"/>
    <w:rsid w:val="00EE677E"/>
    <w:rsid w:val="00EE67D2"/>
    <w:rsid w:val="00EE6BDC"/>
    <w:rsid w:val="00EE6D82"/>
    <w:rsid w:val="00EE6DBE"/>
    <w:rsid w:val="00EE7147"/>
    <w:rsid w:val="00EE72AC"/>
    <w:rsid w:val="00EE771A"/>
    <w:rsid w:val="00EE7C8B"/>
    <w:rsid w:val="00EE7D5F"/>
    <w:rsid w:val="00EF00CC"/>
    <w:rsid w:val="00EF0172"/>
    <w:rsid w:val="00EF01AB"/>
    <w:rsid w:val="00EF0573"/>
    <w:rsid w:val="00EF059A"/>
    <w:rsid w:val="00EF0777"/>
    <w:rsid w:val="00EF087A"/>
    <w:rsid w:val="00EF0E75"/>
    <w:rsid w:val="00EF11C6"/>
    <w:rsid w:val="00EF12FB"/>
    <w:rsid w:val="00EF14BE"/>
    <w:rsid w:val="00EF1CF2"/>
    <w:rsid w:val="00EF1FC8"/>
    <w:rsid w:val="00EF2120"/>
    <w:rsid w:val="00EF23FD"/>
    <w:rsid w:val="00EF270A"/>
    <w:rsid w:val="00EF2736"/>
    <w:rsid w:val="00EF2C3F"/>
    <w:rsid w:val="00EF2CF5"/>
    <w:rsid w:val="00EF2E43"/>
    <w:rsid w:val="00EF2EAD"/>
    <w:rsid w:val="00EF318F"/>
    <w:rsid w:val="00EF349C"/>
    <w:rsid w:val="00EF3A68"/>
    <w:rsid w:val="00EF3ADD"/>
    <w:rsid w:val="00EF3B13"/>
    <w:rsid w:val="00EF3B36"/>
    <w:rsid w:val="00EF4497"/>
    <w:rsid w:val="00EF467D"/>
    <w:rsid w:val="00EF4713"/>
    <w:rsid w:val="00EF497B"/>
    <w:rsid w:val="00EF4CB7"/>
    <w:rsid w:val="00EF52F4"/>
    <w:rsid w:val="00EF541F"/>
    <w:rsid w:val="00EF5C01"/>
    <w:rsid w:val="00EF5F9E"/>
    <w:rsid w:val="00EF63F7"/>
    <w:rsid w:val="00EF66AF"/>
    <w:rsid w:val="00EF693F"/>
    <w:rsid w:val="00EF6A81"/>
    <w:rsid w:val="00EF71A5"/>
    <w:rsid w:val="00EF727F"/>
    <w:rsid w:val="00EF7582"/>
    <w:rsid w:val="00EF768F"/>
    <w:rsid w:val="00EF7DAD"/>
    <w:rsid w:val="00EF7F36"/>
    <w:rsid w:val="00F0005E"/>
    <w:rsid w:val="00F00072"/>
    <w:rsid w:val="00F001E1"/>
    <w:rsid w:val="00F00471"/>
    <w:rsid w:val="00F00545"/>
    <w:rsid w:val="00F00A14"/>
    <w:rsid w:val="00F00CB9"/>
    <w:rsid w:val="00F0101E"/>
    <w:rsid w:val="00F01364"/>
    <w:rsid w:val="00F0154A"/>
    <w:rsid w:val="00F0201A"/>
    <w:rsid w:val="00F02167"/>
    <w:rsid w:val="00F02337"/>
    <w:rsid w:val="00F024EB"/>
    <w:rsid w:val="00F02776"/>
    <w:rsid w:val="00F02896"/>
    <w:rsid w:val="00F02909"/>
    <w:rsid w:val="00F02AD2"/>
    <w:rsid w:val="00F03388"/>
    <w:rsid w:val="00F03972"/>
    <w:rsid w:val="00F039F0"/>
    <w:rsid w:val="00F03B1A"/>
    <w:rsid w:val="00F03B51"/>
    <w:rsid w:val="00F03DE1"/>
    <w:rsid w:val="00F03E7C"/>
    <w:rsid w:val="00F042D1"/>
    <w:rsid w:val="00F042DC"/>
    <w:rsid w:val="00F044C6"/>
    <w:rsid w:val="00F045B1"/>
    <w:rsid w:val="00F04611"/>
    <w:rsid w:val="00F04A78"/>
    <w:rsid w:val="00F04F49"/>
    <w:rsid w:val="00F0511C"/>
    <w:rsid w:val="00F051C4"/>
    <w:rsid w:val="00F051C6"/>
    <w:rsid w:val="00F05200"/>
    <w:rsid w:val="00F05418"/>
    <w:rsid w:val="00F05943"/>
    <w:rsid w:val="00F05D24"/>
    <w:rsid w:val="00F05FC6"/>
    <w:rsid w:val="00F06642"/>
    <w:rsid w:val="00F066FB"/>
    <w:rsid w:val="00F06736"/>
    <w:rsid w:val="00F06C7C"/>
    <w:rsid w:val="00F07092"/>
    <w:rsid w:val="00F07093"/>
    <w:rsid w:val="00F07264"/>
    <w:rsid w:val="00F07268"/>
    <w:rsid w:val="00F072F2"/>
    <w:rsid w:val="00F07514"/>
    <w:rsid w:val="00F076B3"/>
    <w:rsid w:val="00F07B03"/>
    <w:rsid w:val="00F07BD1"/>
    <w:rsid w:val="00F101F3"/>
    <w:rsid w:val="00F108ED"/>
    <w:rsid w:val="00F10B16"/>
    <w:rsid w:val="00F10BA0"/>
    <w:rsid w:val="00F10C66"/>
    <w:rsid w:val="00F11085"/>
    <w:rsid w:val="00F1138E"/>
    <w:rsid w:val="00F11442"/>
    <w:rsid w:val="00F11543"/>
    <w:rsid w:val="00F1170C"/>
    <w:rsid w:val="00F11AE6"/>
    <w:rsid w:val="00F11BA4"/>
    <w:rsid w:val="00F11F67"/>
    <w:rsid w:val="00F12469"/>
    <w:rsid w:val="00F127A8"/>
    <w:rsid w:val="00F12923"/>
    <w:rsid w:val="00F12967"/>
    <w:rsid w:val="00F137C3"/>
    <w:rsid w:val="00F139E8"/>
    <w:rsid w:val="00F13C6E"/>
    <w:rsid w:val="00F149EC"/>
    <w:rsid w:val="00F14A1B"/>
    <w:rsid w:val="00F150F6"/>
    <w:rsid w:val="00F1530B"/>
    <w:rsid w:val="00F158AD"/>
    <w:rsid w:val="00F16491"/>
    <w:rsid w:val="00F166B3"/>
    <w:rsid w:val="00F167D9"/>
    <w:rsid w:val="00F1692F"/>
    <w:rsid w:val="00F1698D"/>
    <w:rsid w:val="00F16ACA"/>
    <w:rsid w:val="00F16B8E"/>
    <w:rsid w:val="00F175B7"/>
    <w:rsid w:val="00F175C8"/>
    <w:rsid w:val="00F17696"/>
    <w:rsid w:val="00F17D45"/>
    <w:rsid w:val="00F17D5B"/>
    <w:rsid w:val="00F17DA9"/>
    <w:rsid w:val="00F17EE1"/>
    <w:rsid w:val="00F2017E"/>
    <w:rsid w:val="00F205AD"/>
    <w:rsid w:val="00F2079B"/>
    <w:rsid w:val="00F20841"/>
    <w:rsid w:val="00F2091A"/>
    <w:rsid w:val="00F209A7"/>
    <w:rsid w:val="00F20A84"/>
    <w:rsid w:val="00F20BDB"/>
    <w:rsid w:val="00F2100F"/>
    <w:rsid w:val="00F210AA"/>
    <w:rsid w:val="00F21195"/>
    <w:rsid w:val="00F211D9"/>
    <w:rsid w:val="00F21703"/>
    <w:rsid w:val="00F21794"/>
    <w:rsid w:val="00F219F7"/>
    <w:rsid w:val="00F21A23"/>
    <w:rsid w:val="00F21C31"/>
    <w:rsid w:val="00F21ECC"/>
    <w:rsid w:val="00F21F9D"/>
    <w:rsid w:val="00F22182"/>
    <w:rsid w:val="00F22249"/>
    <w:rsid w:val="00F22AE4"/>
    <w:rsid w:val="00F22CC2"/>
    <w:rsid w:val="00F22F69"/>
    <w:rsid w:val="00F23367"/>
    <w:rsid w:val="00F2365D"/>
    <w:rsid w:val="00F23825"/>
    <w:rsid w:val="00F23CF4"/>
    <w:rsid w:val="00F23E6B"/>
    <w:rsid w:val="00F23EDB"/>
    <w:rsid w:val="00F2411D"/>
    <w:rsid w:val="00F241D6"/>
    <w:rsid w:val="00F242E2"/>
    <w:rsid w:val="00F2431D"/>
    <w:rsid w:val="00F244F7"/>
    <w:rsid w:val="00F2457D"/>
    <w:rsid w:val="00F247CE"/>
    <w:rsid w:val="00F2488C"/>
    <w:rsid w:val="00F249E5"/>
    <w:rsid w:val="00F24CDF"/>
    <w:rsid w:val="00F250A9"/>
    <w:rsid w:val="00F2513A"/>
    <w:rsid w:val="00F255E7"/>
    <w:rsid w:val="00F25739"/>
    <w:rsid w:val="00F257AB"/>
    <w:rsid w:val="00F25815"/>
    <w:rsid w:val="00F26042"/>
    <w:rsid w:val="00F2615D"/>
    <w:rsid w:val="00F26247"/>
    <w:rsid w:val="00F26918"/>
    <w:rsid w:val="00F26E3A"/>
    <w:rsid w:val="00F26F83"/>
    <w:rsid w:val="00F273D7"/>
    <w:rsid w:val="00F27969"/>
    <w:rsid w:val="00F27BD1"/>
    <w:rsid w:val="00F27D5B"/>
    <w:rsid w:val="00F27DF6"/>
    <w:rsid w:val="00F27E95"/>
    <w:rsid w:val="00F30094"/>
    <w:rsid w:val="00F30A62"/>
    <w:rsid w:val="00F30BF2"/>
    <w:rsid w:val="00F3105E"/>
    <w:rsid w:val="00F313C5"/>
    <w:rsid w:val="00F319B5"/>
    <w:rsid w:val="00F31E18"/>
    <w:rsid w:val="00F31FAE"/>
    <w:rsid w:val="00F325AD"/>
    <w:rsid w:val="00F3276D"/>
    <w:rsid w:val="00F32989"/>
    <w:rsid w:val="00F32A90"/>
    <w:rsid w:val="00F32C5E"/>
    <w:rsid w:val="00F32DBD"/>
    <w:rsid w:val="00F32E20"/>
    <w:rsid w:val="00F32E30"/>
    <w:rsid w:val="00F330BD"/>
    <w:rsid w:val="00F33D1B"/>
    <w:rsid w:val="00F34791"/>
    <w:rsid w:val="00F3495E"/>
    <w:rsid w:val="00F3499C"/>
    <w:rsid w:val="00F34A54"/>
    <w:rsid w:val="00F34ACA"/>
    <w:rsid w:val="00F3525D"/>
    <w:rsid w:val="00F35C1C"/>
    <w:rsid w:val="00F360E3"/>
    <w:rsid w:val="00F362D8"/>
    <w:rsid w:val="00F36416"/>
    <w:rsid w:val="00F364B1"/>
    <w:rsid w:val="00F3655C"/>
    <w:rsid w:val="00F36999"/>
    <w:rsid w:val="00F36C59"/>
    <w:rsid w:val="00F37118"/>
    <w:rsid w:val="00F3746D"/>
    <w:rsid w:val="00F374A5"/>
    <w:rsid w:val="00F37628"/>
    <w:rsid w:val="00F37710"/>
    <w:rsid w:val="00F378F9"/>
    <w:rsid w:val="00F37A1E"/>
    <w:rsid w:val="00F37B8E"/>
    <w:rsid w:val="00F37F78"/>
    <w:rsid w:val="00F37FB4"/>
    <w:rsid w:val="00F404E6"/>
    <w:rsid w:val="00F407BB"/>
    <w:rsid w:val="00F40AB1"/>
    <w:rsid w:val="00F40B09"/>
    <w:rsid w:val="00F40B54"/>
    <w:rsid w:val="00F40DAB"/>
    <w:rsid w:val="00F41165"/>
    <w:rsid w:val="00F413D2"/>
    <w:rsid w:val="00F4152F"/>
    <w:rsid w:val="00F419A1"/>
    <w:rsid w:val="00F41B38"/>
    <w:rsid w:val="00F41DA8"/>
    <w:rsid w:val="00F42034"/>
    <w:rsid w:val="00F42149"/>
    <w:rsid w:val="00F42501"/>
    <w:rsid w:val="00F42D5C"/>
    <w:rsid w:val="00F43129"/>
    <w:rsid w:val="00F43151"/>
    <w:rsid w:val="00F43274"/>
    <w:rsid w:val="00F432F2"/>
    <w:rsid w:val="00F4366F"/>
    <w:rsid w:val="00F43AEF"/>
    <w:rsid w:val="00F43D8A"/>
    <w:rsid w:val="00F441D9"/>
    <w:rsid w:val="00F4495A"/>
    <w:rsid w:val="00F44A43"/>
    <w:rsid w:val="00F44AC2"/>
    <w:rsid w:val="00F44B42"/>
    <w:rsid w:val="00F45067"/>
    <w:rsid w:val="00F452B1"/>
    <w:rsid w:val="00F452EA"/>
    <w:rsid w:val="00F45A7A"/>
    <w:rsid w:val="00F45B66"/>
    <w:rsid w:val="00F45FB7"/>
    <w:rsid w:val="00F45FE5"/>
    <w:rsid w:val="00F46274"/>
    <w:rsid w:val="00F4646A"/>
    <w:rsid w:val="00F46836"/>
    <w:rsid w:val="00F46C87"/>
    <w:rsid w:val="00F46D06"/>
    <w:rsid w:val="00F46E4F"/>
    <w:rsid w:val="00F46EF0"/>
    <w:rsid w:val="00F4707C"/>
    <w:rsid w:val="00F47429"/>
    <w:rsid w:val="00F474A2"/>
    <w:rsid w:val="00F4771F"/>
    <w:rsid w:val="00F477FE"/>
    <w:rsid w:val="00F47993"/>
    <w:rsid w:val="00F47A26"/>
    <w:rsid w:val="00F47C44"/>
    <w:rsid w:val="00F5041B"/>
    <w:rsid w:val="00F50498"/>
    <w:rsid w:val="00F5079B"/>
    <w:rsid w:val="00F508DB"/>
    <w:rsid w:val="00F50AE1"/>
    <w:rsid w:val="00F50EE7"/>
    <w:rsid w:val="00F511B0"/>
    <w:rsid w:val="00F51A3B"/>
    <w:rsid w:val="00F52105"/>
    <w:rsid w:val="00F5254E"/>
    <w:rsid w:val="00F52713"/>
    <w:rsid w:val="00F528C9"/>
    <w:rsid w:val="00F528F8"/>
    <w:rsid w:val="00F52AF5"/>
    <w:rsid w:val="00F52C91"/>
    <w:rsid w:val="00F52C9E"/>
    <w:rsid w:val="00F52EEB"/>
    <w:rsid w:val="00F53079"/>
    <w:rsid w:val="00F531CA"/>
    <w:rsid w:val="00F53462"/>
    <w:rsid w:val="00F535E5"/>
    <w:rsid w:val="00F53621"/>
    <w:rsid w:val="00F53939"/>
    <w:rsid w:val="00F539BC"/>
    <w:rsid w:val="00F53A1A"/>
    <w:rsid w:val="00F5424D"/>
    <w:rsid w:val="00F54518"/>
    <w:rsid w:val="00F5476E"/>
    <w:rsid w:val="00F54873"/>
    <w:rsid w:val="00F54AD5"/>
    <w:rsid w:val="00F54BFE"/>
    <w:rsid w:val="00F54FDA"/>
    <w:rsid w:val="00F550FD"/>
    <w:rsid w:val="00F552AD"/>
    <w:rsid w:val="00F55359"/>
    <w:rsid w:val="00F556A3"/>
    <w:rsid w:val="00F5580A"/>
    <w:rsid w:val="00F558E3"/>
    <w:rsid w:val="00F559A2"/>
    <w:rsid w:val="00F55AB0"/>
    <w:rsid w:val="00F55D76"/>
    <w:rsid w:val="00F56237"/>
    <w:rsid w:val="00F56309"/>
    <w:rsid w:val="00F563C4"/>
    <w:rsid w:val="00F5657B"/>
    <w:rsid w:val="00F566C1"/>
    <w:rsid w:val="00F56AF3"/>
    <w:rsid w:val="00F56D80"/>
    <w:rsid w:val="00F575A0"/>
    <w:rsid w:val="00F576B7"/>
    <w:rsid w:val="00F579F2"/>
    <w:rsid w:val="00F57CA8"/>
    <w:rsid w:val="00F57DF0"/>
    <w:rsid w:val="00F57E7C"/>
    <w:rsid w:val="00F60019"/>
    <w:rsid w:val="00F600D4"/>
    <w:rsid w:val="00F6014D"/>
    <w:rsid w:val="00F602BE"/>
    <w:rsid w:val="00F60335"/>
    <w:rsid w:val="00F60CBC"/>
    <w:rsid w:val="00F614AD"/>
    <w:rsid w:val="00F61E6B"/>
    <w:rsid w:val="00F62118"/>
    <w:rsid w:val="00F628E0"/>
    <w:rsid w:val="00F62A55"/>
    <w:rsid w:val="00F62C00"/>
    <w:rsid w:val="00F62C5B"/>
    <w:rsid w:val="00F62DE3"/>
    <w:rsid w:val="00F62E58"/>
    <w:rsid w:val="00F63492"/>
    <w:rsid w:val="00F63523"/>
    <w:rsid w:val="00F63943"/>
    <w:rsid w:val="00F63BBD"/>
    <w:rsid w:val="00F63C48"/>
    <w:rsid w:val="00F63C82"/>
    <w:rsid w:val="00F63DDF"/>
    <w:rsid w:val="00F63E14"/>
    <w:rsid w:val="00F63EA1"/>
    <w:rsid w:val="00F63ED2"/>
    <w:rsid w:val="00F643FD"/>
    <w:rsid w:val="00F644A9"/>
    <w:rsid w:val="00F64531"/>
    <w:rsid w:val="00F64868"/>
    <w:rsid w:val="00F6486E"/>
    <w:rsid w:val="00F648A5"/>
    <w:rsid w:val="00F64B54"/>
    <w:rsid w:val="00F64E71"/>
    <w:rsid w:val="00F650E0"/>
    <w:rsid w:val="00F65354"/>
    <w:rsid w:val="00F654CE"/>
    <w:rsid w:val="00F65596"/>
    <w:rsid w:val="00F65937"/>
    <w:rsid w:val="00F65E5B"/>
    <w:rsid w:val="00F66853"/>
    <w:rsid w:val="00F66D51"/>
    <w:rsid w:val="00F66D6D"/>
    <w:rsid w:val="00F66E72"/>
    <w:rsid w:val="00F66EDE"/>
    <w:rsid w:val="00F67169"/>
    <w:rsid w:val="00F675F5"/>
    <w:rsid w:val="00F6761F"/>
    <w:rsid w:val="00F67852"/>
    <w:rsid w:val="00F678F0"/>
    <w:rsid w:val="00F6793B"/>
    <w:rsid w:val="00F67A8D"/>
    <w:rsid w:val="00F67E09"/>
    <w:rsid w:val="00F67E45"/>
    <w:rsid w:val="00F70086"/>
    <w:rsid w:val="00F70523"/>
    <w:rsid w:val="00F70560"/>
    <w:rsid w:val="00F70829"/>
    <w:rsid w:val="00F70840"/>
    <w:rsid w:val="00F70975"/>
    <w:rsid w:val="00F70D3A"/>
    <w:rsid w:val="00F70F39"/>
    <w:rsid w:val="00F71390"/>
    <w:rsid w:val="00F71796"/>
    <w:rsid w:val="00F7187C"/>
    <w:rsid w:val="00F718D3"/>
    <w:rsid w:val="00F71BCD"/>
    <w:rsid w:val="00F71F0A"/>
    <w:rsid w:val="00F71F6A"/>
    <w:rsid w:val="00F72016"/>
    <w:rsid w:val="00F7202D"/>
    <w:rsid w:val="00F7286E"/>
    <w:rsid w:val="00F728A1"/>
    <w:rsid w:val="00F7290E"/>
    <w:rsid w:val="00F72B80"/>
    <w:rsid w:val="00F72C9B"/>
    <w:rsid w:val="00F72CA2"/>
    <w:rsid w:val="00F73465"/>
    <w:rsid w:val="00F73789"/>
    <w:rsid w:val="00F737CF"/>
    <w:rsid w:val="00F73E4D"/>
    <w:rsid w:val="00F7406A"/>
    <w:rsid w:val="00F744DD"/>
    <w:rsid w:val="00F745A1"/>
    <w:rsid w:val="00F74725"/>
    <w:rsid w:val="00F74801"/>
    <w:rsid w:val="00F74AA6"/>
    <w:rsid w:val="00F75227"/>
    <w:rsid w:val="00F75884"/>
    <w:rsid w:val="00F75AE8"/>
    <w:rsid w:val="00F75BDE"/>
    <w:rsid w:val="00F76121"/>
    <w:rsid w:val="00F763B7"/>
    <w:rsid w:val="00F764FB"/>
    <w:rsid w:val="00F767BE"/>
    <w:rsid w:val="00F7680B"/>
    <w:rsid w:val="00F76C7C"/>
    <w:rsid w:val="00F76DBD"/>
    <w:rsid w:val="00F76EBF"/>
    <w:rsid w:val="00F76F5C"/>
    <w:rsid w:val="00F7710B"/>
    <w:rsid w:val="00F77216"/>
    <w:rsid w:val="00F773D0"/>
    <w:rsid w:val="00F774A1"/>
    <w:rsid w:val="00F778D4"/>
    <w:rsid w:val="00F77AFF"/>
    <w:rsid w:val="00F77C78"/>
    <w:rsid w:val="00F77F7D"/>
    <w:rsid w:val="00F80592"/>
    <w:rsid w:val="00F805ED"/>
    <w:rsid w:val="00F80771"/>
    <w:rsid w:val="00F808FE"/>
    <w:rsid w:val="00F80A8E"/>
    <w:rsid w:val="00F81024"/>
    <w:rsid w:val="00F810A1"/>
    <w:rsid w:val="00F81697"/>
    <w:rsid w:val="00F817DD"/>
    <w:rsid w:val="00F81929"/>
    <w:rsid w:val="00F8199C"/>
    <w:rsid w:val="00F819AB"/>
    <w:rsid w:val="00F81A86"/>
    <w:rsid w:val="00F81C85"/>
    <w:rsid w:val="00F81D3E"/>
    <w:rsid w:val="00F81E81"/>
    <w:rsid w:val="00F8217B"/>
    <w:rsid w:val="00F821A1"/>
    <w:rsid w:val="00F823BF"/>
    <w:rsid w:val="00F82C68"/>
    <w:rsid w:val="00F82CC9"/>
    <w:rsid w:val="00F82E7F"/>
    <w:rsid w:val="00F83087"/>
    <w:rsid w:val="00F83090"/>
    <w:rsid w:val="00F830F0"/>
    <w:rsid w:val="00F836B4"/>
    <w:rsid w:val="00F83843"/>
    <w:rsid w:val="00F83C60"/>
    <w:rsid w:val="00F83D52"/>
    <w:rsid w:val="00F83EE9"/>
    <w:rsid w:val="00F83FE1"/>
    <w:rsid w:val="00F84021"/>
    <w:rsid w:val="00F847EF"/>
    <w:rsid w:val="00F84947"/>
    <w:rsid w:val="00F84D51"/>
    <w:rsid w:val="00F85213"/>
    <w:rsid w:val="00F85383"/>
    <w:rsid w:val="00F8553A"/>
    <w:rsid w:val="00F855CA"/>
    <w:rsid w:val="00F85877"/>
    <w:rsid w:val="00F85C07"/>
    <w:rsid w:val="00F85D6B"/>
    <w:rsid w:val="00F85EF3"/>
    <w:rsid w:val="00F863C0"/>
    <w:rsid w:val="00F866B1"/>
    <w:rsid w:val="00F86A95"/>
    <w:rsid w:val="00F872E3"/>
    <w:rsid w:val="00F873A2"/>
    <w:rsid w:val="00F8755C"/>
    <w:rsid w:val="00F87BBF"/>
    <w:rsid w:val="00F87FF6"/>
    <w:rsid w:val="00F9032A"/>
    <w:rsid w:val="00F90349"/>
    <w:rsid w:val="00F9047E"/>
    <w:rsid w:val="00F9063D"/>
    <w:rsid w:val="00F90955"/>
    <w:rsid w:val="00F90FEE"/>
    <w:rsid w:val="00F917EA"/>
    <w:rsid w:val="00F9185D"/>
    <w:rsid w:val="00F9218B"/>
    <w:rsid w:val="00F925FE"/>
    <w:rsid w:val="00F92603"/>
    <w:rsid w:val="00F926DA"/>
    <w:rsid w:val="00F92B8D"/>
    <w:rsid w:val="00F92ECE"/>
    <w:rsid w:val="00F92F81"/>
    <w:rsid w:val="00F930D4"/>
    <w:rsid w:val="00F9333D"/>
    <w:rsid w:val="00F9346D"/>
    <w:rsid w:val="00F93512"/>
    <w:rsid w:val="00F93751"/>
    <w:rsid w:val="00F93819"/>
    <w:rsid w:val="00F93994"/>
    <w:rsid w:val="00F93DF3"/>
    <w:rsid w:val="00F93F1A"/>
    <w:rsid w:val="00F945B9"/>
    <w:rsid w:val="00F94FF9"/>
    <w:rsid w:val="00F9538B"/>
    <w:rsid w:val="00F955D1"/>
    <w:rsid w:val="00F958CC"/>
    <w:rsid w:val="00F965BA"/>
    <w:rsid w:val="00F96AAE"/>
    <w:rsid w:val="00F96B3C"/>
    <w:rsid w:val="00F96E34"/>
    <w:rsid w:val="00F972B3"/>
    <w:rsid w:val="00F976BF"/>
    <w:rsid w:val="00F97B35"/>
    <w:rsid w:val="00FA0B0E"/>
    <w:rsid w:val="00FA0CDE"/>
    <w:rsid w:val="00FA0D43"/>
    <w:rsid w:val="00FA10C5"/>
    <w:rsid w:val="00FA195B"/>
    <w:rsid w:val="00FA19BF"/>
    <w:rsid w:val="00FA1AF3"/>
    <w:rsid w:val="00FA1B53"/>
    <w:rsid w:val="00FA24A1"/>
    <w:rsid w:val="00FA26D7"/>
    <w:rsid w:val="00FA2C99"/>
    <w:rsid w:val="00FA2E18"/>
    <w:rsid w:val="00FA2F20"/>
    <w:rsid w:val="00FA308D"/>
    <w:rsid w:val="00FA31FD"/>
    <w:rsid w:val="00FA34C0"/>
    <w:rsid w:val="00FA3771"/>
    <w:rsid w:val="00FA3923"/>
    <w:rsid w:val="00FA3A89"/>
    <w:rsid w:val="00FA3DC0"/>
    <w:rsid w:val="00FA42FC"/>
    <w:rsid w:val="00FA44A2"/>
    <w:rsid w:val="00FA4598"/>
    <w:rsid w:val="00FA468C"/>
    <w:rsid w:val="00FA4925"/>
    <w:rsid w:val="00FA4AE2"/>
    <w:rsid w:val="00FA4B8B"/>
    <w:rsid w:val="00FA4D65"/>
    <w:rsid w:val="00FA4E65"/>
    <w:rsid w:val="00FA4FFC"/>
    <w:rsid w:val="00FA50C9"/>
    <w:rsid w:val="00FA52F3"/>
    <w:rsid w:val="00FA5407"/>
    <w:rsid w:val="00FA5496"/>
    <w:rsid w:val="00FA567A"/>
    <w:rsid w:val="00FA5862"/>
    <w:rsid w:val="00FA58F9"/>
    <w:rsid w:val="00FA590E"/>
    <w:rsid w:val="00FA5B9C"/>
    <w:rsid w:val="00FA5F98"/>
    <w:rsid w:val="00FA6086"/>
    <w:rsid w:val="00FA624B"/>
    <w:rsid w:val="00FA64FA"/>
    <w:rsid w:val="00FA6592"/>
    <w:rsid w:val="00FA659D"/>
    <w:rsid w:val="00FA67E8"/>
    <w:rsid w:val="00FA6D68"/>
    <w:rsid w:val="00FA6E5B"/>
    <w:rsid w:val="00FA73C4"/>
    <w:rsid w:val="00FA73CF"/>
    <w:rsid w:val="00FA7443"/>
    <w:rsid w:val="00FA793E"/>
    <w:rsid w:val="00FA7AB0"/>
    <w:rsid w:val="00FB0075"/>
    <w:rsid w:val="00FB02B2"/>
    <w:rsid w:val="00FB04DE"/>
    <w:rsid w:val="00FB0660"/>
    <w:rsid w:val="00FB0A76"/>
    <w:rsid w:val="00FB0D94"/>
    <w:rsid w:val="00FB0F50"/>
    <w:rsid w:val="00FB10BC"/>
    <w:rsid w:val="00FB15DE"/>
    <w:rsid w:val="00FB1639"/>
    <w:rsid w:val="00FB19EA"/>
    <w:rsid w:val="00FB1CB0"/>
    <w:rsid w:val="00FB1D5F"/>
    <w:rsid w:val="00FB1EAA"/>
    <w:rsid w:val="00FB1F03"/>
    <w:rsid w:val="00FB1FCC"/>
    <w:rsid w:val="00FB248E"/>
    <w:rsid w:val="00FB270A"/>
    <w:rsid w:val="00FB2C52"/>
    <w:rsid w:val="00FB2F60"/>
    <w:rsid w:val="00FB312B"/>
    <w:rsid w:val="00FB3514"/>
    <w:rsid w:val="00FB376A"/>
    <w:rsid w:val="00FB388C"/>
    <w:rsid w:val="00FB3BFA"/>
    <w:rsid w:val="00FB3C0C"/>
    <w:rsid w:val="00FB3DE2"/>
    <w:rsid w:val="00FB3FF3"/>
    <w:rsid w:val="00FB40F3"/>
    <w:rsid w:val="00FB4135"/>
    <w:rsid w:val="00FB417D"/>
    <w:rsid w:val="00FB42CE"/>
    <w:rsid w:val="00FB43F1"/>
    <w:rsid w:val="00FB47B5"/>
    <w:rsid w:val="00FB4BC9"/>
    <w:rsid w:val="00FB4BE8"/>
    <w:rsid w:val="00FB4D87"/>
    <w:rsid w:val="00FB625E"/>
    <w:rsid w:val="00FB6315"/>
    <w:rsid w:val="00FB6635"/>
    <w:rsid w:val="00FB675F"/>
    <w:rsid w:val="00FB678E"/>
    <w:rsid w:val="00FB68DE"/>
    <w:rsid w:val="00FB696D"/>
    <w:rsid w:val="00FB6A99"/>
    <w:rsid w:val="00FB6EB2"/>
    <w:rsid w:val="00FB7532"/>
    <w:rsid w:val="00FB7782"/>
    <w:rsid w:val="00FB7B4E"/>
    <w:rsid w:val="00FB7E17"/>
    <w:rsid w:val="00FC0000"/>
    <w:rsid w:val="00FC00D0"/>
    <w:rsid w:val="00FC00D1"/>
    <w:rsid w:val="00FC00FB"/>
    <w:rsid w:val="00FC0B54"/>
    <w:rsid w:val="00FC0F15"/>
    <w:rsid w:val="00FC1115"/>
    <w:rsid w:val="00FC12FE"/>
    <w:rsid w:val="00FC16F8"/>
    <w:rsid w:val="00FC174D"/>
    <w:rsid w:val="00FC189D"/>
    <w:rsid w:val="00FC1A1B"/>
    <w:rsid w:val="00FC1E95"/>
    <w:rsid w:val="00FC1F61"/>
    <w:rsid w:val="00FC202B"/>
    <w:rsid w:val="00FC2477"/>
    <w:rsid w:val="00FC259A"/>
    <w:rsid w:val="00FC264F"/>
    <w:rsid w:val="00FC2D20"/>
    <w:rsid w:val="00FC2E16"/>
    <w:rsid w:val="00FC2E62"/>
    <w:rsid w:val="00FC2F8C"/>
    <w:rsid w:val="00FC3147"/>
    <w:rsid w:val="00FC331A"/>
    <w:rsid w:val="00FC335E"/>
    <w:rsid w:val="00FC352B"/>
    <w:rsid w:val="00FC35D4"/>
    <w:rsid w:val="00FC37DB"/>
    <w:rsid w:val="00FC392F"/>
    <w:rsid w:val="00FC39B3"/>
    <w:rsid w:val="00FC3F7E"/>
    <w:rsid w:val="00FC3FD4"/>
    <w:rsid w:val="00FC420D"/>
    <w:rsid w:val="00FC4C47"/>
    <w:rsid w:val="00FC4E37"/>
    <w:rsid w:val="00FC54C2"/>
    <w:rsid w:val="00FC570F"/>
    <w:rsid w:val="00FC5B40"/>
    <w:rsid w:val="00FC5DF8"/>
    <w:rsid w:val="00FC5E69"/>
    <w:rsid w:val="00FC6018"/>
    <w:rsid w:val="00FC601F"/>
    <w:rsid w:val="00FC6193"/>
    <w:rsid w:val="00FC6202"/>
    <w:rsid w:val="00FC62CF"/>
    <w:rsid w:val="00FC670C"/>
    <w:rsid w:val="00FC6721"/>
    <w:rsid w:val="00FC6AA8"/>
    <w:rsid w:val="00FC6AAD"/>
    <w:rsid w:val="00FC6AC9"/>
    <w:rsid w:val="00FC6D54"/>
    <w:rsid w:val="00FC6EA9"/>
    <w:rsid w:val="00FC72E0"/>
    <w:rsid w:val="00FC7B26"/>
    <w:rsid w:val="00FC7C45"/>
    <w:rsid w:val="00FC7EC0"/>
    <w:rsid w:val="00FC7ECD"/>
    <w:rsid w:val="00FC7F4D"/>
    <w:rsid w:val="00FD064C"/>
    <w:rsid w:val="00FD0745"/>
    <w:rsid w:val="00FD07A4"/>
    <w:rsid w:val="00FD0D4F"/>
    <w:rsid w:val="00FD0E62"/>
    <w:rsid w:val="00FD1023"/>
    <w:rsid w:val="00FD140C"/>
    <w:rsid w:val="00FD1510"/>
    <w:rsid w:val="00FD190E"/>
    <w:rsid w:val="00FD24D4"/>
    <w:rsid w:val="00FD25A4"/>
    <w:rsid w:val="00FD28E2"/>
    <w:rsid w:val="00FD2901"/>
    <w:rsid w:val="00FD29CF"/>
    <w:rsid w:val="00FD2CBF"/>
    <w:rsid w:val="00FD3148"/>
    <w:rsid w:val="00FD316C"/>
    <w:rsid w:val="00FD3170"/>
    <w:rsid w:val="00FD33AA"/>
    <w:rsid w:val="00FD3409"/>
    <w:rsid w:val="00FD3465"/>
    <w:rsid w:val="00FD3BCD"/>
    <w:rsid w:val="00FD3DF5"/>
    <w:rsid w:val="00FD405F"/>
    <w:rsid w:val="00FD40FA"/>
    <w:rsid w:val="00FD41C1"/>
    <w:rsid w:val="00FD45C5"/>
    <w:rsid w:val="00FD4B26"/>
    <w:rsid w:val="00FD4C3F"/>
    <w:rsid w:val="00FD4DE6"/>
    <w:rsid w:val="00FD4E0B"/>
    <w:rsid w:val="00FD55EF"/>
    <w:rsid w:val="00FD5CA0"/>
    <w:rsid w:val="00FD6220"/>
    <w:rsid w:val="00FD62B0"/>
    <w:rsid w:val="00FD644B"/>
    <w:rsid w:val="00FD682A"/>
    <w:rsid w:val="00FD69A3"/>
    <w:rsid w:val="00FD6A05"/>
    <w:rsid w:val="00FD6A42"/>
    <w:rsid w:val="00FD6C0B"/>
    <w:rsid w:val="00FD6C1E"/>
    <w:rsid w:val="00FD7557"/>
    <w:rsid w:val="00FD7D06"/>
    <w:rsid w:val="00FD7D33"/>
    <w:rsid w:val="00FE035E"/>
    <w:rsid w:val="00FE055A"/>
    <w:rsid w:val="00FE0DCA"/>
    <w:rsid w:val="00FE11E6"/>
    <w:rsid w:val="00FE1303"/>
    <w:rsid w:val="00FE14C8"/>
    <w:rsid w:val="00FE14CE"/>
    <w:rsid w:val="00FE1619"/>
    <w:rsid w:val="00FE1B8E"/>
    <w:rsid w:val="00FE1CED"/>
    <w:rsid w:val="00FE1F8E"/>
    <w:rsid w:val="00FE1FC6"/>
    <w:rsid w:val="00FE20D8"/>
    <w:rsid w:val="00FE2196"/>
    <w:rsid w:val="00FE25E5"/>
    <w:rsid w:val="00FE2B1D"/>
    <w:rsid w:val="00FE2B2D"/>
    <w:rsid w:val="00FE2DFE"/>
    <w:rsid w:val="00FE2FD2"/>
    <w:rsid w:val="00FE33D5"/>
    <w:rsid w:val="00FE33DC"/>
    <w:rsid w:val="00FE3528"/>
    <w:rsid w:val="00FE39BF"/>
    <w:rsid w:val="00FE4347"/>
    <w:rsid w:val="00FE4670"/>
    <w:rsid w:val="00FE4B8C"/>
    <w:rsid w:val="00FE508C"/>
    <w:rsid w:val="00FE5243"/>
    <w:rsid w:val="00FE53E2"/>
    <w:rsid w:val="00FE53FE"/>
    <w:rsid w:val="00FE54CD"/>
    <w:rsid w:val="00FE5534"/>
    <w:rsid w:val="00FE5679"/>
    <w:rsid w:val="00FE571F"/>
    <w:rsid w:val="00FE5958"/>
    <w:rsid w:val="00FE6017"/>
    <w:rsid w:val="00FE657D"/>
    <w:rsid w:val="00FE6627"/>
    <w:rsid w:val="00FE6791"/>
    <w:rsid w:val="00FE68CE"/>
    <w:rsid w:val="00FE6A76"/>
    <w:rsid w:val="00FE6B0E"/>
    <w:rsid w:val="00FE7471"/>
    <w:rsid w:val="00FE7634"/>
    <w:rsid w:val="00FF064C"/>
    <w:rsid w:val="00FF0844"/>
    <w:rsid w:val="00FF12CA"/>
    <w:rsid w:val="00FF15A7"/>
    <w:rsid w:val="00FF1A7D"/>
    <w:rsid w:val="00FF1D60"/>
    <w:rsid w:val="00FF1DE0"/>
    <w:rsid w:val="00FF1E85"/>
    <w:rsid w:val="00FF237A"/>
    <w:rsid w:val="00FF24CB"/>
    <w:rsid w:val="00FF2AD0"/>
    <w:rsid w:val="00FF2B59"/>
    <w:rsid w:val="00FF327D"/>
    <w:rsid w:val="00FF3371"/>
    <w:rsid w:val="00FF3B73"/>
    <w:rsid w:val="00FF3C53"/>
    <w:rsid w:val="00FF3C97"/>
    <w:rsid w:val="00FF3D59"/>
    <w:rsid w:val="00FF3D99"/>
    <w:rsid w:val="00FF3F61"/>
    <w:rsid w:val="00FF4449"/>
    <w:rsid w:val="00FF45F1"/>
    <w:rsid w:val="00FF4976"/>
    <w:rsid w:val="00FF4C2B"/>
    <w:rsid w:val="00FF4D02"/>
    <w:rsid w:val="00FF4E76"/>
    <w:rsid w:val="00FF5575"/>
    <w:rsid w:val="00FF5BFB"/>
    <w:rsid w:val="00FF5CB8"/>
    <w:rsid w:val="00FF5D92"/>
    <w:rsid w:val="00FF6020"/>
    <w:rsid w:val="00FF6092"/>
    <w:rsid w:val="00FF619A"/>
    <w:rsid w:val="00FF6754"/>
    <w:rsid w:val="00FF6996"/>
    <w:rsid w:val="00FF6A5E"/>
    <w:rsid w:val="00FF6CDA"/>
    <w:rsid w:val="00FF715E"/>
    <w:rsid w:val="00FF72BC"/>
    <w:rsid w:val="00FF75C0"/>
    <w:rsid w:val="00FF7E35"/>
    <w:rsid w:val="00FF7E92"/>
    <w:rsid w:val="01409850"/>
    <w:rsid w:val="01AE3D5E"/>
    <w:rsid w:val="01DF820D"/>
    <w:rsid w:val="02008A13"/>
    <w:rsid w:val="022C0890"/>
    <w:rsid w:val="02403D2C"/>
    <w:rsid w:val="026CED23"/>
    <w:rsid w:val="02F3CAA6"/>
    <w:rsid w:val="02F530E0"/>
    <w:rsid w:val="03071DDC"/>
    <w:rsid w:val="03367C68"/>
    <w:rsid w:val="03945976"/>
    <w:rsid w:val="03CD9AF3"/>
    <w:rsid w:val="041DBF49"/>
    <w:rsid w:val="046C4B12"/>
    <w:rsid w:val="0493EC0A"/>
    <w:rsid w:val="04B966C0"/>
    <w:rsid w:val="04D0C02B"/>
    <w:rsid w:val="05519AEE"/>
    <w:rsid w:val="05881F6B"/>
    <w:rsid w:val="05C139AB"/>
    <w:rsid w:val="05DCEA44"/>
    <w:rsid w:val="05DE4722"/>
    <w:rsid w:val="06AE383D"/>
    <w:rsid w:val="06C65BDD"/>
    <w:rsid w:val="072A74E2"/>
    <w:rsid w:val="075E9360"/>
    <w:rsid w:val="084C3176"/>
    <w:rsid w:val="0854C91E"/>
    <w:rsid w:val="08620384"/>
    <w:rsid w:val="0862EFB3"/>
    <w:rsid w:val="08818A73"/>
    <w:rsid w:val="08D3FF33"/>
    <w:rsid w:val="08E52188"/>
    <w:rsid w:val="09061BCB"/>
    <w:rsid w:val="093DF0DB"/>
    <w:rsid w:val="094D88D1"/>
    <w:rsid w:val="095402F3"/>
    <w:rsid w:val="098B76BF"/>
    <w:rsid w:val="09A22828"/>
    <w:rsid w:val="09A62240"/>
    <w:rsid w:val="0A2990EB"/>
    <w:rsid w:val="0A51414C"/>
    <w:rsid w:val="0A595B90"/>
    <w:rsid w:val="0A779F66"/>
    <w:rsid w:val="0A8EFAA0"/>
    <w:rsid w:val="0A9240BF"/>
    <w:rsid w:val="0ABD5694"/>
    <w:rsid w:val="0AC9D63D"/>
    <w:rsid w:val="0AE1747B"/>
    <w:rsid w:val="0AF804D2"/>
    <w:rsid w:val="0AFCD496"/>
    <w:rsid w:val="0B022B06"/>
    <w:rsid w:val="0B3F3BD6"/>
    <w:rsid w:val="0B496655"/>
    <w:rsid w:val="0B55DF6D"/>
    <w:rsid w:val="0BB12926"/>
    <w:rsid w:val="0C031308"/>
    <w:rsid w:val="0C144C59"/>
    <w:rsid w:val="0C2A4FFC"/>
    <w:rsid w:val="0CC982A8"/>
    <w:rsid w:val="0CD04724"/>
    <w:rsid w:val="0CEA3954"/>
    <w:rsid w:val="0D17EAD5"/>
    <w:rsid w:val="0D4CB443"/>
    <w:rsid w:val="0D4CD1F1"/>
    <w:rsid w:val="0DBC8233"/>
    <w:rsid w:val="0DC0A773"/>
    <w:rsid w:val="0DCDD0BE"/>
    <w:rsid w:val="0E0EE97E"/>
    <w:rsid w:val="0E68402C"/>
    <w:rsid w:val="0E6E4159"/>
    <w:rsid w:val="0E71193A"/>
    <w:rsid w:val="0E7FA651"/>
    <w:rsid w:val="0F1067AF"/>
    <w:rsid w:val="0F131F2E"/>
    <w:rsid w:val="0F371A5E"/>
    <w:rsid w:val="0F3FDFE0"/>
    <w:rsid w:val="0F5A04C7"/>
    <w:rsid w:val="0F7FA122"/>
    <w:rsid w:val="0F9F89D8"/>
    <w:rsid w:val="0FB15C11"/>
    <w:rsid w:val="0FB240AC"/>
    <w:rsid w:val="0FC76130"/>
    <w:rsid w:val="1005E2E7"/>
    <w:rsid w:val="108095FC"/>
    <w:rsid w:val="10CC2839"/>
    <w:rsid w:val="10E29E31"/>
    <w:rsid w:val="1115E045"/>
    <w:rsid w:val="1133D0C3"/>
    <w:rsid w:val="1152CEF1"/>
    <w:rsid w:val="1218A40C"/>
    <w:rsid w:val="1228E893"/>
    <w:rsid w:val="122BBCCF"/>
    <w:rsid w:val="1247F3D6"/>
    <w:rsid w:val="125DA272"/>
    <w:rsid w:val="127F4FF7"/>
    <w:rsid w:val="12922BF2"/>
    <w:rsid w:val="12C6D69C"/>
    <w:rsid w:val="12FF8052"/>
    <w:rsid w:val="13014021"/>
    <w:rsid w:val="13180219"/>
    <w:rsid w:val="134B192C"/>
    <w:rsid w:val="13BF6BCA"/>
    <w:rsid w:val="13E610B4"/>
    <w:rsid w:val="13F8A6C5"/>
    <w:rsid w:val="14073AA8"/>
    <w:rsid w:val="140BF3B8"/>
    <w:rsid w:val="14372076"/>
    <w:rsid w:val="14632887"/>
    <w:rsid w:val="14C732F1"/>
    <w:rsid w:val="14DD1C1F"/>
    <w:rsid w:val="14FC1B2C"/>
    <w:rsid w:val="15341848"/>
    <w:rsid w:val="15472177"/>
    <w:rsid w:val="158A5FFE"/>
    <w:rsid w:val="15AD2848"/>
    <w:rsid w:val="16144849"/>
    <w:rsid w:val="16729A5B"/>
    <w:rsid w:val="16938432"/>
    <w:rsid w:val="16D2B04C"/>
    <w:rsid w:val="16E920B3"/>
    <w:rsid w:val="173842A5"/>
    <w:rsid w:val="17613B61"/>
    <w:rsid w:val="17991E59"/>
    <w:rsid w:val="17B047C0"/>
    <w:rsid w:val="17B5E0A4"/>
    <w:rsid w:val="17C9B719"/>
    <w:rsid w:val="17D2ADE9"/>
    <w:rsid w:val="17E6765D"/>
    <w:rsid w:val="17FD82F4"/>
    <w:rsid w:val="185D55DF"/>
    <w:rsid w:val="18A01F84"/>
    <w:rsid w:val="18EB17D1"/>
    <w:rsid w:val="18EE84D7"/>
    <w:rsid w:val="190AD8E0"/>
    <w:rsid w:val="197D5DD9"/>
    <w:rsid w:val="1982DD78"/>
    <w:rsid w:val="19916FE2"/>
    <w:rsid w:val="199A65DF"/>
    <w:rsid w:val="19B35DB3"/>
    <w:rsid w:val="19BC3D36"/>
    <w:rsid w:val="19CC9A4D"/>
    <w:rsid w:val="1A01394A"/>
    <w:rsid w:val="1A53C88D"/>
    <w:rsid w:val="1A6656ED"/>
    <w:rsid w:val="1A7CF24A"/>
    <w:rsid w:val="1AAAE28C"/>
    <w:rsid w:val="1AB47282"/>
    <w:rsid w:val="1ABCEB55"/>
    <w:rsid w:val="1AF3B89C"/>
    <w:rsid w:val="1B4AB416"/>
    <w:rsid w:val="1B537D28"/>
    <w:rsid w:val="1B8AB44A"/>
    <w:rsid w:val="1BA09C1C"/>
    <w:rsid w:val="1BC1AC85"/>
    <w:rsid w:val="1BCBB05C"/>
    <w:rsid w:val="1C0E0281"/>
    <w:rsid w:val="1C2061AB"/>
    <w:rsid w:val="1C231997"/>
    <w:rsid w:val="1C2A8DCD"/>
    <w:rsid w:val="1C7330EC"/>
    <w:rsid w:val="1C77DCD4"/>
    <w:rsid w:val="1C78D1DC"/>
    <w:rsid w:val="1C84F29E"/>
    <w:rsid w:val="1CC3EC38"/>
    <w:rsid w:val="1CE7BAB7"/>
    <w:rsid w:val="1D53E67F"/>
    <w:rsid w:val="1DC96DC7"/>
    <w:rsid w:val="1DDCF5FF"/>
    <w:rsid w:val="1E112178"/>
    <w:rsid w:val="1E6BFBEC"/>
    <w:rsid w:val="1E76429D"/>
    <w:rsid w:val="1E84BB69"/>
    <w:rsid w:val="1E952E73"/>
    <w:rsid w:val="1EE65CDA"/>
    <w:rsid w:val="1F02A16D"/>
    <w:rsid w:val="1F083F25"/>
    <w:rsid w:val="1F2D7B7E"/>
    <w:rsid w:val="1F39D8F5"/>
    <w:rsid w:val="1F3A4E3F"/>
    <w:rsid w:val="1F5FEB4C"/>
    <w:rsid w:val="1F67B35B"/>
    <w:rsid w:val="1F860F2F"/>
    <w:rsid w:val="1FA027EA"/>
    <w:rsid w:val="1FB4C513"/>
    <w:rsid w:val="1FD6B738"/>
    <w:rsid w:val="1FDE1440"/>
    <w:rsid w:val="1FE43B60"/>
    <w:rsid w:val="200AD7D2"/>
    <w:rsid w:val="2015E5B5"/>
    <w:rsid w:val="20A302CC"/>
    <w:rsid w:val="20A5E233"/>
    <w:rsid w:val="20AD2D35"/>
    <w:rsid w:val="20E5BFB6"/>
    <w:rsid w:val="20F8C5C4"/>
    <w:rsid w:val="2122F0C4"/>
    <w:rsid w:val="216101E2"/>
    <w:rsid w:val="216135A2"/>
    <w:rsid w:val="217AA2D5"/>
    <w:rsid w:val="21B46686"/>
    <w:rsid w:val="21D9E744"/>
    <w:rsid w:val="21E5E036"/>
    <w:rsid w:val="2210D860"/>
    <w:rsid w:val="2228A92A"/>
    <w:rsid w:val="223335BB"/>
    <w:rsid w:val="228F87C4"/>
    <w:rsid w:val="22B69341"/>
    <w:rsid w:val="22D5549F"/>
    <w:rsid w:val="22E631FE"/>
    <w:rsid w:val="22F03813"/>
    <w:rsid w:val="2300FBEA"/>
    <w:rsid w:val="231FECBD"/>
    <w:rsid w:val="233238E2"/>
    <w:rsid w:val="2338ADB7"/>
    <w:rsid w:val="233DF06E"/>
    <w:rsid w:val="23651A7C"/>
    <w:rsid w:val="237A973D"/>
    <w:rsid w:val="2380A813"/>
    <w:rsid w:val="23E2DCF0"/>
    <w:rsid w:val="24076D18"/>
    <w:rsid w:val="240C890C"/>
    <w:rsid w:val="241D5B19"/>
    <w:rsid w:val="246B1F5E"/>
    <w:rsid w:val="247E850E"/>
    <w:rsid w:val="24949C74"/>
    <w:rsid w:val="24AE8461"/>
    <w:rsid w:val="24AFB8A5"/>
    <w:rsid w:val="24F0EBB0"/>
    <w:rsid w:val="252FCC38"/>
    <w:rsid w:val="253B860E"/>
    <w:rsid w:val="254B25A4"/>
    <w:rsid w:val="25A872CB"/>
    <w:rsid w:val="25D0D7DD"/>
    <w:rsid w:val="25EBEEB4"/>
    <w:rsid w:val="26150D63"/>
    <w:rsid w:val="262E49D1"/>
    <w:rsid w:val="264C11B3"/>
    <w:rsid w:val="266FB50E"/>
    <w:rsid w:val="26779385"/>
    <w:rsid w:val="26AF75D7"/>
    <w:rsid w:val="26DB744D"/>
    <w:rsid w:val="27283712"/>
    <w:rsid w:val="274111ED"/>
    <w:rsid w:val="27547AAA"/>
    <w:rsid w:val="276A378F"/>
    <w:rsid w:val="278C503A"/>
    <w:rsid w:val="27B0CCEC"/>
    <w:rsid w:val="27DF1CF6"/>
    <w:rsid w:val="2845AE82"/>
    <w:rsid w:val="28B08252"/>
    <w:rsid w:val="28BBF844"/>
    <w:rsid w:val="28DA7A38"/>
    <w:rsid w:val="28FFE0FA"/>
    <w:rsid w:val="2900E1CC"/>
    <w:rsid w:val="2900FFBB"/>
    <w:rsid w:val="29198689"/>
    <w:rsid w:val="2937A6E8"/>
    <w:rsid w:val="293FCDC2"/>
    <w:rsid w:val="2963F855"/>
    <w:rsid w:val="2A2B875A"/>
    <w:rsid w:val="2A2FA3C4"/>
    <w:rsid w:val="2A45881F"/>
    <w:rsid w:val="2A50B622"/>
    <w:rsid w:val="2A7B3EFA"/>
    <w:rsid w:val="2A7F4A59"/>
    <w:rsid w:val="2AF6457D"/>
    <w:rsid w:val="2B1C40BE"/>
    <w:rsid w:val="2B1FAAC4"/>
    <w:rsid w:val="2B35D669"/>
    <w:rsid w:val="2B4246C0"/>
    <w:rsid w:val="2B534032"/>
    <w:rsid w:val="2BA8A0B3"/>
    <w:rsid w:val="2C01978B"/>
    <w:rsid w:val="2C036D62"/>
    <w:rsid w:val="2C350EDA"/>
    <w:rsid w:val="2C6306CB"/>
    <w:rsid w:val="2C665E07"/>
    <w:rsid w:val="2C850480"/>
    <w:rsid w:val="2CD3895A"/>
    <w:rsid w:val="2CF084A6"/>
    <w:rsid w:val="2CF1812B"/>
    <w:rsid w:val="2D44B62D"/>
    <w:rsid w:val="2D473B1C"/>
    <w:rsid w:val="2D4C20A7"/>
    <w:rsid w:val="2D57095A"/>
    <w:rsid w:val="2DD351F5"/>
    <w:rsid w:val="2DE8D535"/>
    <w:rsid w:val="2DF766CD"/>
    <w:rsid w:val="2E15D111"/>
    <w:rsid w:val="2E18A2A2"/>
    <w:rsid w:val="2E3CCB1D"/>
    <w:rsid w:val="2EA79757"/>
    <w:rsid w:val="2EA8FBD0"/>
    <w:rsid w:val="2F23B1F1"/>
    <w:rsid w:val="2F50A97B"/>
    <w:rsid w:val="2FC04AFA"/>
    <w:rsid w:val="2FCE13BC"/>
    <w:rsid w:val="30696FB4"/>
    <w:rsid w:val="306AE56A"/>
    <w:rsid w:val="306DF6CC"/>
    <w:rsid w:val="307BD8D8"/>
    <w:rsid w:val="308EFD17"/>
    <w:rsid w:val="309D1C83"/>
    <w:rsid w:val="30AD9EAF"/>
    <w:rsid w:val="30C61474"/>
    <w:rsid w:val="30CA8A5F"/>
    <w:rsid w:val="3129C125"/>
    <w:rsid w:val="3144FA20"/>
    <w:rsid w:val="315D7A4F"/>
    <w:rsid w:val="3181702C"/>
    <w:rsid w:val="31AF2614"/>
    <w:rsid w:val="31F2A1C8"/>
    <w:rsid w:val="31FA8A8C"/>
    <w:rsid w:val="3211D7EC"/>
    <w:rsid w:val="3228B47B"/>
    <w:rsid w:val="324C857B"/>
    <w:rsid w:val="3278F86B"/>
    <w:rsid w:val="32864842"/>
    <w:rsid w:val="329E9E82"/>
    <w:rsid w:val="32AFDA4C"/>
    <w:rsid w:val="32C81D34"/>
    <w:rsid w:val="32D9699C"/>
    <w:rsid w:val="32F01336"/>
    <w:rsid w:val="32F510EC"/>
    <w:rsid w:val="3300E0E6"/>
    <w:rsid w:val="33022C0D"/>
    <w:rsid w:val="3312337A"/>
    <w:rsid w:val="331F4FFB"/>
    <w:rsid w:val="33345289"/>
    <w:rsid w:val="3345E190"/>
    <w:rsid w:val="338D675D"/>
    <w:rsid w:val="33DB1C44"/>
    <w:rsid w:val="34211276"/>
    <w:rsid w:val="345F533E"/>
    <w:rsid w:val="34CAC880"/>
    <w:rsid w:val="34D8FC48"/>
    <w:rsid w:val="3559EAE1"/>
    <w:rsid w:val="36050868"/>
    <w:rsid w:val="362156E4"/>
    <w:rsid w:val="363B48BD"/>
    <w:rsid w:val="36629039"/>
    <w:rsid w:val="36D82A08"/>
    <w:rsid w:val="370ECB8F"/>
    <w:rsid w:val="370ED932"/>
    <w:rsid w:val="3732B8E0"/>
    <w:rsid w:val="378126EA"/>
    <w:rsid w:val="379C785E"/>
    <w:rsid w:val="3800123A"/>
    <w:rsid w:val="38353D79"/>
    <w:rsid w:val="383742ED"/>
    <w:rsid w:val="386498DB"/>
    <w:rsid w:val="388F313A"/>
    <w:rsid w:val="38A55C6A"/>
    <w:rsid w:val="38ACEB81"/>
    <w:rsid w:val="38C84563"/>
    <w:rsid w:val="38D77E07"/>
    <w:rsid w:val="38D7B142"/>
    <w:rsid w:val="38E695C2"/>
    <w:rsid w:val="3954A294"/>
    <w:rsid w:val="3958C2E0"/>
    <w:rsid w:val="397E3613"/>
    <w:rsid w:val="398F0327"/>
    <w:rsid w:val="39A5D6C0"/>
    <w:rsid w:val="39C16710"/>
    <w:rsid w:val="39CFD6C9"/>
    <w:rsid w:val="3A1A0A77"/>
    <w:rsid w:val="3A55727E"/>
    <w:rsid w:val="3AD18A78"/>
    <w:rsid w:val="3B502122"/>
    <w:rsid w:val="3B819333"/>
    <w:rsid w:val="3BB5DEBD"/>
    <w:rsid w:val="3BC28A07"/>
    <w:rsid w:val="3C035B00"/>
    <w:rsid w:val="3C7C02A4"/>
    <w:rsid w:val="3C82D127"/>
    <w:rsid w:val="3C989330"/>
    <w:rsid w:val="3CB733D1"/>
    <w:rsid w:val="3CF5EE98"/>
    <w:rsid w:val="3D1AA858"/>
    <w:rsid w:val="3D322DEF"/>
    <w:rsid w:val="3D426093"/>
    <w:rsid w:val="3D4AB69D"/>
    <w:rsid w:val="3D5AD548"/>
    <w:rsid w:val="3D68919D"/>
    <w:rsid w:val="3D773928"/>
    <w:rsid w:val="3D82BB9D"/>
    <w:rsid w:val="3D90B283"/>
    <w:rsid w:val="3DAA463E"/>
    <w:rsid w:val="3DD407E4"/>
    <w:rsid w:val="3DF0B5DB"/>
    <w:rsid w:val="3E08D99A"/>
    <w:rsid w:val="3E2CE739"/>
    <w:rsid w:val="3E34522A"/>
    <w:rsid w:val="3E4DC8A1"/>
    <w:rsid w:val="3E780D8F"/>
    <w:rsid w:val="3E8F4FC3"/>
    <w:rsid w:val="3E9D8313"/>
    <w:rsid w:val="3EDE26ED"/>
    <w:rsid w:val="3F10B475"/>
    <w:rsid w:val="3F2D128E"/>
    <w:rsid w:val="3F3DD92F"/>
    <w:rsid w:val="3F41741C"/>
    <w:rsid w:val="3F5C3F39"/>
    <w:rsid w:val="3F5CEC00"/>
    <w:rsid w:val="3F5D2684"/>
    <w:rsid w:val="3F5DD927"/>
    <w:rsid w:val="3F7306A6"/>
    <w:rsid w:val="3F7BDC69"/>
    <w:rsid w:val="3F844A01"/>
    <w:rsid w:val="3FB4E500"/>
    <w:rsid w:val="3FCC3648"/>
    <w:rsid w:val="3FCDC375"/>
    <w:rsid w:val="3FD74FE3"/>
    <w:rsid w:val="400C4286"/>
    <w:rsid w:val="402233CE"/>
    <w:rsid w:val="404C71F5"/>
    <w:rsid w:val="406502C7"/>
    <w:rsid w:val="409F0622"/>
    <w:rsid w:val="40A4A719"/>
    <w:rsid w:val="40AECFB3"/>
    <w:rsid w:val="40C37964"/>
    <w:rsid w:val="40C6DE57"/>
    <w:rsid w:val="40DF369E"/>
    <w:rsid w:val="4121DA56"/>
    <w:rsid w:val="41342E06"/>
    <w:rsid w:val="417C4C3E"/>
    <w:rsid w:val="419CEAF8"/>
    <w:rsid w:val="419D390D"/>
    <w:rsid w:val="420A0741"/>
    <w:rsid w:val="425F1179"/>
    <w:rsid w:val="427615CC"/>
    <w:rsid w:val="42B443AC"/>
    <w:rsid w:val="42C5D4BE"/>
    <w:rsid w:val="42E4FD5B"/>
    <w:rsid w:val="43197448"/>
    <w:rsid w:val="434A8293"/>
    <w:rsid w:val="44669E5C"/>
    <w:rsid w:val="449149C7"/>
    <w:rsid w:val="45295211"/>
    <w:rsid w:val="4574B457"/>
    <w:rsid w:val="45DA6423"/>
    <w:rsid w:val="45E4EF98"/>
    <w:rsid w:val="460B6599"/>
    <w:rsid w:val="46371607"/>
    <w:rsid w:val="4637EAFC"/>
    <w:rsid w:val="46400A11"/>
    <w:rsid w:val="464203E3"/>
    <w:rsid w:val="466A6D89"/>
    <w:rsid w:val="46ECF2C4"/>
    <w:rsid w:val="472D45B6"/>
    <w:rsid w:val="47556BAD"/>
    <w:rsid w:val="4792C91A"/>
    <w:rsid w:val="479F119B"/>
    <w:rsid w:val="47A24402"/>
    <w:rsid w:val="47A9E899"/>
    <w:rsid w:val="47E051DA"/>
    <w:rsid w:val="481EEFD5"/>
    <w:rsid w:val="484EECB3"/>
    <w:rsid w:val="484EEF22"/>
    <w:rsid w:val="486FAE5B"/>
    <w:rsid w:val="48AF5B1E"/>
    <w:rsid w:val="48CF0472"/>
    <w:rsid w:val="48D5A864"/>
    <w:rsid w:val="491C936C"/>
    <w:rsid w:val="49413A5D"/>
    <w:rsid w:val="497FF157"/>
    <w:rsid w:val="4983E854"/>
    <w:rsid w:val="4A0910B7"/>
    <w:rsid w:val="4A0A599B"/>
    <w:rsid w:val="4A11D9A2"/>
    <w:rsid w:val="4A144E43"/>
    <w:rsid w:val="4A62A63D"/>
    <w:rsid w:val="4A680407"/>
    <w:rsid w:val="4A6C40FF"/>
    <w:rsid w:val="4A9C1C9A"/>
    <w:rsid w:val="4A9C6D1F"/>
    <w:rsid w:val="4A9E3547"/>
    <w:rsid w:val="4AA80E86"/>
    <w:rsid w:val="4AD4F4E6"/>
    <w:rsid w:val="4AFA8180"/>
    <w:rsid w:val="4B829432"/>
    <w:rsid w:val="4BBB7B42"/>
    <w:rsid w:val="4C23463E"/>
    <w:rsid w:val="4C258ED2"/>
    <w:rsid w:val="4C30B4F3"/>
    <w:rsid w:val="4C40B344"/>
    <w:rsid w:val="4C42D6DF"/>
    <w:rsid w:val="4C4F8154"/>
    <w:rsid w:val="4C53C4DF"/>
    <w:rsid w:val="4C6BF81B"/>
    <w:rsid w:val="4C96A01F"/>
    <w:rsid w:val="4CC23C48"/>
    <w:rsid w:val="4CC2A33C"/>
    <w:rsid w:val="4CD236CD"/>
    <w:rsid w:val="4CDB5443"/>
    <w:rsid w:val="4CE518E5"/>
    <w:rsid w:val="4CF87267"/>
    <w:rsid w:val="4D51735B"/>
    <w:rsid w:val="4DA1F892"/>
    <w:rsid w:val="4DC5077A"/>
    <w:rsid w:val="4DE37183"/>
    <w:rsid w:val="4E1567E7"/>
    <w:rsid w:val="4E1B3CAA"/>
    <w:rsid w:val="4E45B5BD"/>
    <w:rsid w:val="4E5DDF9E"/>
    <w:rsid w:val="4E932137"/>
    <w:rsid w:val="4EB6622E"/>
    <w:rsid w:val="4EC5FA53"/>
    <w:rsid w:val="4ECDC2FE"/>
    <w:rsid w:val="4ED9A6FE"/>
    <w:rsid w:val="4EFBD047"/>
    <w:rsid w:val="4F00312E"/>
    <w:rsid w:val="4F5BCCEE"/>
    <w:rsid w:val="4F949A81"/>
    <w:rsid w:val="4FB1E383"/>
    <w:rsid w:val="4FCF70BD"/>
    <w:rsid w:val="4FD0A9DB"/>
    <w:rsid w:val="4FD9790A"/>
    <w:rsid w:val="4FDC563F"/>
    <w:rsid w:val="4FFB9A19"/>
    <w:rsid w:val="5055B05F"/>
    <w:rsid w:val="509812A5"/>
    <w:rsid w:val="50B54E30"/>
    <w:rsid w:val="50EA7D5E"/>
    <w:rsid w:val="51036117"/>
    <w:rsid w:val="510EF5BF"/>
    <w:rsid w:val="5123214C"/>
    <w:rsid w:val="5147FA8C"/>
    <w:rsid w:val="51514DF4"/>
    <w:rsid w:val="518725CA"/>
    <w:rsid w:val="51B378AE"/>
    <w:rsid w:val="51B3F70C"/>
    <w:rsid w:val="521C517C"/>
    <w:rsid w:val="524C4F69"/>
    <w:rsid w:val="5266E627"/>
    <w:rsid w:val="528709A1"/>
    <w:rsid w:val="52C1D461"/>
    <w:rsid w:val="52E11AB1"/>
    <w:rsid w:val="52EE3D95"/>
    <w:rsid w:val="53075462"/>
    <w:rsid w:val="5319D665"/>
    <w:rsid w:val="531EF0F2"/>
    <w:rsid w:val="53396A57"/>
    <w:rsid w:val="53587096"/>
    <w:rsid w:val="5371CAC9"/>
    <w:rsid w:val="53A516A4"/>
    <w:rsid w:val="53A7AFA5"/>
    <w:rsid w:val="53BC787B"/>
    <w:rsid w:val="53D93020"/>
    <w:rsid w:val="53DAFEE4"/>
    <w:rsid w:val="53E04F3A"/>
    <w:rsid w:val="544206B9"/>
    <w:rsid w:val="5471472F"/>
    <w:rsid w:val="549928DC"/>
    <w:rsid w:val="54CE6A58"/>
    <w:rsid w:val="551C9C58"/>
    <w:rsid w:val="5524AF7B"/>
    <w:rsid w:val="5548D37F"/>
    <w:rsid w:val="55ACC390"/>
    <w:rsid w:val="55EA0473"/>
    <w:rsid w:val="56B55AE0"/>
    <w:rsid w:val="56C9F8C9"/>
    <w:rsid w:val="56CBA08A"/>
    <w:rsid w:val="57174B64"/>
    <w:rsid w:val="571D8C72"/>
    <w:rsid w:val="5727F679"/>
    <w:rsid w:val="5745959F"/>
    <w:rsid w:val="57A0F511"/>
    <w:rsid w:val="57FD1677"/>
    <w:rsid w:val="580D0282"/>
    <w:rsid w:val="5829C08E"/>
    <w:rsid w:val="583BDD99"/>
    <w:rsid w:val="5849FFB6"/>
    <w:rsid w:val="58644F87"/>
    <w:rsid w:val="58A46E52"/>
    <w:rsid w:val="58B09B5D"/>
    <w:rsid w:val="58DA31BB"/>
    <w:rsid w:val="58E15199"/>
    <w:rsid w:val="58E52E2E"/>
    <w:rsid w:val="59861B21"/>
    <w:rsid w:val="59D189C4"/>
    <w:rsid w:val="59ECFBA2"/>
    <w:rsid w:val="5A06791B"/>
    <w:rsid w:val="5A1AC5A2"/>
    <w:rsid w:val="5A7CBE5E"/>
    <w:rsid w:val="5A9F7F91"/>
    <w:rsid w:val="5ABFA090"/>
    <w:rsid w:val="5B056984"/>
    <w:rsid w:val="5B3D2B3E"/>
    <w:rsid w:val="5B63B451"/>
    <w:rsid w:val="5B8D7B31"/>
    <w:rsid w:val="5BB5DB7D"/>
    <w:rsid w:val="5BC38837"/>
    <w:rsid w:val="5BD7B111"/>
    <w:rsid w:val="5BD7EE19"/>
    <w:rsid w:val="5BF33890"/>
    <w:rsid w:val="5C01E072"/>
    <w:rsid w:val="5C0CBE33"/>
    <w:rsid w:val="5C305F13"/>
    <w:rsid w:val="5C8E0E96"/>
    <w:rsid w:val="5CD9FF0D"/>
    <w:rsid w:val="5D03CA20"/>
    <w:rsid w:val="5D271600"/>
    <w:rsid w:val="5D84E20E"/>
    <w:rsid w:val="5DBCC89F"/>
    <w:rsid w:val="5E14D834"/>
    <w:rsid w:val="5E55E3CA"/>
    <w:rsid w:val="5E8CA051"/>
    <w:rsid w:val="5EA719F2"/>
    <w:rsid w:val="5EADF5DB"/>
    <w:rsid w:val="5EB1136A"/>
    <w:rsid w:val="5ED3FEC1"/>
    <w:rsid w:val="5F0B544D"/>
    <w:rsid w:val="5F6FF0C1"/>
    <w:rsid w:val="5F71410C"/>
    <w:rsid w:val="5F73341F"/>
    <w:rsid w:val="5F76237D"/>
    <w:rsid w:val="5F9EA623"/>
    <w:rsid w:val="5FA2E475"/>
    <w:rsid w:val="5FB8834B"/>
    <w:rsid w:val="5FBEFC1F"/>
    <w:rsid w:val="60431DA7"/>
    <w:rsid w:val="60881B68"/>
    <w:rsid w:val="60885873"/>
    <w:rsid w:val="608D30CD"/>
    <w:rsid w:val="60A8FE7A"/>
    <w:rsid w:val="60EA01DF"/>
    <w:rsid w:val="60EAA6CE"/>
    <w:rsid w:val="60F80225"/>
    <w:rsid w:val="61762B70"/>
    <w:rsid w:val="6193E32C"/>
    <w:rsid w:val="61E95C40"/>
    <w:rsid w:val="620CB10F"/>
    <w:rsid w:val="625A0020"/>
    <w:rsid w:val="627B5E4A"/>
    <w:rsid w:val="62B9224F"/>
    <w:rsid w:val="62C5152A"/>
    <w:rsid w:val="62EBE272"/>
    <w:rsid w:val="62EC2FC3"/>
    <w:rsid w:val="630AE8F7"/>
    <w:rsid w:val="63480885"/>
    <w:rsid w:val="634A843F"/>
    <w:rsid w:val="63696674"/>
    <w:rsid w:val="637D3ABA"/>
    <w:rsid w:val="63F3F684"/>
    <w:rsid w:val="63FC77FB"/>
    <w:rsid w:val="640CEB3F"/>
    <w:rsid w:val="641688AB"/>
    <w:rsid w:val="64435114"/>
    <w:rsid w:val="6445B446"/>
    <w:rsid w:val="64A7BEEE"/>
    <w:rsid w:val="64CF534A"/>
    <w:rsid w:val="653A705E"/>
    <w:rsid w:val="655F6D97"/>
    <w:rsid w:val="6561D916"/>
    <w:rsid w:val="65AF616C"/>
    <w:rsid w:val="65B61D99"/>
    <w:rsid w:val="65DA34D1"/>
    <w:rsid w:val="66747720"/>
    <w:rsid w:val="66848FC1"/>
    <w:rsid w:val="668EEBE0"/>
    <w:rsid w:val="66AEE54F"/>
    <w:rsid w:val="66BBCCD2"/>
    <w:rsid w:val="66E2A659"/>
    <w:rsid w:val="66F86286"/>
    <w:rsid w:val="6702DB7F"/>
    <w:rsid w:val="67097D64"/>
    <w:rsid w:val="673482EF"/>
    <w:rsid w:val="6753496F"/>
    <w:rsid w:val="675B7085"/>
    <w:rsid w:val="67E58AF3"/>
    <w:rsid w:val="683B79BE"/>
    <w:rsid w:val="68670578"/>
    <w:rsid w:val="686F3685"/>
    <w:rsid w:val="687D9ABE"/>
    <w:rsid w:val="689FB4C1"/>
    <w:rsid w:val="68ABC10F"/>
    <w:rsid w:val="68B763B4"/>
    <w:rsid w:val="68C9B0FC"/>
    <w:rsid w:val="68D942FB"/>
    <w:rsid w:val="68E159E1"/>
    <w:rsid w:val="68F306C6"/>
    <w:rsid w:val="6912179A"/>
    <w:rsid w:val="691A7CD4"/>
    <w:rsid w:val="692C6455"/>
    <w:rsid w:val="693D4558"/>
    <w:rsid w:val="696D0A1A"/>
    <w:rsid w:val="69DA4B63"/>
    <w:rsid w:val="6A1C356D"/>
    <w:rsid w:val="6A2A21E6"/>
    <w:rsid w:val="6A5D5F61"/>
    <w:rsid w:val="6A62224E"/>
    <w:rsid w:val="6A78C7E9"/>
    <w:rsid w:val="6AECAB21"/>
    <w:rsid w:val="6B163422"/>
    <w:rsid w:val="6B31CAE0"/>
    <w:rsid w:val="6B462DA7"/>
    <w:rsid w:val="6B65A94F"/>
    <w:rsid w:val="6B9839D3"/>
    <w:rsid w:val="6C096E52"/>
    <w:rsid w:val="6C0D99EF"/>
    <w:rsid w:val="6C1D7DD2"/>
    <w:rsid w:val="6C24E4BF"/>
    <w:rsid w:val="6C4A507F"/>
    <w:rsid w:val="6C882EC9"/>
    <w:rsid w:val="6C917938"/>
    <w:rsid w:val="6CA922BD"/>
    <w:rsid w:val="6CABCE5F"/>
    <w:rsid w:val="6CB1CD67"/>
    <w:rsid w:val="6D0E8688"/>
    <w:rsid w:val="6D293824"/>
    <w:rsid w:val="6D514118"/>
    <w:rsid w:val="6DAF4840"/>
    <w:rsid w:val="6DE95CD6"/>
    <w:rsid w:val="6DFB75AB"/>
    <w:rsid w:val="6E391CED"/>
    <w:rsid w:val="6E575BC6"/>
    <w:rsid w:val="6E7C5A02"/>
    <w:rsid w:val="6E88F7B3"/>
    <w:rsid w:val="6F55B79E"/>
    <w:rsid w:val="6F8C9AE4"/>
    <w:rsid w:val="6F8E885C"/>
    <w:rsid w:val="6F9752AF"/>
    <w:rsid w:val="6FD2202F"/>
    <w:rsid w:val="6FE38C04"/>
    <w:rsid w:val="6FF37F0E"/>
    <w:rsid w:val="7003748F"/>
    <w:rsid w:val="70595DCE"/>
    <w:rsid w:val="705CE5D9"/>
    <w:rsid w:val="708EA4BF"/>
    <w:rsid w:val="70BB746E"/>
    <w:rsid w:val="70FEBA2C"/>
    <w:rsid w:val="7125EB96"/>
    <w:rsid w:val="71269635"/>
    <w:rsid w:val="715F129E"/>
    <w:rsid w:val="7165CE65"/>
    <w:rsid w:val="717A6E5A"/>
    <w:rsid w:val="719416C9"/>
    <w:rsid w:val="71C81AF8"/>
    <w:rsid w:val="71CAE186"/>
    <w:rsid w:val="71DD9A2F"/>
    <w:rsid w:val="71F9E15B"/>
    <w:rsid w:val="728898D0"/>
    <w:rsid w:val="729BCBDD"/>
    <w:rsid w:val="72A004FF"/>
    <w:rsid w:val="72A5E945"/>
    <w:rsid w:val="72CCC2BE"/>
    <w:rsid w:val="72E44B53"/>
    <w:rsid w:val="73363583"/>
    <w:rsid w:val="7337C644"/>
    <w:rsid w:val="73772E8E"/>
    <w:rsid w:val="737E8D2F"/>
    <w:rsid w:val="73A470EE"/>
    <w:rsid w:val="73AD5737"/>
    <w:rsid w:val="73B82753"/>
    <w:rsid w:val="73D8A658"/>
    <w:rsid w:val="74095E9D"/>
    <w:rsid w:val="745025F0"/>
    <w:rsid w:val="745ABDD8"/>
    <w:rsid w:val="74629BD1"/>
    <w:rsid w:val="74706291"/>
    <w:rsid w:val="74D7F4C5"/>
    <w:rsid w:val="74FE98A2"/>
    <w:rsid w:val="75208066"/>
    <w:rsid w:val="7520E297"/>
    <w:rsid w:val="75460F16"/>
    <w:rsid w:val="75724B10"/>
    <w:rsid w:val="759A99CD"/>
    <w:rsid w:val="7633B43D"/>
    <w:rsid w:val="763A04E6"/>
    <w:rsid w:val="763E68F9"/>
    <w:rsid w:val="76647700"/>
    <w:rsid w:val="7682E4AD"/>
    <w:rsid w:val="7685B13A"/>
    <w:rsid w:val="76917415"/>
    <w:rsid w:val="77105E4E"/>
    <w:rsid w:val="77175F92"/>
    <w:rsid w:val="77217F76"/>
    <w:rsid w:val="7730ACB6"/>
    <w:rsid w:val="77378EC9"/>
    <w:rsid w:val="7750CAEF"/>
    <w:rsid w:val="7794BD54"/>
    <w:rsid w:val="77B8D1B8"/>
    <w:rsid w:val="77C4E990"/>
    <w:rsid w:val="77EBA5E8"/>
    <w:rsid w:val="77F29AD0"/>
    <w:rsid w:val="78D85336"/>
    <w:rsid w:val="78E3A147"/>
    <w:rsid w:val="790346AF"/>
    <w:rsid w:val="79269CE3"/>
    <w:rsid w:val="792FCB6A"/>
    <w:rsid w:val="799542EF"/>
    <w:rsid w:val="79BB6974"/>
    <w:rsid w:val="79D3D766"/>
    <w:rsid w:val="79D95700"/>
    <w:rsid w:val="79FF4196"/>
    <w:rsid w:val="7A175AA8"/>
    <w:rsid w:val="7A36C043"/>
    <w:rsid w:val="7A5BEF38"/>
    <w:rsid w:val="7A9DF111"/>
    <w:rsid w:val="7B289BB6"/>
    <w:rsid w:val="7B2C08A3"/>
    <w:rsid w:val="7B8418FD"/>
    <w:rsid w:val="7BC46828"/>
    <w:rsid w:val="7BF1E46E"/>
    <w:rsid w:val="7C08D48E"/>
    <w:rsid w:val="7C34C6BA"/>
    <w:rsid w:val="7C538366"/>
    <w:rsid w:val="7C7DA783"/>
    <w:rsid w:val="7C7F0C2F"/>
    <w:rsid w:val="7CBA5345"/>
    <w:rsid w:val="7CC91A6E"/>
    <w:rsid w:val="7CDF2A2B"/>
    <w:rsid w:val="7CF3D318"/>
    <w:rsid w:val="7D168A3C"/>
    <w:rsid w:val="7D676D65"/>
    <w:rsid w:val="7D7B6805"/>
    <w:rsid w:val="7D9698E2"/>
    <w:rsid w:val="7E117FC0"/>
    <w:rsid w:val="7E18D9DE"/>
    <w:rsid w:val="7E3B6849"/>
    <w:rsid w:val="7E676BFA"/>
    <w:rsid w:val="7E8880E2"/>
    <w:rsid w:val="7E961731"/>
    <w:rsid w:val="7EDD5999"/>
    <w:rsid w:val="7F05D078"/>
    <w:rsid w:val="7F0B3C89"/>
    <w:rsid w:val="7F2755FC"/>
    <w:rsid w:val="7F27A5A6"/>
    <w:rsid w:val="7F2DC981"/>
    <w:rsid w:val="7F3C1794"/>
    <w:rsid w:val="7F91A3A1"/>
    <w:rsid w:val="7FA82BEB"/>
    <w:rsid w:val="7FBC2009"/>
    <w:rsid w:val="7FD2281A"/>
    <w:rsid w:val="7FD8B114"/>
    <w:rsid w:val="7FDA39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D4BE3"/>
  <w14:discardImageEditingData/>
  <w15:chartTrackingRefBased/>
  <w15:docId w15:val="{31421F0B-B1AB-4976-9C1C-3B90F1A4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4" w:unhideWhenUsed="1" w:qFormat="1"/>
    <w:lsdException w:name="FollowedHyperlink" w:semiHidden="1" w:unhideWhenUsed="1" w:qFormat="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A02"/>
  </w:style>
  <w:style w:type="paragraph" w:styleId="Heading1">
    <w:name w:val="heading 1"/>
    <w:next w:val="Normal"/>
    <w:link w:val="Heading1Char"/>
    <w:uiPriority w:val="9"/>
    <w:qFormat/>
    <w:rsid w:val="006B2A02"/>
    <w:pPr>
      <w:keepNext/>
      <w:spacing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uiPriority w:val="9"/>
    <w:qFormat/>
    <w:rsid w:val="006B2A02"/>
    <w:pPr>
      <w:outlineLvl w:val="1"/>
    </w:pPr>
    <w:rPr>
      <w:sz w:val="28"/>
      <w:szCs w:val="26"/>
    </w:rPr>
  </w:style>
  <w:style w:type="paragraph" w:styleId="Heading3">
    <w:name w:val="heading 3"/>
    <w:basedOn w:val="Heading1"/>
    <w:next w:val="Normal"/>
    <w:link w:val="Heading3Char"/>
    <w:uiPriority w:val="9"/>
    <w:qFormat/>
    <w:rsid w:val="006B2A02"/>
    <w:pPr>
      <w:outlineLvl w:val="2"/>
    </w:pPr>
    <w:rPr>
      <w:i/>
      <w:sz w:val="28"/>
      <w:szCs w:val="22"/>
    </w:rPr>
  </w:style>
  <w:style w:type="paragraph" w:styleId="Heading4">
    <w:name w:val="heading 4"/>
    <w:basedOn w:val="Normal"/>
    <w:next w:val="Normal"/>
    <w:link w:val="Heading4Char"/>
    <w:uiPriority w:val="9"/>
    <w:unhideWhenUsed/>
    <w:qFormat/>
    <w:rsid w:val="005A189C"/>
    <w:pPr>
      <w:keepNext/>
      <w:keepLines/>
      <w:spacing w:before="80" w:after="0"/>
      <w:outlineLvl w:val="3"/>
    </w:pPr>
    <w:rPr>
      <w:rFonts w:asciiTheme="majorHAnsi" w:eastAsiaTheme="majorEastAsia" w:hAnsiTheme="majorHAnsi" w:cstheme="majorBidi"/>
      <w:color w:val="0073CF" w:themeColor="accent6"/>
    </w:rPr>
  </w:style>
  <w:style w:type="paragraph" w:styleId="Heading5">
    <w:name w:val="heading 5"/>
    <w:basedOn w:val="Normal"/>
    <w:next w:val="Normal"/>
    <w:link w:val="Heading5Char"/>
    <w:uiPriority w:val="9"/>
    <w:unhideWhenUsed/>
    <w:qFormat/>
    <w:rsid w:val="005A189C"/>
    <w:pPr>
      <w:keepNext/>
      <w:keepLines/>
      <w:spacing w:before="40" w:after="0"/>
      <w:outlineLvl w:val="4"/>
    </w:pPr>
    <w:rPr>
      <w:rFonts w:asciiTheme="majorHAnsi" w:eastAsiaTheme="majorEastAsia" w:hAnsiTheme="majorHAnsi" w:cstheme="majorBidi"/>
      <w:i/>
      <w:iCs/>
      <w:color w:val="0073CF" w:themeColor="accent6"/>
    </w:rPr>
  </w:style>
  <w:style w:type="paragraph" w:styleId="Heading6">
    <w:name w:val="heading 6"/>
    <w:basedOn w:val="Normal"/>
    <w:next w:val="Normal"/>
    <w:link w:val="Heading6Char"/>
    <w:uiPriority w:val="9"/>
    <w:unhideWhenUsed/>
    <w:qFormat/>
    <w:rsid w:val="005A189C"/>
    <w:pPr>
      <w:keepNext/>
      <w:keepLines/>
      <w:spacing w:before="40" w:after="0"/>
      <w:outlineLvl w:val="5"/>
    </w:pPr>
    <w:rPr>
      <w:rFonts w:asciiTheme="majorHAnsi" w:eastAsiaTheme="majorEastAsia" w:hAnsiTheme="majorHAnsi" w:cstheme="majorBidi"/>
      <w:color w:val="0073CF" w:themeColor="accent6"/>
    </w:rPr>
  </w:style>
  <w:style w:type="paragraph" w:styleId="Heading7">
    <w:name w:val="heading 7"/>
    <w:basedOn w:val="Normal"/>
    <w:next w:val="Normal"/>
    <w:link w:val="Heading7Char"/>
    <w:uiPriority w:val="9"/>
    <w:unhideWhenUsed/>
    <w:qFormat/>
    <w:rsid w:val="005A189C"/>
    <w:pPr>
      <w:keepNext/>
      <w:keepLines/>
      <w:spacing w:before="40" w:after="0"/>
      <w:outlineLvl w:val="6"/>
    </w:pPr>
    <w:rPr>
      <w:rFonts w:asciiTheme="majorHAnsi" w:eastAsiaTheme="majorEastAsia" w:hAnsiTheme="majorHAnsi" w:cstheme="majorBidi"/>
      <w:b/>
      <w:bCs/>
      <w:color w:val="0073CF" w:themeColor="accent6"/>
    </w:rPr>
  </w:style>
  <w:style w:type="paragraph" w:styleId="Heading8">
    <w:name w:val="heading 8"/>
    <w:basedOn w:val="Normal"/>
    <w:next w:val="Normal"/>
    <w:link w:val="Heading8Char"/>
    <w:uiPriority w:val="9"/>
    <w:unhideWhenUsed/>
    <w:qFormat/>
    <w:rsid w:val="005A189C"/>
    <w:pPr>
      <w:keepNext/>
      <w:keepLines/>
      <w:spacing w:before="40" w:after="0"/>
      <w:outlineLvl w:val="7"/>
    </w:pPr>
    <w:rPr>
      <w:rFonts w:asciiTheme="majorHAnsi" w:eastAsiaTheme="majorEastAsia" w:hAnsiTheme="majorHAnsi" w:cstheme="majorBidi"/>
      <w:b/>
      <w:bCs/>
      <w:i/>
      <w:iCs/>
      <w:color w:val="0073CF" w:themeColor="accent6"/>
      <w:sz w:val="20"/>
      <w:szCs w:val="20"/>
    </w:rPr>
  </w:style>
  <w:style w:type="paragraph" w:styleId="Heading9">
    <w:name w:val="heading 9"/>
    <w:basedOn w:val="Normal"/>
    <w:next w:val="Normal"/>
    <w:link w:val="Heading9Char"/>
    <w:uiPriority w:val="9"/>
    <w:unhideWhenUsed/>
    <w:qFormat/>
    <w:rsid w:val="005A189C"/>
    <w:pPr>
      <w:keepNext/>
      <w:keepLines/>
      <w:spacing w:before="40" w:after="0"/>
      <w:outlineLvl w:val="8"/>
    </w:pPr>
    <w:rPr>
      <w:rFonts w:asciiTheme="majorHAnsi" w:eastAsiaTheme="majorEastAsia" w:hAnsiTheme="majorHAnsi" w:cstheme="majorBidi"/>
      <w:i/>
      <w:iCs/>
      <w:color w:val="0073CF"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A02"/>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6B2A0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6B2A0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uiPriority w:val="9"/>
    <w:rsid w:val="005A189C"/>
    <w:rPr>
      <w:rFonts w:asciiTheme="majorHAnsi" w:eastAsiaTheme="majorEastAsia" w:hAnsiTheme="majorHAnsi" w:cstheme="majorBidi"/>
      <w:color w:val="0073CF" w:themeColor="accent6"/>
    </w:rPr>
  </w:style>
  <w:style w:type="character" w:customStyle="1" w:styleId="Heading5Char">
    <w:name w:val="Heading 5 Char"/>
    <w:basedOn w:val="DefaultParagraphFont"/>
    <w:link w:val="Heading5"/>
    <w:uiPriority w:val="9"/>
    <w:rsid w:val="005A189C"/>
    <w:rPr>
      <w:rFonts w:asciiTheme="majorHAnsi" w:eastAsiaTheme="majorEastAsia" w:hAnsiTheme="majorHAnsi" w:cstheme="majorBidi"/>
      <w:i/>
      <w:iCs/>
      <w:color w:val="0073CF" w:themeColor="accent6"/>
    </w:rPr>
  </w:style>
  <w:style w:type="character" w:customStyle="1" w:styleId="Heading6Char">
    <w:name w:val="Heading 6 Char"/>
    <w:basedOn w:val="DefaultParagraphFont"/>
    <w:link w:val="Heading6"/>
    <w:uiPriority w:val="9"/>
    <w:rsid w:val="005A189C"/>
    <w:rPr>
      <w:rFonts w:asciiTheme="majorHAnsi" w:eastAsiaTheme="majorEastAsia" w:hAnsiTheme="majorHAnsi" w:cstheme="majorBidi"/>
      <w:color w:val="0073CF" w:themeColor="accent6"/>
    </w:rPr>
  </w:style>
  <w:style w:type="character" w:customStyle="1" w:styleId="Heading7Char">
    <w:name w:val="Heading 7 Char"/>
    <w:basedOn w:val="DefaultParagraphFont"/>
    <w:link w:val="Heading7"/>
    <w:uiPriority w:val="9"/>
    <w:semiHidden/>
    <w:rsid w:val="005A189C"/>
    <w:rPr>
      <w:rFonts w:asciiTheme="majorHAnsi" w:eastAsiaTheme="majorEastAsia" w:hAnsiTheme="majorHAnsi" w:cstheme="majorBidi"/>
      <w:b/>
      <w:bCs/>
      <w:color w:val="0073CF" w:themeColor="accent6"/>
    </w:rPr>
  </w:style>
  <w:style w:type="character" w:customStyle="1" w:styleId="Heading8Char">
    <w:name w:val="Heading 8 Char"/>
    <w:basedOn w:val="DefaultParagraphFont"/>
    <w:link w:val="Heading8"/>
    <w:uiPriority w:val="9"/>
    <w:semiHidden/>
    <w:rsid w:val="005A189C"/>
    <w:rPr>
      <w:rFonts w:asciiTheme="majorHAnsi" w:eastAsiaTheme="majorEastAsia" w:hAnsiTheme="majorHAnsi" w:cstheme="majorBidi"/>
      <w:b/>
      <w:bCs/>
      <w:i/>
      <w:iCs/>
      <w:color w:val="0073CF" w:themeColor="accent6"/>
      <w:sz w:val="20"/>
      <w:szCs w:val="20"/>
    </w:rPr>
  </w:style>
  <w:style w:type="character" w:customStyle="1" w:styleId="Heading9Char">
    <w:name w:val="Heading 9 Char"/>
    <w:basedOn w:val="DefaultParagraphFont"/>
    <w:link w:val="Heading9"/>
    <w:uiPriority w:val="9"/>
    <w:semiHidden/>
    <w:rsid w:val="005A189C"/>
    <w:rPr>
      <w:rFonts w:asciiTheme="majorHAnsi" w:eastAsiaTheme="majorEastAsia" w:hAnsiTheme="majorHAnsi" w:cstheme="majorBidi"/>
      <w:i/>
      <w:iCs/>
      <w:color w:val="0073CF" w:themeColor="accent6"/>
      <w:sz w:val="20"/>
      <w:szCs w:val="20"/>
    </w:rPr>
  </w:style>
  <w:style w:type="paragraph" w:customStyle="1" w:styleId="Numberedlistmultilevel">
    <w:name w:val="Numbered list multilevel"/>
    <w:basedOn w:val="Normal"/>
    <w:uiPriority w:val="1"/>
    <w:qFormat/>
    <w:rsid w:val="006B2A02"/>
    <w:pPr>
      <w:numPr>
        <w:numId w:val="4"/>
      </w:numPr>
      <w:tabs>
        <w:tab w:val="num" w:pos="360"/>
      </w:tabs>
    </w:pPr>
  </w:style>
  <w:style w:type="paragraph" w:styleId="ListParagraph">
    <w:name w:val="List Paragraph"/>
    <w:basedOn w:val="Normal"/>
    <w:uiPriority w:val="34"/>
    <w:rsid w:val="00C234A2"/>
    <w:pPr>
      <w:ind w:left="720"/>
      <w:contextualSpacing/>
    </w:pPr>
  </w:style>
  <w:style w:type="table" w:customStyle="1" w:styleId="CSCGridblue">
    <w:name w:val="CSC Grid blue"/>
    <w:basedOn w:val="TableNormal"/>
    <w:uiPriority w:val="99"/>
    <w:rsid w:val="00E5656D"/>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Row">
      <w:pPr>
        <w:jc w:val="left"/>
      </w:pPr>
      <w:rPr>
        <w:rFonts w:ascii="Segoe UI Historic" w:hAnsi="Segoe UI Historic"/>
        <w:b/>
        <w:color w:val="FFFFFF" w:themeColor="background1"/>
        <w:sz w:val="20"/>
      </w:rPr>
      <w:tblPr/>
      <w:tcPr>
        <w:shd w:val="clear" w:color="auto" w:fill="031F73" w:themeFill="text2"/>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Pr/>
      <w:tcPr>
        <w:shd w:val="clear" w:color="auto" w:fill="B2C4FD" w:themeFill="text2" w:themeFillTint="33"/>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Gridyellow">
    <w:name w:val="CSC Grid yellow"/>
    <w:basedOn w:val="TableNormal"/>
    <w:uiPriority w:val="99"/>
    <w:rsid w:val="00E5656D"/>
    <w:rPr>
      <w:sz w:val="20"/>
      <w:szCs w:val="2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Pr>
    <w:trPr>
      <w:cantSplit/>
    </w:trPr>
    <w:tblStylePr w:type="firstRow">
      <w:rPr>
        <w:rFonts w:ascii="Segoe UI Historic" w:hAnsi="Segoe UI Historic"/>
        <w:b/>
        <w:color w:val="000000" w:themeColor="text1"/>
        <w:sz w:val="20"/>
      </w:rPr>
      <w:tblPr/>
      <w:tcPr>
        <w:shd w:val="clear" w:color="auto" w:fill="EBB700" w:themeFill="background2"/>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Headerblue">
    <w:name w:val="CSC Header blu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Segoe UI Historic" w:hAnsi="Segoe UI Historic"/>
        <w:b/>
        <w:sz w:val="20"/>
      </w:rPr>
      <w:tblPr/>
      <w:tcPr>
        <w:shd w:val="clear" w:color="auto" w:fill="031F73" w:themeFill="text2"/>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Headeryellow">
    <w:name w:val="CSC Header yellow"/>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Segoe UI Historic" w:hAnsi="Segoe UI Historic"/>
        <w:b/>
        <w:sz w:val="20"/>
      </w:rPr>
      <w:tblPr/>
      <w:tcPr>
        <w:shd w:val="clear" w:color="auto" w:fill="EBB700" w:themeFill="background2"/>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paragraph" w:styleId="Date">
    <w:name w:val="Date"/>
    <w:basedOn w:val="Normal"/>
    <w:next w:val="Normal"/>
    <w:link w:val="DateChar"/>
    <w:qFormat/>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6B2A02"/>
    <w:rPr>
      <w:i/>
      <w:iCs/>
    </w:rPr>
  </w:style>
  <w:style w:type="character" w:styleId="FollowedHyperlink">
    <w:name w:val="FollowedHyperlink"/>
    <w:basedOn w:val="DefaultParagraphFont"/>
    <w:uiPriority w:val="4"/>
    <w:qFormat/>
    <w:rsid w:val="006B2A02"/>
    <w:rPr>
      <w:color w:val="800080" w:themeColor="followedHyperlink"/>
      <w:u w:val="single"/>
    </w:rPr>
  </w:style>
  <w:style w:type="paragraph" w:styleId="Footer">
    <w:name w:val="footer"/>
    <w:basedOn w:val="Normal"/>
    <w:link w:val="FooterChar"/>
    <w:uiPriority w:val="10"/>
    <w:qFormat/>
    <w:rsid w:val="006B2A02"/>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6B2A02"/>
    <w:rPr>
      <w:sz w:val="18"/>
      <w:szCs w:val="20"/>
      <w:lang w:eastAsia="en-US"/>
    </w:rPr>
  </w:style>
  <w:style w:type="paragraph" w:customStyle="1" w:styleId="Footerbold">
    <w:name w:val="Footer bold"/>
    <w:basedOn w:val="Footer"/>
    <w:link w:val="FooterboldChar"/>
    <w:uiPriority w:val="10"/>
    <w:qFormat/>
    <w:rsid w:val="006B2A02"/>
    <w:rPr>
      <w:b/>
    </w:rPr>
  </w:style>
  <w:style w:type="character" w:customStyle="1" w:styleId="FooterboldChar">
    <w:name w:val="Footer bold Char"/>
    <w:basedOn w:val="FooterChar"/>
    <w:link w:val="Footerbold"/>
    <w:uiPriority w:val="10"/>
    <w:rsid w:val="006B2A02"/>
    <w:rPr>
      <w:b/>
      <w:sz w:val="18"/>
      <w:szCs w:val="20"/>
      <w:lang w:eastAsia="en-US"/>
    </w:rPr>
  </w:style>
  <w:style w:type="character" w:styleId="Hyperlink">
    <w:name w:val="Hyperlink"/>
    <w:uiPriority w:val="4"/>
    <w:qFormat/>
    <w:rsid w:val="006B2A02"/>
    <w:rPr>
      <w:color w:val="0000FF" w:themeColor="hyperlink"/>
      <w:u w:val="single"/>
    </w:rPr>
  </w:style>
  <w:style w:type="character" w:styleId="PageNumber">
    <w:name w:val="page number"/>
    <w:basedOn w:val="DefaultParagraphFont"/>
    <w:uiPriority w:val="10"/>
    <w:qFormat/>
    <w:rsid w:val="006B2A02"/>
    <w:rPr>
      <w:rFonts w:ascii="Franklin Gothic Book" w:hAnsi="Franklin Gothic Book"/>
      <w:sz w:val="18"/>
    </w:rPr>
  </w:style>
  <w:style w:type="character" w:styleId="Strong">
    <w:name w:val="Strong"/>
    <w:uiPriority w:val="2"/>
    <w:qFormat/>
    <w:rsid w:val="006B2A02"/>
    <w:rPr>
      <w:b/>
      <w:bCs/>
    </w:rPr>
  </w:style>
  <w:style w:type="paragraph" w:styleId="Title">
    <w:name w:val="Title"/>
    <w:next w:val="Normal"/>
    <w:link w:val="TitleChar"/>
    <w:qFormat/>
    <w:rsid w:val="006B2A02"/>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rsid w:val="006B2A02"/>
    <w:rPr>
      <w:rFonts w:ascii="Franklin Gothic Medium" w:eastAsiaTheme="majorEastAsia" w:hAnsi="Franklin Gothic Medium" w:cs="Arial"/>
      <w:bCs/>
      <w:kern w:val="28"/>
      <w:sz w:val="64"/>
      <w:szCs w:val="64"/>
      <w:lang w:eastAsia="en-US"/>
    </w:rPr>
  </w:style>
  <w:style w:type="paragraph" w:styleId="Subtitle">
    <w:name w:val="Subtitle"/>
    <w:basedOn w:val="Normal"/>
    <w:next w:val="Normal"/>
    <w:link w:val="SubtitleChar"/>
    <w:qFormat/>
    <w:rsid w:val="005A189C"/>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A189C"/>
    <w:rPr>
      <w:rFonts w:asciiTheme="majorHAnsi" w:eastAsiaTheme="majorEastAsia" w:hAnsiTheme="majorHAnsi" w:cstheme="majorBidi"/>
      <w:sz w:val="30"/>
      <w:szCs w:val="30"/>
    </w:rPr>
  </w:style>
  <w:style w:type="table" w:styleId="TableGrid">
    <w:name w:val="Table Grid"/>
    <w:aliases w:val="CSC Table Grid"/>
    <w:basedOn w:val="TableNormal"/>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Segoe UI Historic" w:hAnsi="Segoe UI Historic"/>
        <w:b/>
        <w:sz w:val="20"/>
      </w:r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39"/>
    <w:qFormat/>
    <w:rsid w:val="008531FB"/>
    <w:pPr>
      <w:tabs>
        <w:tab w:val="left" w:pos="660"/>
        <w:tab w:val="right" w:leader="underscore" w:pos="9345"/>
      </w:tabs>
      <w:spacing w:after="0"/>
    </w:pPr>
    <w:rPr>
      <w:rFonts w:asciiTheme="minorHAnsi" w:hAnsiTheme="minorHAnsi"/>
      <w:b/>
      <w:bCs/>
      <w:noProof/>
      <w:sz w:val="24"/>
      <w:szCs w:val="24"/>
    </w:rPr>
  </w:style>
  <w:style w:type="paragraph" w:styleId="TOC2">
    <w:name w:val="toc 2"/>
    <w:basedOn w:val="Normal"/>
    <w:next w:val="Normal"/>
    <w:autoRedefine/>
    <w:uiPriority w:val="39"/>
    <w:qFormat/>
    <w:rsid w:val="008531FB"/>
    <w:pPr>
      <w:tabs>
        <w:tab w:val="right" w:leader="underscore" w:pos="9345"/>
      </w:tabs>
      <w:spacing w:after="0"/>
      <w:ind w:left="220"/>
    </w:pPr>
    <w:rPr>
      <w:rFonts w:asciiTheme="minorHAnsi" w:hAnsiTheme="minorHAnsi"/>
      <w:noProof/>
    </w:r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link w:val="CaptionChar"/>
    <w:unhideWhenUsed/>
    <w:rsid w:val="005A189C"/>
    <w:rPr>
      <w:b/>
      <w:bCs/>
      <w:smallCaps/>
      <w:color w:val="595959" w:themeColor="text1" w:themeTint="A6"/>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tabs>
        <w:tab w:val="left" w:pos="1134"/>
      </w:tabs>
    </w:pPr>
    <w:rPr>
      <w:rFonts w:ascii="Franklin Gothic Medium" w:eastAsiaTheme="majorEastAsia" w:hAnsi="Franklin Gothic Medium"/>
      <w:i/>
    </w:rPr>
  </w:style>
  <w:style w:type="character" w:styleId="FootnoteReference">
    <w:name w:val="footnote reference"/>
    <w:basedOn w:val="DefaultParagraphFont"/>
    <w:rsid w:val="005B30E6"/>
    <w:rPr>
      <w:rFonts w:ascii="Franklin Gothic Book" w:hAnsi="Franklin Gothic Book"/>
      <w:sz w:val="20"/>
      <w:vertAlign w:val="superscript"/>
    </w:rPr>
  </w:style>
  <w:style w:type="paragraph" w:styleId="FootnoteText">
    <w:name w:val="footnote text"/>
    <w:basedOn w:val="Normal"/>
    <w:link w:val="FootnoteTextChar"/>
    <w:uiPriority w:val="9"/>
    <w:qFormat/>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rsid w:val="00BD287D"/>
    <w:pPr>
      <w:tabs>
        <w:tab w:val="center" w:pos="4513"/>
        <w:tab w:val="right" w:pos="9026"/>
      </w:tabs>
    </w:pPr>
  </w:style>
  <w:style w:type="character" w:customStyle="1" w:styleId="HeaderChar">
    <w:name w:val="Header Char"/>
    <w:basedOn w:val="DefaultParagraphFont"/>
    <w:link w:val="Header"/>
    <w:uiPriority w:val="99"/>
    <w:rsid w:val="00BD287D"/>
  </w:style>
  <w:style w:type="paragraph" w:customStyle="1" w:styleId="NonTOCHeading1">
    <w:name w:val="Non TOC Heading 1"/>
    <w:next w:val="Normal"/>
    <w:uiPriority w:val="9"/>
    <w:semiHidden/>
    <w:rsid w:val="00862933"/>
    <w:pPr>
      <w:keepNext/>
      <w:spacing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tabs>
        <w:tab w:val="left" w:pos="1134"/>
      </w:tabs>
      <w:ind w:left="1134" w:hanging="1134"/>
    </w:pPr>
    <w:rPr>
      <w:rFonts w:ascii="Franklin Gothic Medium" w:eastAsiaTheme="majorEastAsia" w:hAnsi="Franklin Gothic Medium"/>
      <w:i/>
    </w:rPr>
  </w:style>
  <w:style w:type="paragraph" w:styleId="Bibliography">
    <w:name w:val="Bibliography"/>
    <w:basedOn w:val="Normal"/>
    <w:next w:val="Normal"/>
    <w:qFormat/>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5"/>
      </w:numPr>
    </w:pPr>
  </w:style>
  <w:style w:type="numbering" w:customStyle="1" w:styleId="CSCTableheadinglist">
    <w:name w:val="CSC Table heading list"/>
    <w:uiPriority w:val="99"/>
    <w:rsid w:val="005479E6"/>
    <w:pPr>
      <w:numPr>
        <w:numId w:val="2"/>
      </w:numPr>
    </w:pPr>
  </w:style>
  <w:style w:type="numbering" w:customStyle="1" w:styleId="CSCHeadinglistnumberstyle">
    <w:name w:val="CSC Heading list number style"/>
    <w:uiPriority w:val="99"/>
    <w:rsid w:val="00763A14"/>
    <w:pPr>
      <w:numPr>
        <w:numId w:val="6"/>
      </w:numPr>
    </w:pPr>
  </w:style>
  <w:style w:type="paragraph" w:customStyle="1" w:styleId="Bulletlistmultilevel">
    <w:name w:val="Bullet list multilevel"/>
    <w:basedOn w:val="Normal"/>
    <w:uiPriority w:val="1"/>
    <w:qFormat/>
    <w:rsid w:val="006B2A02"/>
    <w:pPr>
      <w:numPr>
        <w:numId w:val="3"/>
      </w:numPr>
    </w:pPr>
  </w:style>
  <w:style w:type="paragraph" w:customStyle="1" w:styleId="Bulletlevel2CSC">
    <w:name w:val="Bullet level 2 CSC"/>
    <w:basedOn w:val="Normal"/>
    <w:semiHidden/>
    <w:qFormat/>
    <w:rsid w:val="006B2A02"/>
    <w:pPr>
      <w:numPr>
        <w:ilvl w:val="1"/>
        <w:numId w:val="3"/>
      </w:numPr>
      <w:spacing w:after="60"/>
    </w:pPr>
  </w:style>
  <w:style w:type="paragraph" w:customStyle="1" w:styleId="Bulletlevel3CSC">
    <w:name w:val="Bullet level 3 CSC"/>
    <w:basedOn w:val="Normal"/>
    <w:semiHidden/>
    <w:qFormat/>
    <w:rsid w:val="006B2A02"/>
    <w:pPr>
      <w:numPr>
        <w:ilvl w:val="2"/>
        <w:numId w:val="3"/>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6B2A02"/>
    <w:pPr>
      <w:numPr>
        <w:ilvl w:val="1"/>
        <w:numId w:val="4"/>
      </w:numPr>
      <w:tabs>
        <w:tab w:val="num" w:pos="360"/>
      </w:tabs>
      <w:spacing w:after="60"/>
    </w:pPr>
  </w:style>
  <w:style w:type="paragraph" w:customStyle="1" w:styleId="Numberlevel3CSC">
    <w:name w:val="Number level 3 CSC"/>
    <w:basedOn w:val="Normal"/>
    <w:semiHidden/>
    <w:qFormat/>
    <w:rsid w:val="006B2A02"/>
    <w:pPr>
      <w:numPr>
        <w:ilvl w:val="2"/>
        <w:numId w:val="4"/>
      </w:numPr>
      <w:tabs>
        <w:tab w:val="num" w:pos="360"/>
      </w:tabs>
      <w:spacing w:after="60"/>
    </w:pPr>
  </w:style>
  <w:style w:type="numbering" w:customStyle="1" w:styleId="CSCMultilevelnumberedlist">
    <w:name w:val="CSC Multilevel numbered list"/>
    <w:uiPriority w:val="99"/>
    <w:rsid w:val="00B843BC"/>
  </w:style>
  <w:style w:type="paragraph" w:customStyle="1" w:styleId="Numberlevel4CSC">
    <w:name w:val="Number level 4 CSC"/>
    <w:basedOn w:val="Normal"/>
    <w:semiHidden/>
    <w:qFormat/>
    <w:rsid w:val="006B2A02"/>
    <w:pPr>
      <w:numPr>
        <w:ilvl w:val="3"/>
        <w:numId w:val="4"/>
      </w:numPr>
      <w:tabs>
        <w:tab w:val="num" w:pos="360"/>
      </w:tabs>
      <w:spacing w:after="60"/>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rPr>
      <w:rFonts w:eastAsiaTheme="majorEastAsia" w:cstheme="majorBidi"/>
      <w:b/>
      <w:bCs/>
      <w:sz w:val="24"/>
      <w:szCs w:val="24"/>
    </w:rPr>
  </w:style>
  <w:style w:type="paragraph" w:styleId="TOCHeading">
    <w:name w:val="TOC Heading"/>
    <w:basedOn w:val="Heading1"/>
    <w:next w:val="Normal"/>
    <w:uiPriority w:val="39"/>
    <w:qFormat/>
    <w:rsid w:val="006B2A02"/>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Nogridblue">
    <w:name w:val="CSC No grid blue"/>
    <w:basedOn w:val="TableNormal"/>
    <w:uiPriority w:val="99"/>
    <w:rsid w:val="00E5656D"/>
    <w:tblPr>
      <w:tblStyleRowBandSize w:val="1"/>
    </w:tblPr>
    <w:tcPr>
      <w:tcMar>
        <w:top w:w="108" w:type="dxa"/>
        <w:bottom w:w="108" w:type="dxa"/>
      </w:tcMar>
    </w:tcPr>
    <w:tblStylePr w:type="firstRow">
      <w:rPr>
        <w:rFonts w:ascii="Segoe UI Historic" w:hAnsi="Segoe UI Historic"/>
        <w:b/>
        <w:sz w:val="20"/>
      </w:rPr>
      <w:tblPr/>
      <w:tcPr>
        <w:shd w:val="clear" w:color="auto" w:fill="031F73" w:themeFill="text2"/>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Pr/>
      <w:tcPr>
        <w:shd w:val="clear" w:color="auto" w:fill="B2C4FD" w:themeFill="text2" w:themeFillTint="33"/>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Nogridyellow">
    <w:name w:val="CSC No grid yellow"/>
    <w:basedOn w:val="TableNormal"/>
    <w:uiPriority w:val="99"/>
    <w:rsid w:val="00E5656D"/>
    <w:tblPr>
      <w:tblStyleRowBandSize w:val="1"/>
    </w:tblPr>
    <w:tcPr>
      <w:tcMar>
        <w:top w:w="108" w:type="dxa"/>
        <w:bottom w:w="108" w:type="dxa"/>
      </w:tcMar>
    </w:tcPr>
    <w:tblStylePr w:type="firstRow">
      <w:rPr>
        <w:rFonts w:ascii="Segoe UI Historic" w:hAnsi="Segoe UI Historic"/>
        <w:b/>
        <w:sz w:val="20"/>
      </w:rPr>
      <w:tblPr/>
      <w:tcPr>
        <w:shd w:val="clear" w:color="auto" w:fill="EBB700" w:themeFill="background2"/>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Pr/>
      <w:tcPr>
        <w:shd w:val="clear" w:color="auto" w:fill="FFF2C8" w:themeFill="background2" w:themeFillTint="33"/>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TableAubergine">
    <w:name w:val="CSC Table Aubergin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Segoe UI Historic" w:hAnsi="Segoe UI Historic"/>
        <w:b/>
        <w:sz w:val="20"/>
      </w:rPr>
      <w:tblPr/>
      <w:tcPr>
        <w:shd w:val="clear" w:color="auto" w:fill="5E2750" w:themeFill="accent5"/>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Pr/>
      <w:tcPr>
        <w:shd w:val="clear" w:color="auto" w:fill="E8C9E0" w:themeFill="accent5" w:themeFillTint="33"/>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TableBluewren">
    <w:name w:val="CSC Table Blue wren"/>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Segoe UI Historic" w:hAnsi="Segoe UI Historic"/>
        <w:b/>
        <w:color w:val="FFFFFF" w:themeColor="background1"/>
        <w:sz w:val="20"/>
      </w:rPr>
      <w:tblPr/>
      <w:tcPr>
        <w:shd w:val="clear" w:color="auto" w:fill="0073CF" w:themeFill="accent6"/>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Pr/>
      <w:tcPr>
        <w:shd w:val="clear" w:color="auto" w:fill="C2E3FF" w:themeFill="accent6" w:themeFillTint="33"/>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TableCapsicum">
    <w:name w:val="CSC Table Capsicum"/>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Segoe UI Historic" w:hAnsi="Segoe UI Historic"/>
        <w:b/>
        <w:color w:val="FFFFFF" w:themeColor="background1"/>
        <w:sz w:val="20"/>
      </w:rPr>
      <w:tblPr/>
      <w:tcPr>
        <w:shd w:val="clear" w:color="auto" w:fill="A22B38" w:themeFill="accent4"/>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Pr/>
      <w:tcPr>
        <w:shd w:val="clear" w:color="auto" w:fill="F2CED2" w:themeFill="accent4" w:themeFillTint="33"/>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TableLime">
    <w:name w:val="CSC Table Lim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Segoe UI Historic" w:hAnsi="Segoe UI Historic"/>
        <w:b/>
        <w:sz w:val="20"/>
      </w:rPr>
      <w:tblPr/>
      <w:tcPr>
        <w:shd w:val="clear" w:color="auto" w:fill="C1BB00" w:themeFill="accent1"/>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Pr/>
      <w:tcPr>
        <w:shd w:val="clear" w:color="auto" w:fill="FFFDBF" w:themeFill="accent1" w:themeFillTint="33"/>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TableOlive">
    <w:name w:val="CSC Table Oliv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Segoe UI Historic" w:hAnsi="Segoe UI Historic"/>
        <w:b/>
        <w:color w:val="FFFFFF" w:themeColor="background1"/>
        <w:sz w:val="20"/>
      </w:rPr>
      <w:tblPr/>
      <w:tcPr>
        <w:shd w:val="clear" w:color="auto" w:fill="53682B" w:themeFill="accent2"/>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Pr/>
      <w:tcPr>
        <w:shd w:val="clear" w:color="auto" w:fill="DFE9CB" w:themeFill="accent2" w:themeFillTint="33"/>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CSCTableSweetpotato">
    <w:name w:val="CSC Table Sweet potato"/>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Segoe UI Historic" w:hAnsi="Segoe UI Historic"/>
        <w:b/>
        <w:color w:val="FFFFFF" w:themeColor="background1"/>
        <w:sz w:val="20"/>
      </w:rPr>
      <w:tblPr/>
      <w:tcPr>
        <w:shd w:val="clear" w:color="auto" w:fill="C75B12" w:themeFill="accent3"/>
      </w:tcPr>
    </w:tblStylePr>
    <w:tblStylePr w:type="lastRow">
      <w:rPr>
        <w:rFonts w:ascii="Segoe UI Historic" w:hAnsi="Segoe UI Historic"/>
        <w:sz w:val="20"/>
      </w:rPr>
    </w:tblStylePr>
    <w:tblStylePr w:type="firstCol">
      <w:rPr>
        <w:rFonts w:ascii="Segoe UI Historic" w:hAnsi="Segoe UI Historic"/>
        <w:sz w:val="20"/>
      </w:rPr>
    </w:tblStylePr>
    <w:tblStylePr w:type="lastCol">
      <w:rPr>
        <w:rFonts w:ascii="Segoe UI Historic" w:hAnsi="Segoe UI Historic"/>
        <w:sz w:val="20"/>
      </w:rPr>
    </w:tblStylePr>
    <w:tblStylePr w:type="band1Vert">
      <w:rPr>
        <w:rFonts w:ascii="Segoe UI Historic" w:hAnsi="Segoe UI Historic"/>
        <w:sz w:val="20"/>
      </w:rPr>
    </w:tblStylePr>
    <w:tblStylePr w:type="band2Vert">
      <w:rPr>
        <w:rFonts w:ascii="Segoe UI Historic" w:hAnsi="Segoe UI Historic"/>
        <w:sz w:val="20"/>
      </w:rPr>
    </w:tblStylePr>
    <w:tblStylePr w:type="band1Horz">
      <w:rPr>
        <w:rFonts w:ascii="Segoe UI Historic" w:hAnsi="Segoe UI Historic"/>
        <w:sz w:val="20"/>
      </w:rPr>
    </w:tblStylePr>
    <w:tblStylePr w:type="band2Horz">
      <w:rPr>
        <w:rFonts w:ascii="Segoe UI Historic" w:hAnsi="Segoe UI Historic"/>
        <w:sz w:val="20"/>
      </w:rPr>
      <w:tblPr/>
      <w:tcPr>
        <w:shd w:val="clear" w:color="auto" w:fill="FADCC9" w:themeFill="accent3" w:themeFillTint="33"/>
        <w:tcMar>
          <w:top w:w="108" w:type="dxa"/>
          <w:left w:w="108" w:type="dxa"/>
          <w:bottom w:w="108" w:type="dxa"/>
          <w:right w:w="108" w:type="dxa"/>
        </w:tcMar>
      </w:tcPr>
    </w:tblStylePr>
    <w:tblStylePr w:type="neCell">
      <w:rPr>
        <w:rFonts w:ascii="Segoe UI Historic" w:hAnsi="Segoe UI Historic"/>
        <w:sz w:val="20"/>
      </w:rPr>
    </w:tblStylePr>
    <w:tblStylePr w:type="nwCell">
      <w:rPr>
        <w:rFonts w:ascii="Segoe UI Historic" w:hAnsi="Segoe UI Historic"/>
        <w:sz w:val="20"/>
      </w:rPr>
    </w:tblStylePr>
    <w:tblStylePr w:type="seCell">
      <w:rPr>
        <w:rFonts w:ascii="Segoe UI Historic" w:hAnsi="Segoe UI Historic"/>
        <w:sz w:val="20"/>
      </w:rPr>
    </w:tblStylePr>
    <w:tblStylePr w:type="swCell">
      <w:rPr>
        <w:rFonts w:ascii="Segoe UI Historic" w:hAnsi="Segoe UI Historic"/>
        <w:sz w:val="20"/>
      </w:rPr>
    </w:tblStylePr>
  </w:style>
  <w:style w:type="table" w:customStyle="1" w:styleId="TableGrid0">
    <w:name w:val="TableGrid"/>
    <w:rsid w:val="0040173D"/>
    <w:rPr>
      <w:rFonts w:eastAsiaTheme="minorEastAsia" w:cstheme="minorBidi"/>
      <w:kern w:val="2"/>
      <w14:ligatures w14:val="standardContextual"/>
    </w:rPr>
    <w:tblPr>
      <w:tblCellMar>
        <w:top w:w="0" w:type="dxa"/>
        <w:left w:w="0" w:type="dxa"/>
        <w:bottom w:w="0" w:type="dxa"/>
        <w:right w:w="0" w:type="dxa"/>
      </w:tblCellMar>
    </w:tblPr>
  </w:style>
  <w:style w:type="paragraph" w:styleId="TOC3">
    <w:name w:val="toc 3"/>
    <w:basedOn w:val="Normal"/>
    <w:next w:val="Normal"/>
    <w:autoRedefine/>
    <w:uiPriority w:val="39"/>
    <w:unhideWhenUsed/>
    <w:rsid w:val="0040173D"/>
    <w:pPr>
      <w:spacing w:before="0" w:after="0"/>
      <w:ind w:left="440"/>
    </w:pPr>
    <w:rPr>
      <w:rFonts w:asciiTheme="minorHAnsi" w:hAnsiTheme="minorHAnsi"/>
      <w:sz w:val="20"/>
      <w:szCs w:val="20"/>
    </w:rPr>
  </w:style>
  <w:style w:type="table" w:styleId="GridTable1Light-Accent1">
    <w:name w:val="Grid Table 1 Light Accent 1"/>
    <w:basedOn w:val="TableNormal"/>
    <w:uiPriority w:val="46"/>
    <w:rsid w:val="0040173D"/>
    <w:rPr>
      <w:rFonts w:asciiTheme="minorHAnsi" w:eastAsiaTheme="minorEastAsia" w:hAnsiTheme="minorHAnsi" w:cstheme="minorBidi"/>
      <w:kern w:val="2"/>
      <w14:ligatures w14:val="standardContextual"/>
    </w:rPr>
    <w:tblPr>
      <w:tblStyleRowBandSize w:val="1"/>
      <w:tblStyleColBandSize w:val="1"/>
      <w:tblBorders>
        <w:top w:val="single" w:sz="4" w:space="0" w:color="FFFB80" w:themeColor="accent1" w:themeTint="66"/>
        <w:left w:val="single" w:sz="4" w:space="0" w:color="FFFB80" w:themeColor="accent1" w:themeTint="66"/>
        <w:bottom w:val="single" w:sz="4" w:space="0" w:color="FFFB80" w:themeColor="accent1" w:themeTint="66"/>
        <w:right w:val="single" w:sz="4" w:space="0" w:color="FFFB80" w:themeColor="accent1" w:themeTint="66"/>
        <w:insideH w:val="single" w:sz="4" w:space="0" w:color="FFFB80" w:themeColor="accent1" w:themeTint="66"/>
        <w:insideV w:val="single" w:sz="4" w:space="0" w:color="FFFB80" w:themeColor="accent1" w:themeTint="66"/>
      </w:tblBorders>
    </w:tblPr>
    <w:tblStylePr w:type="firstRow">
      <w:rPr>
        <w:b/>
        <w:bCs/>
      </w:rPr>
      <w:tblPr/>
      <w:tcPr>
        <w:tcBorders>
          <w:bottom w:val="single" w:sz="12" w:space="0" w:color="FFF940" w:themeColor="accent1" w:themeTint="99"/>
        </w:tcBorders>
      </w:tcPr>
    </w:tblStylePr>
    <w:tblStylePr w:type="lastRow">
      <w:rPr>
        <w:b/>
        <w:bCs/>
      </w:rPr>
      <w:tblPr/>
      <w:tcPr>
        <w:tcBorders>
          <w:top w:val="double" w:sz="2" w:space="0" w:color="FFF940" w:themeColor="accent1" w:themeTint="99"/>
        </w:tcBorders>
      </w:tcPr>
    </w:tblStylePr>
    <w:tblStylePr w:type="firstCol">
      <w:rPr>
        <w:b/>
        <w:bCs/>
      </w:rPr>
    </w:tblStylePr>
    <w:tblStylePr w:type="lastCol">
      <w:rPr>
        <w:b/>
        <w:bCs/>
      </w:rPr>
    </w:tblStylePr>
  </w:style>
  <w:style w:type="paragraph" w:styleId="NoSpacing">
    <w:name w:val="No Spacing"/>
    <w:uiPriority w:val="39"/>
    <w:semiHidden/>
    <w:qFormat/>
    <w:rsid w:val="005A189C"/>
  </w:style>
  <w:style w:type="paragraph" w:styleId="Quote">
    <w:name w:val="Quote"/>
    <w:basedOn w:val="Normal"/>
    <w:next w:val="Normal"/>
    <w:link w:val="QuoteChar"/>
    <w:uiPriority w:val="29"/>
    <w:rsid w:val="005A189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A189C"/>
    <w:rPr>
      <w:i/>
      <w:iCs/>
      <w:color w:val="262626" w:themeColor="text1" w:themeTint="D9"/>
    </w:rPr>
  </w:style>
  <w:style w:type="paragraph" w:styleId="IntenseQuote">
    <w:name w:val="Intense Quote"/>
    <w:basedOn w:val="Normal"/>
    <w:next w:val="Normal"/>
    <w:link w:val="IntenseQuoteChar"/>
    <w:uiPriority w:val="30"/>
    <w:rsid w:val="005A189C"/>
    <w:pPr>
      <w:spacing w:before="160" w:after="160" w:line="264" w:lineRule="auto"/>
      <w:ind w:left="720" w:right="720"/>
      <w:jc w:val="center"/>
    </w:pPr>
    <w:rPr>
      <w:rFonts w:asciiTheme="majorHAnsi" w:eastAsiaTheme="majorEastAsia" w:hAnsiTheme="majorHAnsi" w:cstheme="majorBidi"/>
      <w:i/>
      <w:iCs/>
      <w:color w:val="0073CF" w:themeColor="accent6"/>
      <w:sz w:val="32"/>
      <w:szCs w:val="32"/>
    </w:rPr>
  </w:style>
  <w:style w:type="character" w:customStyle="1" w:styleId="IntenseQuoteChar">
    <w:name w:val="Intense Quote Char"/>
    <w:basedOn w:val="DefaultParagraphFont"/>
    <w:link w:val="IntenseQuote"/>
    <w:uiPriority w:val="30"/>
    <w:rsid w:val="005A189C"/>
    <w:rPr>
      <w:rFonts w:asciiTheme="majorHAnsi" w:eastAsiaTheme="majorEastAsia" w:hAnsiTheme="majorHAnsi" w:cstheme="majorBidi"/>
      <w:i/>
      <w:iCs/>
      <w:color w:val="0073CF" w:themeColor="accent6"/>
      <w:sz w:val="32"/>
      <w:szCs w:val="32"/>
    </w:rPr>
  </w:style>
  <w:style w:type="character" w:styleId="SubtleEmphasis">
    <w:name w:val="Subtle Emphasis"/>
    <w:basedOn w:val="DefaultParagraphFont"/>
    <w:uiPriority w:val="19"/>
    <w:rsid w:val="005A189C"/>
    <w:rPr>
      <w:i/>
      <w:iCs/>
    </w:rPr>
  </w:style>
  <w:style w:type="character" w:styleId="IntenseEmphasis">
    <w:name w:val="Intense Emphasis"/>
    <w:basedOn w:val="DefaultParagraphFont"/>
    <w:uiPriority w:val="21"/>
    <w:rsid w:val="005A189C"/>
    <w:rPr>
      <w:b/>
      <w:bCs/>
      <w:i/>
      <w:iCs/>
    </w:rPr>
  </w:style>
  <w:style w:type="character" w:styleId="SubtleReference">
    <w:name w:val="Subtle Reference"/>
    <w:basedOn w:val="DefaultParagraphFont"/>
    <w:uiPriority w:val="31"/>
    <w:rsid w:val="005A189C"/>
    <w:rPr>
      <w:smallCaps/>
      <w:color w:val="595959" w:themeColor="text1" w:themeTint="A6"/>
    </w:rPr>
  </w:style>
  <w:style w:type="character" w:styleId="IntenseReference">
    <w:name w:val="Intense Reference"/>
    <w:basedOn w:val="DefaultParagraphFont"/>
    <w:uiPriority w:val="32"/>
    <w:rsid w:val="005A189C"/>
    <w:rPr>
      <w:b/>
      <w:bCs/>
      <w:smallCaps/>
      <w:color w:val="0073CF" w:themeColor="accent6"/>
    </w:rPr>
  </w:style>
  <w:style w:type="character" w:styleId="BookTitle">
    <w:name w:val="Book Title"/>
    <w:basedOn w:val="DefaultParagraphFont"/>
    <w:uiPriority w:val="33"/>
    <w:rsid w:val="005A189C"/>
    <w:rPr>
      <w:b/>
      <w:bCs/>
      <w:caps w:val="0"/>
      <w:smallCaps/>
      <w:spacing w:val="7"/>
      <w:sz w:val="21"/>
      <w:szCs w:val="21"/>
    </w:rPr>
  </w:style>
  <w:style w:type="paragraph" w:styleId="Revision">
    <w:name w:val="Revision"/>
    <w:hidden/>
    <w:uiPriority w:val="99"/>
    <w:semiHidden/>
    <w:rsid w:val="003A6743"/>
    <w:pPr>
      <w:spacing w:before="0" w:after="0"/>
    </w:pPr>
  </w:style>
  <w:style w:type="character" w:styleId="CommentReference">
    <w:name w:val="annotation reference"/>
    <w:basedOn w:val="DefaultParagraphFont"/>
    <w:unhideWhenUsed/>
    <w:rsid w:val="00626510"/>
    <w:rPr>
      <w:sz w:val="16"/>
      <w:szCs w:val="16"/>
    </w:rPr>
  </w:style>
  <w:style w:type="paragraph" w:styleId="CommentText">
    <w:name w:val="annotation text"/>
    <w:basedOn w:val="Normal"/>
    <w:link w:val="CommentTextChar"/>
    <w:unhideWhenUsed/>
    <w:rsid w:val="00626510"/>
    <w:rPr>
      <w:sz w:val="20"/>
      <w:szCs w:val="20"/>
    </w:rPr>
  </w:style>
  <w:style w:type="character" w:customStyle="1" w:styleId="CommentTextChar">
    <w:name w:val="Comment Text Char"/>
    <w:basedOn w:val="DefaultParagraphFont"/>
    <w:link w:val="CommentText"/>
    <w:rsid w:val="00626510"/>
    <w:rPr>
      <w:sz w:val="20"/>
      <w:szCs w:val="20"/>
    </w:rPr>
  </w:style>
  <w:style w:type="paragraph" w:styleId="CommentSubject">
    <w:name w:val="annotation subject"/>
    <w:basedOn w:val="CommentText"/>
    <w:next w:val="CommentText"/>
    <w:link w:val="CommentSubjectChar"/>
    <w:semiHidden/>
    <w:unhideWhenUsed/>
    <w:rsid w:val="00626510"/>
    <w:rPr>
      <w:b/>
      <w:bCs/>
    </w:rPr>
  </w:style>
  <w:style w:type="character" w:customStyle="1" w:styleId="CommentSubjectChar">
    <w:name w:val="Comment Subject Char"/>
    <w:basedOn w:val="CommentTextChar"/>
    <w:link w:val="CommentSubject"/>
    <w:semiHidden/>
    <w:rsid w:val="00626510"/>
    <w:rPr>
      <w:b/>
      <w:bCs/>
      <w:sz w:val="20"/>
      <w:szCs w:val="20"/>
    </w:rPr>
  </w:style>
  <w:style w:type="character" w:styleId="Mention">
    <w:name w:val="Mention"/>
    <w:basedOn w:val="DefaultParagraphFont"/>
    <w:uiPriority w:val="99"/>
    <w:unhideWhenUsed/>
    <w:rsid w:val="00710407"/>
    <w:rPr>
      <w:color w:val="2B579A"/>
      <w:shd w:val="clear" w:color="auto" w:fill="E1DFDD"/>
    </w:rPr>
  </w:style>
  <w:style w:type="paragraph" w:styleId="BodyText">
    <w:name w:val="Body Text"/>
    <w:basedOn w:val="Normal"/>
    <w:link w:val="BodyTextChar"/>
    <w:qFormat/>
    <w:rsid w:val="00767DB9"/>
    <w:pPr>
      <w:spacing w:before="180" w:after="180"/>
    </w:pPr>
    <w:rPr>
      <w:rFonts w:eastAsiaTheme="minorHAnsi" w:cstheme="minorBidi"/>
      <w:szCs w:val="24"/>
      <w:lang w:val="en-US" w:eastAsia="en-US"/>
    </w:rPr>
  </w:style>
  <w:style w:type="character" w:customStyle="1" w:styleId="BodyTextChar">
    <w:name w:val="Body Text Char"/>
    <w:basedOn w:val="DefaultParagraphFont"/>
    <w:link w:val="BodyText"/>
    <w:rsid w:val="00767DB9"/>
    <w:rPr>
      <w:rFonts w:eastAsiaTheme="minorHAnsi" w:cstheme="minorBidi"/>
      <w:szCs w:val="24"/>
      <w:lang w:val="en-US" w:eastAsia="en-US"/>
    </w:rPr>
  </w:style>
  <w:style w:type="paragraph" w:customStyle="1" w:styleId="FirstParagraph">
    <w:name w:val="First Paragraph"/>
    <w:basedOn w:val="BodyText"/>
    <w:next w:val="BodyText"/>
    <w:qFormat/>
    <w:rsid w:val="00767DB9"/>
  </w:style>
  <w:style w:type="paragraph" w:customStyle="1" w:styleId="Compact">
    <w:name w:val="Compact"/>
    <w:basedOn w:val="BodyText"/>
    <w:qFormat/>
    <w:rsid w:val="00767DB9"/>
    <w:pPr>
      <w:spacing w:before="36" w:after="36"/>
    </w:pPr>
  </w:style>
  <w:style w:type="paragraph" w:customStyle="1" w:styleId="Author">
    <w:name w:val="Author"/>
    <w:next w:val="BodyText"/>
    <w:qFormat/>
    <w:rsid w:val="00767DB9"/>
    <w:pPr>
      <w:keepNext/>
      <w:keepLines/>
      <w:spacing w:before="0" w:after="200"/>
      <w:jc w:val="center"/>
    </w:pPr>
    <w:rPr>
      <w:rFonts w:asciiTheme="minorHAnsi" w:eastAsiaTheme="minorHAnsi" w:hAnsiTheme="minorHAnsi" w:cstheme="minorBidi"/>
      <w:sz w:val="24"/>
      <w:szCs w:val="24"/>
      <w:lang w:val="en-US" w:eastAsia="en-US"/>
    </w:rPr>
  </w:style>
  <w:style w:type="paragraph" w:customStyle="1" w:styleId="Abstract">
    <w:name w:val="Abstract"/>
    <w:basedOn w:val="Normal"/>
    <w:next w:val="BodyText"/>
    <w:qFormat/>
    <w:rsid w:val="00767DB9"/>
    <w:pPr>
      <w:keepNext/>
      <w:keepLines/>
      <w:spacing w:before="300" w:after="300"/>
    </w:pPr>
    <w:rPr>
      <w:rFonts w:eastAsiaTheme="minorHAnsi" w:cstheme="minorBidi"/>
      <w:sz w:val="20"/>
      <w:szCs w:val="20"/>
      <w:lang w:val="en-US" w:eastAsia="en-US"/>
    </w:rPr>
  </w:style>
  <w:style w:type="paragraph" w:styleId="BlockText">
    <w:name w:val="Block Text"/>
    <w:basedOn w:val="BodyText"/>
    <w:next w:val="BodyText"/>
    <w:uiPriority w:val="9"/>
    <w:unhideWhenUsed/>
    <w:qFormat/>
    <w:rsid w:val="00767DB9"/>
    <w:pPr>
      <w:spacing w:before="100" w:after="100"/>
      <w:ind w:left="480" w:right="480"/>
    </w:pPr>
  </w:style>
  <w:style w:type="table" w:customStyle="1" w:styleId="Table">
    <w:name w:val="Table"/>
    <w:semiHidden/>
    <w:unhideWhenUsed/>
    <w:qFormat/>
    <w:rsid w:val="00767DB9"/>
    <w:pPr>
      <w:spacing w:before="0"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767DB9"/>
    <w:pPr>
      <w:keepNext/>
      <w:keepLines/>
      <w:spacing w:before="0" w:after="0"/>
    </w:pPr>
    <w:rPr>
      <w:rFonts w:eastAsiaTheme="minorHAnsi" w:cstheme="minorBidi"/>
      <w:b/>
      <w:szCs w:val="24"/>
      <w:lang w:val="en-US" w:eastAsia="en-US"/>
    </w:rPr>
  </w:style>
  <w:style w:type="paragraph" w:customStyle="1" w:styleId="Definition">
    <w:name w:val="Definition"/>
    <w:basedOn w:val="Normal"/>
    <w:rsid w:val="00767DB9"/>
    <w:pPr>
      <w:spacing w:before="0" w:after="200"/>
    </w:pPr>
    <w:rPr>
      <w:rFonts w:eastAsiaTheme="minorHAnsi" w:cstheme="minorBidi"/>
      <w:szCs w:val="24"/>
      <w:lang w:val="en-US" w:eastAsia="en-US"/>
    </w:rPr>
  </w:style>
  <w:style w:type="paragraph" w:customStyle="1" w:styleId="TableCaption">
    <w:name w:val="Table Caption"/>
    <w:basedOn w:val="Caption"/>
    <w:rsid w:val="00767DB9"/>
    <w:pPr>
      <w:keepNext/>
      <w:spacing w:before="0"/>
    </w:pPr>
    <w:rPr>
      <w:rFonts w:eastAsiaTheme="minorHAnsi" w:cstheme="minorBidi"/>
      <w:b w:val="0"/>
      <w:bCs w:val="0"/>
      <w:i/>
      <w:smallCaps w:val="0"/>
      <w:color w:val="auto"/>
      <w:szCs w:val="24"/>
      <w:lang w:val="en-US" w:eastAsia="en-US"/>
    </w:rPr>
  </w:style>
  <w:style w:type="paragraph" w:customStyle="1" w:styleId="ImageCaption">
    <w:name w:val="Image Caption"/>
    <w:basedOn w:val="Caption"/>
    <w:rsid w:val="00767DB9"/>
    <w:pPr>
      <w:spacing w:before="0"/>
    </w:pPr>
    <w:rPr>
      <w:rFonts w:eastAsiaTheme="minorHAnsi" w:cstheme="minorBidi"/>
      <w:b w:val="0"/>
      <w:bCs w:val="0"/>
      <w:i/>
      <w:smallCaps w:val="0"/>
      <w:color w:val="auto"/>
      <w:szCs w:val="24"/>
      <w:lang w:val="en-US" w:eastAsia="en-US"/>
    </w:rPr>
  </w:style>
  <w:style w:type="paragraph" w:customStyle="1" w:styleId="Figure">
    <w:name w:val="Figure"/>
    <w:basedOn w:val="Normal"/>
    <w:rsid w:val="00767DB9"/>
    <w:pPr>
      <w:spacing w:before="0" w:after="200"/>
    </w:pPr>
    <w:rPr>
      <w:rFonts w:eastAsiaTheme="minorHAnsi" w:cstheme="minorBidi"/>
      <w:szCs w:val="24"/>
      <w:lang w:val="en-US" w:eastAsia="en-US"/>
    </w:rPr>
  </w:style>
  <w:style w:type="paragraph" w:customStyle="1" w:styleId="CaptionedFigure">
    <w:name w:val="Captioned Figure"/>
    <w:basedOn w:val="Figure"/>
    <w:rsid w:val="00767DB9"/>
    <w:pPr>
      <w:keepNext/>
    </w:pPr>
  </w:style>
  <w:style w:type="character" w:customStyle="1" w:styleId="CaptionChar">
    <w:name w:val="Caption Char"/>
    <w:basedOn w:val="DefaultParagraphFont"/>
    <w:link w:val="Caption"/>
    <w:rsid w:val="00767DB9"/>
    <w:rPr>
      <w:b/>
      <w:bCs/>
      <w:smallCaps/>
      <w:color w:val="595959" w:themeColor="text1" w:themeTint="A6"/>
    </w:rPr>
  </w:style>
  <w:style w:type="character" w:customStyle="1" w:styleId="VerbatimChar">
    <w:name w:val="Verbatim Char"/>
    <w:basedOn w:val="CaptionChar"/>
    <w:link w:val="SourceCode"/>
    <w:rsid w:val="00767DB9"/>
    <w:rPr>
      <w:rFonts w:ascii="Consolas" w:hAnsi="Consolas"/>
      <w:b/>
      <w:bCs/>
      <w:smallCaps/>
      <w:color w:val="595959" w:themeColor="text1" w:themeTint="A6"/>
      <w:shd w:val="clear" w:color="auto" w:fill="F8F8F8"/>
    </w:rPr>
  </w:style>
  <w:style w:type="character" w:customStyle="1" w:styleId="SectionNumber">
    <w:name w:val="Section Number"/>
    <w:basedOn w:val="CaptionChar"/>
    <w:rsid w:val="00767DB9"/>
    <w:rPr>
      <w:b/>
      <w:bCs/>
      <w:smallCaps/>
      <w:color w:val="595959" w:themeColor="text1" w:themeTint="A6"/>
    </w:rPr>
  </w:style>
  <w:style w:type="paragraph" w:customStyle="1" w:styleId="SourceCode">
    <w:name w:val="Source Code"/>
    <w:basedOn w:val="Normal"/>
    <w:link w:val="VerbatimChar"/>
    <w:rsid w:val="00767DB9"/>
    <w:pPr>
      <w:shd w:val="clear" w:color="auto" w:fill="F8F8F8"/>
      <w:wordWrap w:val="0"/>
      <w:spacing w:before="0" w:after="200"/>
    </w:pPr>
    <w:rPr>
      <w:rFonts w:ascii="Consolas" w:hAnsi="Consolas"/>
      <w:b/>
      <w:bCs/>
      <w:smallCaps/>
      <w:color w:val="595959" w:themeColor="text1" w:themeTint="A6"/>
    </w:rPr>
  </w:style>
  <w:style w:type="character" w:customStyle="1" w:styleId="KeywordTok">
    <w:name w:val="KeywordTok"/>
    <w:basedOn w:val="VerbatimChar"/>
    <w:rsid w:val="00767DB9"/>
    <w:rPr>
      <w:rFonts w:ascii="Consolas" w:hAnsi="Consolas"/>
      <w:b w:val="0"/>
      <w:bCs/>
      <w:smallCaps/>
      <w:color w:val="204A87"/>
      <w:shd w:val="clear" w:color="auto" w:fill="F8F8F8"/>
    </w:rPr>
  </w:style>
  <w:style w:type="character" w:customStyle="1" w:styleId="DataTypeTok">
    <w:name w:val="DataTypeTok"/>
    <w:basedOn w:val="VerbatimChar"/>
    <w:rsid w:val="00767DB9"/>
    <w:rPr>
      <w:rFonts w:ascii="Consolas" w:hAnsi="Consolas"/>
      <w:b/>
      <w:bCs/>
      <w:smallCaps/>
      <w:color w:val="204A87"/>
      <w:shd w:val="clear" w:color="auto" w:fill="F8F8F8"/>
    </w:rPr>
  </w:style>
  <w:style w:type="character" w:customStyle="1" w:styleId="DecValTok">
    <w:name w:val="DecValTok"/>
    <w:basedOn w:val="VerbatimChar"/>
    <w:rsid w:val="00767DB9"/>
    <w:rPr>
      <w:rFonts w:ascii="Consolas" w:hAnsi="Consolas"/>
      <w:b/>
      <w:bCs/>
      <w:smallCaps/>
      <w:color w:val="0000CF"/>
      <w:shd w:val="clear" w:color="auto" w:fill="F8F8F8"/>
    </w:rPr>
  </w:style>
  <w:style w:type="character" w:customStyle="1" w:styleId="BaseNTok">
    <w:name w:val="BaseNTok"/>
    <w:basedOn w:val="VerbatimChar"/>
    <w:rsid w:val="00767DB9"/>
    <w:rPr>
      <w:rFonts w:ascii="Consolas" w:hAnsi="Consolas"/>
      <w:b/>
      <w:bCs/>
      <w:smallCaps/>
      <w:color w:val="0000CF"/>
      <w:shd w:val="clear" w:color="auto" w:fill="F8F8F8"/>
    </w:rPr>
  </w:style>
  <w:style w:type="character" w:customStyle="1" w:styleId="FloatTok">
    <w:name w:val="FloatTok"/>
    <w:basedOn w:val="VerbatimChar"/>
    <w:rsid w:val="00767DB9"/>
    <w:rPr>
      <w:rFonts w:ascii="Consolas" w:hAnsi="Consolas"/>
      <w:b/>
      <w:bCs/>
      <w:smallCaps/>
      <w:color w:val="0000CF"/>
      <w:shd w:val="clear" w:color="auto" w:fill="F8F8F8"/>
    </w:rPr>
  </w:style>
  <w:style w:type="character" w:customStyle="1" w:styleId="ConstantTok">
    <w:name w:val="ConstantTok"/>
    <w:basedOn w:val="VerbatimChar"/>
    <w:rsid w:val="00767DB9"/>
    <w:rPr>
      <w:rFonts w:ascii="Consolas" w:hAnsi="Consolas"/>
      <w:b/>
      <w:bCs/>
      <w:smallCaps/>
      <w:color w:val="8F5902"/>
      <w:shd w:val="clear" w:color="auto" w:fill="F8F8F8"/>
    </w:rPr>
  </w:style>
  <w:style w:type="character" w:customStyle="1" w:styleId="CharTok">
    <w:name w:val="CharTok"/>
    <w:basedOn w:val="VerbatimChar"/>
    <w:rsid w:val="00767DB9"/>
    <w:rPr>
      <w:rFonts w:ascii="Consolas" w:hAnsi="Consolas"/>
      <w:b/>
      <w:bCs/>
      <w:smallCaps/>
      <w:color w:val="4E9A06"/>
      <w:shd w:val="clear" w:color="auto" w:fill="F8F8F8"/>
    </w:rPr>
  </w:style>
  <w:style w:type="character" w:customStyle="1" w:styleId="SpecialCharTok">
    <w:name w:val="SpecialCharTok"/>
    <w:basedOn w:val="VerbatimChar"/>
    <w:rsid w:val="00767DB9"/>
    <w:rPr>
      <w:rFonts w:ascii="Consolas" w:hAnsi="Consolas"/>
      <w:b w:val="0"/>
      <w:bCs/>
      <w:smallCaps/>
      <w:color w:val="CE5C00"/>
      <w:shd w:val="clear" w:color="auto" w:fill="F8F8F8"/>
    </w:rPr>
  </w:style>
  <w:style w:type="character" w:customStyle="1" w:styleId="StringTok">
    <w:name w:val="StringTok"/>
    <w:basedOn w:val="VerbatimChar"/>
    <w:rsid w:val="00767DB9"/>
    <w:rPr>
      <w:rFonts w:ascii="Consolas" w:hAnsi="Consolas"/>
      <w:b/>
      <w:bCs/>
      <w:smallCaps/>
      <w:color w:val="4E9A06"/>
      <w:shd w:val="clear" w:color="auto" w:fill="F8F8F8"/>
    </w:rPr>
  </w:style>
  <w:style w:type="character" w:customStyle="1" w:styleId="VerbatimStringTok">
    <w:name w:val="VerbatimStringTok"/>
    <w:basedOn w:val="VerbatimChar"/>
    <w:rsid w:val="00767DB9"/>
    <w:rPr>
      <w:rFonts w:ascii="Consolas" w:hAnsi="Consolas"/>
      <w:b/>
      <w:bCs/>
      <w:smallCaps/>
      <w:color w:val="4E9A06"/>
      <w:shd w:val="clear" w:color="auto" w:fill="F8F8F8"/>
    </w:rPr>
  </w:style>
  <w:style w:type="character" w:customStyle="1" w:styleId="SpecialStringTok">
    <w:name w:val="SpecialStringTok"/>
    <w:basedOn w:val="VerbatimChar"/>
    <w:rsid w:val="00767DB9"/>
    <w:rPr>
      <w:rFonts w:ascii="Consolas" w:hAnsi="Consolas"/>
      <w:b/>
      <w:bCs/>
      <w:smallCaps/>
      <w:color w:val="4E9A06"/>
      <w:shd w:val="clear" w:color="auto" w:fill="F8F8F8"/>
    </w:rPr>
  </w:style>
  <w:style w:type="character" w:customStyle="1" w:styleId="ImportTok">
    <w:name w:val="ImportTok"/>
    <w:basedOn w:val="VerbatimChar"/>
    <w:rsid w:val="00767DB9"/>
    <w:rPr>
      <w:rFonts w:ascii="Consolas" w:hAnsi="Consolas"/>
      <w:b/>
      <w:bCs/>
      <w:smallCaps/>
      <w:color w:val="595959" w:themeColor="text1" w:themeTint="A6"/>
      <w:shd w:val="clear" w:color="auto" w:fill="F8F8F8"/>
    </w:rPr>
  </w:style>
  <w:style w:type="character" w:customStyle="1" w:styleId="CommentTok">
    <w:name w:val="CommentTok"/>
    <w:basedOn w:val="VerbatimChar"/>
    <w:rsid w:val="00767DB9"/>
    <w:rPr>
      <w:rFonts w:ascii="Consolas" w:hAnsi="Consolas"/>
      <w:b/>
      <w:bCs/>
      <w:i/>
      <w:smallCaps/>
      <w:color w:val="8F5902"/>
      <w:shd w:val="clear" w:color="auto" w:fill="F8F8F8"/>
    </w:rPr>
  </w:style>
  <w:style w:type="character" w:customStyle="1" w:styleId="DocumentationTok">
    <w:name w:val="DocumentationTok"/>
    <w:basedOn w:val="VerbatimChar"/>
    <w:rsid w:val="00767DB9"/>
    <w:rPr>
      <w:rFonts w:ascii="Consolas" w:hAnsi="Consolas"/>
      <w:b w:val="0"/>
      <w:bCs/>
      <w:i/>
      <w:smallCaps/>
      <w:color w:val="8F5902"/>
      <w:shd w:val="clear" w:color="auto" w:fill="F8F8F8"/>
    </w:rPr>
  </w:style>
  <w:style w:type="character" w:customStyle="1" w:styleId="AnnotationTok">
    <w:name w:val="AnnotationTok"/>
    <w:basedOn w:val="VerbatimChar"/>
    <w:rsid w:val="00767DB9"/>
    <w:rPr>
      <w:rFonts w:ascii="Consolas" w:hAnsi="Consolas"/>
      <w:b w:val="0"/>
      <w:bCs/>
      <w:i/>
      <w:smallCaps/>
      <w:color w:val="8F5902"/>
      <w:shd w:val="clear" w:color="auto" w:fill="F8F8F8"/>
    </w:rPr>
  </w:style>
  <w:style w:type="character" w:customStyle="1" w:styleId="CommentVarTok">
    <w:name w:val="CommentVarTok"/>
    <w:basedOn w:val="VerbatimChar"/>
    <w:rsid w:val="00767DB9"/>
    <w:rPr>
      <w:rFonts w:ascii="Consolas" w:hAnsi="Consolas"/>
      <w:b w:val="0"/>
      <w:bCs/>
      <w:i/>
      <w:smallCaps/>
      <w:color w:val="8F5902"/>
      <w:shd w:val="clear" w:color="auto" w:fill="F8F8F8"/>
    </w:rPr>
  </w:style>
  <w:style w:type="character" w:customStyle="1" w:styleId="OtherTok">
    <w:name w:val="OtherTok"/>
    <w:basedOn w:val="VerbatimChar"/>
    <w:rsid w:val="00767DB9"/>
    <w:rPr>
      <w:rFonts w:ascii="Consolas" w:hAnsi="Consolas"/>
      <w:b/>
      <w:bCs/>
      <w:smallCaps/>
      <w:color w:val="8F5902"/>
      <w:shd w:val="clear" w:color="auto" w:fill="F8F8F8"/>
    </w:rPr>
  </w:style>
  <w:style w:type="character" w:customStyle="1" w:styleId="FunctionTok">
    <w:name w:val="FunctionTok"/>
    <w:basedOn w:val="VerbatimChar"/>
    <w:rsid w:val="00767DB9"/>
    <w:rPr>
      <w:rFonts w:ascii="Consolas" w:hAnsi="Consolas"/>
      <w:b w:val="0"/>
      <w:bCs/>
      <w:smallCaps/>
      <w:color w:val="204A87"/>
      <w:shd w:val="clear" w:color="auto" w:fill="F8F8F8"/>
    </w:rPr>
  </w:style>
  <w:style w:type="character" w:customStyle="1" w:styleId="VariableTok">
    <w:name w:val="VariableTok"/>
    <w:basedOn w:val="VerbatimChar"/>
    <w:rsid w:val="00767DB9"/>
    <w:rPr>
      <w:rFonts w:ascii="Consolas" w:hAnsi="Consolas"/>
      <w:b/>
      <w:bCs/>
      <w:smallCaps/>
      <w:color w:val="000000"/>
      <w:shd w:val="clear" w:color="auto" w:fill="F8F8F8"/>
    </w:rPr>
  </w:style>
  <w:style w:type="character" w:customStyle="1" w:styleId="ControlFlowTok">
    <w:name w:val="ControlFlowTok"/>
    <w:basedOn w:val="VerbatimChar"/>
    <w:rsid w:val="00767DB9"/>
    <w:rPr>
      <w:rFonts w:ascii="Consolas" w:hAnsi="Consolas"/>
      <w:b w:val="0"/>
      <w:bCs/>
      <w:smallCaps/>
      <w:color w:val="204A87"/>
      <w:shd w:val="clear" w:color="auto" w:fill="F8F8F8"/>
    </w:rPr>
  </w:style>
  <w:style w:type="character" w:customStyle="1" w:styleId="OperatorTok">
    <w:name w:val="OperatorTok"/>
    <w:basedOn w:val="VerbatimChar"/>
    <w:rsid w:val="00767DB9"/>
    <w:rPr>
      <w:rFonts w:ascii="Consolas" w:hAnsi="Consolas"/>
      <w:b w:val="0"/>
      <w:bCs/>
      <w:smallCaps/>
      <w:color w:val="CE5C00"/>
      <w:shd w:val="clear" w:color="auto" w:fill="F8F8F8"/>
    </w:rPr>
  </w:style>
  <w:style w:type="character" w:customStyle="1" w:styleId="BuiltInTok">
    <w:name w:val="BuiltInTok"/>
    <w:basedOn w:val="VerbatimChar"/>
    <w:rsid w:val="00767DB9"/>
    <w:rPr>
      <w:rFonts w:ascii="Consolas" w:hAnsi="Consolas"/>
      <w:b/>
      <w:bCs/>
      <w:smallCaps/>
      <w:color w:val="595959" w:themeColor="text1" w:themeTint="A6"/>
      <w:shd w:val="clear" w:color="auto" w:fill="F8F8F8"/>
    </w:rPr>
  </w:style>
  <w:style w:type="character" w:customStyle="1" w:styleId="ExtensionTok">
    <w:name w:val="ExtensionTok"/>
    <w:basedOn w:val="VerbatimChar"/>
    <w:rsid w:val="00767DB9"/>
    <w:rPr>
      <w:rFonts w:ascii="Consolas" w:hAnsi="Consolas"/>
      <w:b/>
      <w:bCs/>
      <w:smallCaps/>
      <w:color w:val="595959" w:themeColor="text1" w:themeTint="A6"/>
      <w:shd w:val="clear" w:color="auto" w:fill="F8F8F8"/>
    </w:rPr>
  </w:style>
  <w:style w:type="character" w:customStyle="1" w:styleId="PreprocessorTok">
    <w:name w:val="PreprocessorTok"/>
    <w:basedOn w:val="VerbatimChar"/>
    <w:rsid w:val="00767DB9"/>
    <w:rPr>
      <w:rFonts w:ascii="Consolas" w:hAnsi="Consolas"/>
      <w:b/>
      <w:bCs/>
      <w:i/>
      <w:smallCaps/>
      <w:color w:val="8F5902"/>
      <w:shd w:val="clear" w:color="auto" w:fill="F8F8F8"/>
    </w:rPr>
  </w:style>
  <w:style w:type="character" w:customStyle="1" w:styleId="AttributeTok">
    <w:name w:val="AttributeTok"/>
    <w:basedOn w:val="VerbatimChar"/>
    <w:rsid w:val="00767DB9"/>
    <w:rPr>
      <w:rFonts w:ascii="Consolas" w:hAnsi="Consolas"/>
      <w:b/>
      <w:bCs/>
      <w:smallCaps/>
      <w:color w:val="204A87"/>
      <w:shd w:val="clear" w:color="auto" w:fill="F8F8F8"/>
    </w:rPr>
  </w:style>
  <w:style w:type="character" w:customStyle="1" w:styleId="RegionMarkerTok">
    <w:name w:val="RegionMarkerTok"/>
    <w:basedOn w:val="VerbatimChar"/>
    <w:rsid w:val="00767DB9"/>
    <w:rPr>
      <w:rFonts w:ascii="Consolas" w:hAnsi="Consolas"/>
      <w:b/>
      <w:bCs/>
      <w:smallCaps/>
      <w:color w:val="595959" w:themeColor="text1" w:themeTint="A6"/>
      <w:shd w:val="clear" w:color="auto" w:fill="F8F8F8"/>
    </w:rPr>
  </w:style>
  <w:style w:type="character" w:customStyle="1" w:styleId="InformationTok">
    <w:name w:val="InformationTok"/>
    <w:basedOn w:val="VerbatimChar"/>
    <w:rsid w:val="00767DB9"/>
    <w:rPr>
      <w:rFonts w:ascii="Consolas" w:hAnsi="Consolas"/>
      <w:b w:val="0"/>
      <w:bCs/>
      <w:i/>
      <w:smallCaps/>
      <w:color w:val="8F5902"/>
      <w:shd w:val="clear" w:color="auto" w:fill="F8F8F8"/>
    </w:rPr>
  </w:style>
  <w:style w:type="character" w:customStyle="1" w:styleId="WarningTok">
    <w:name w:val="WarningTok"/>
    <w:basedOn w:val="VerbatimChar"/>
    <w:rsid w:val="00767DB9"/>
    <w:rPr>
      <w:rFonts w:ascii="Consolas" w:hAnsi="Consolas"/>
      <w:b w:val="0"/>
      <w:bCs/>
      <w:i/>
      <w:smallCaps/>
      <w:color w:val="8F5902"/>
      <w:shd w:val="clear" w:color="auto" w:fill="F8F8F8"/>
    </w:rPr>
  </w:style>
  <w:style w:type="character" w:customStyle="1" w:styleId="AlertTok">
    <w:name w:val="AlertTok"/>
    <w:basedOn w:val="VerbatimChar"/>
    <w:rsid w:val="00767DB9"/>
    <w:rPr>
      <w:rFonts w:ascii="Consolas" w:hAnsi="Consolas"/>
      <w:b/>
      <w:bCs/>
      <w:smallCaps/>
      <w:color w:val="EF2929"/>
      <w:shd w:val="clear" w:color="auto" w:fill="F8F8F8"/>
    </w:rPr>
  </w:style>
  <w:style w:type="character" w:customStyle="1" w:styleId="ErrorTok">
    <w:name w:val="ErrorTok"/>
    <w:basedOn w:val="VerbatimChar"/>
    <w:rsid w:val="00767DB9"/>
    <w:rPr>
      <w:rFonts w:ascii="Consolas" w:hAnsi="Consolas"/>
      <w:b w:val="0"/>
      <w:bCs/>
      <w:smallCaps/>
      <w:color w:val="A40000"/>
      <w:shd w:val="clear" w:color="auto" w:fill="F8F8F8"/>
    </w:rPr>
  </w:style>
  <w:style w:type="character" w:customStyle="1" w:styleId="NormalTok">
    <w:name w:val="NormalTok"/>
    <w:basedOn w:val="VerbatimChar"/>
    <w:rsid w:val="00767DB9"/>
    <w:rPr>
      <w:rFonts w:ascii="Consolas" w:hAnsi="Consolas"/>
      <w:b/>
      <w:bCs/>
      <w:smallCaps/>
      <w:color w:val="595959" w:themeColor="text1" w:themeTint="A6"/>
      <w:shd w:val="clear" w:color="auto" w:fill="F8F8F8"/>
    </w:rPr>
  </w:style>
  <w:style w:type="numbering" w:customStyle="1" w:styleId="NoList1">
    <w:name w:val="No List1"/>
    <w:next w:val="NoList"/>
    <w:uiPriority w:val="99"/>
    <w:semiHidden/>
    <w:unhideWhenUsed/>
    <w:rsid w:val="009A5403"/>
  </w:style>
  <w:style w:type="numbering" w:customStyle="1" w:styleId="NoList2">
    <w:name w:val="No List2"/>
    <w:next w:val="NoList"/>
    <w:uiPriority w:val="99"/>
    <w:semiHidden/>
    <w:unhideWhenUsed/>
    <w:rsid w:val="009A5403"/>
  </w:style>
  <w:style w:type="character" w:styleId="UnresolvedMention">
    <w:name w:val="Unresolved Mention"/>
    <w:basedOn w:val="DefaultParagraphFont"/>
    <w:uiPriority w:val="99"/>
    <w:semiHidden/>
    <w:unhideWhenUsed/>
    <w:rsid w:val="00245D44"/>
    <w:rPr>
      <w:color w:val="605E5C"/>
      <w:shd w:val="clear" w:color="auto" w:fill="E1DFDD"/>
    </w:rPr>
  </w:style>
  <w:style w:type="numbering" w:customStyle="1" w:styleId="NoList3">
    <w:name w:val="No List3"/>
    <w:next w:val="NoList"/>
    <w:uiPriority w:val="99"/>
    <w:semiHidden/>
    <w:unhideWhenUsed/>
    <w:rsid w:val="00040DD8"/>
  </w:style>
  <w:style w:type="paragraph" w:styleId="BodyText2">
    <w:name w:val="Body Text 2"/>
    <w:basedOn w:val="Normal"/>
    <w:link w:val="BodyText2Char"/>
    <w:rsid w:val="00040DD8"/>
    <w:pPr>
      <w:spacing w:before="0" w:line="480" w:lineRule="auto"/>
    </w:pPr>
    <w:rPr>
      <w:rFonts w:ascii="Cambria" w:eastAsia="Cambria" w:hAnsi="Cambria"/>
      <w:sz w:val="24"/>
      <w:szCs w:val="24"/>
      <w:lang w:val="en-US" w:eastAsia="en-US"/>
    </w:rPr>
  </w:style>
  <w:style w:type="character" w:customStyle="1" w:styleId="BodyText2Char">
    <w:name w:val="Body Text 2 Char"/>
    <w:basedOn w:val="DefaultParagraphFont"/>
    <w:link w:val="BodyText2"/>
    <w:rsid w:val="00040DD8"/>
    <w:rPr>
      <w:rFonts w:ascii="Cambria" w:eastAsia="Cambria" w:hAnsi="Cambria"/>
      <w:sz w:val="24"/>
      <w:szCs w:val="24"/>
      <w:lang w:val="en-US" w:eastAsia="en-US"/>
    </w:rPr>
  </w:style>
  <w:style w:type="paragraph" w:styleId="TOC4">
    <w:name w:val="toc 4"/>
    <w:basedOn w:val="Normal"/>
    <w:next w:val="Normal"/>
    <w:autoRedefine/>
    <w:unhideWhenUsed/>
    <w:rsid w:val="00E17DB3"/>
    <w:pPr>
      <w:spacing w:before="0" w:after="0"/>
      <w:ind w:left="660"/>
    </w:pPr>
    <w:rPr>
      <w:rFonts w:asciiTheme="minorHAnsi" w:hAnsiTheme="minorHAnsi"/>
      <w:sz w:val="20"/>
      <w:szCs w:val="20"/>
    </w:rPr>
  </w:style>
  <w:style w:type="paragraph" w:styleId="TOC5">
    <w:name w:val="toc 5"/>
    <w:basedOn w:val="Normal"/>
    <w:next w:val="Normal"/>
    <w:autoRedefine/>
    <w:unhideWhenUsed/>
    <w:rsid w:val="00E17DB3"/>
    <w:pPr>
      <w:spacing w:before="0" w:after="0"/>
      <w:ind w:left="880"/>
    </w:pPr>
    <w:rPr>
      <w:rFonts w:asciiTheme="minorHAnsi" w:hAnsiTheme="minorHAnsi"/>
      <w:sz w:val="20"/>
      <w:szCs w:val="20"/>
    </w:rPr>
  </w:style>
  <w:style w:type="paragraph" w:styleId="TOC6">
    <w:name w:val="toc 6"/>
    <w:basedOn w:val="Normal"/>
    <w:next w:val="Normal"/>
    <w:autoRedefine/>
    <w:unhideWhenUsed/>
    <w:rsid w:val="00E17DB3"/>
    <w:pPr>
      <w:spacing w:before="0" w:after="0"/>
      <w:ind w:left="1100"/>
    </w:pPr>
    <w:rPr>
      <w:rFonts w:asciiTheme="minorHAnsi" w:hAnsiTheme="minorHAnsi"/>
      <w:sz w:val="20"/>
      <w:szCs w:val="20"/>
    </w:rPr>
  </w:style>
  <w:style w:type="paragraph" w:styleId="TOC7">
    <w:name w:val="toc 7"/>
    <w:basedOn w:val="Normal"/>
    <w:next w:val="Normal"/>
    <w:autoRedefine/>
    <w:unhideWhenUsed/>
    <w:rsid w:val="00E17DB3"/>
    <w:pPr>
      <w:spacing w:before="0" w:after="0"/>
      <w:ind w:left="1320"/>
    </w:pPr>
    <w:rPr>
      <w:rFonts w:asciiTheme="minorHAnsi" w:hAnsiTheme="minorHAnsi"/>
      <w:sz w:val="20"/>
      <w:szCs w:val="20"/>
    </w:rPr>
  </w:style>
  <w:style w:type="paragraph" w:styleId="TOC8">
    <w:name w:val="toc 8"/>
    <w:basedOn w:val="Normal"/>
    <w:next w:val="Normal"/>
    <w:autoRedefine/>
    <w:unhideWhenUsed/>
    <w:rsid w:val="00E17DB3"/>
    <w:pPr>
      <w:spacing w:before="0" w:after="0"/>
      <w:ind w:left="1540"/>
    </w:pPr>
    <w:rPr>
      <w:rFonts w:asciiTheme="minorHAnsi" w:hAnsiTheme="minorHAnsi"/>
      <w:sz w:val="20"/>
      <w:szCs w:val="20"/>
    </w:rPr>
  </w:style>
  <w:style w:type="paragraph" w:styleId="TOC9">
    <w:name w:val="toc 9"/>
    <w:basedOn w:val="Normal"/>
    <w:next w:val="Normal"/>
    <w:autoRedefine/>
    <w:unhideWhenUsed/>
    <w:rsid w:val="00E17DB3"/>
    <w:pPr>
      <w:spacing w:before="0" w:after="0"/>
      <w:ind w:left="1760"/>
    </w:pPr>
    <w:rPr>
      <w:rFonts w:asciiTheme="minorHAnsi" w:hAnsiTheme="minorHAnsi"/>
      <w:sz w:val="20"/>
      <w:szCs w:val="20"/>
    </w:rPr>
  </w:style>
  <w:style w:type="paragraph" w:customStyle="1" w:styleId="3E87B7DF7D09440999EA18483F192634">
    <w:name w:val="3E87B7DF7D09440999EA18483F192634"/>
    <w:rsid w:val="0022670C"/>
    <w:pPr>
      <w:spacing w:before="0" w:after="160" w:line="259"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354">
      <w:bodyDiv w:val="1"/>
      <w:marLeft w:val="0"/>
      <w:marRight w:val="0"/>
      <w:marTop w:val="0"/>
      <w:marBottom w:val="0"/>
      <w:divBdr>
        <w:top w:val="none" w:sz="0" w:space="0" w:color="auto"/>
        <w:left w:val="none" w:sz="0" w:space="0" w:color="auto"/>
        <w:bottom w:val="none" w:sz="0" w:space="0" w:color="auto"/>
        <w:right w:val="none" w:sz="0" w:space="0" w:color="auto"/>
      </w:divBdr>
    </w:div>
    <w:div w:id="9600865">
      <w:bodyDiv w:val="1"/>
      <w:marLeft w:val="0"/>
      <w:marRight w:val="0"/>
      <w:marTop w:val="0"/>
      <w:marBottom w:val="0"/>
      <w:divBdr>
        <w:top w:val="none" w:sz="0" w:space="0" w:color="auto"/>
        <w:left w:val="none" w:sz="0" w:space="0" w:color="auto"/>
        <w:bottom w:val="none" w:sz="0" w:space="0" w:color="auto"/>
        <w:right w:val="none" w:sz="0" w:space="0" w:color="auto"/>
      </w:divBdr>
    </w:div>
    <w:div w:id="23411862">
      <w:bodyDiv w:val="1"/>
      <w:marLeft w:val="0"/>
      <w:marRight w:val="0"/>
      <w:marTop w:val="0"/>
      <w:marBottom w:val="0"/>
      <w:divBdr>
        <w:top w:val="none" w:sz="0" w:space="0" w:color="auto"/>
        <w:left w:val="none" w:sz="0" w:space="0" w:color="auto"/>
        <w:bottom w:val="none" w:sz="0" w:space="0" w:color="auto"/>
        <w:right w:val="none" w:sz="0" w:space="0" w:color="auto"/>
      </w:divBdr>
    </w:div>
    <w:div w:id="27217886">
      <w:bodyDiv w:val="1"/>
      <w:marLeft w:val="0"/>
      <w:marRight w:val="0"/>
      <w:marTop w:val="0"/>
      <w:marBottom w:val="0"/>
      <w:divBdr>
        <w:top w:val="none" w:sz="0" w:space="0" w:color="auto"/>
        <w:left w:val="none" w:sz="0" w:space="0" w:color="auto"/>
        <w:bottom w:val="none" w:sz="0" w:space="0" w:color="auto"/>
        <w:right w:val="none" w:sz="0" w:space="0" w:color="auto"/>
      </w:divBdr>
    </w:div>
    <w:div w:id="27220127">
      <w:bodyDiv w:val="1"/>
      <w:marLeft w:val="0"/>
      <w:marRight w:val="0"/>
      <w:marTop w:val="0"/>
      <w:marBottom w:val="0"/>
      <w:divBdr>
        <w:top w:val="none" w:sz="0" w:space="0" w:color="auto"/>
        <w:left w:val="none" w:sz="0" w:space="0" w:color="auto"/>
        <w:bottom w:val="none" w:sz="0" w:space="0" w:color="auto"/>
        <w:right w:val="none" w:sz="0" w:space="0" w:color="auto"/>
      </w:divBdr>
    </w:div>
    <w:div w:id="30692118">
      <w:bodyDiv w:val="1"/>
      <w:marLeft w:val="0"/>
      <w:marRight w:val="0"/>
      <w:marTop w:val="0"/>
      <w:marBottom w:val="0"/>
      <w:divBdr>
        <w:top w:val="none" w:sz="0" w:space="0" w:color="auto"/>
        <w:left w:val="none" w:sz="0" w:space="0" w:color="auto"/>
        <w:bottom w:val="none" w:sz="0" w:space="0" w:color="auto"/>
        <w:right w:val="none" w:sz="0" w:space="0" w:color="auto"/>
      </w:divBdr>
    </w:div>
    <w:div w:id="34887738">
      <w:bodyDiv w:val="1"/>
      <w:marLeft w:val="0"/>
      <w:marRight w:val="0"/>
      <w:marTop w:val="0"/>
      <w:marBottom w:val="0"/>
      <w:divBdr>
        <w:top w:val="none" w:sz="0" w:space="0" w:color="auto"/>
        <w:left w:val="none" w:sz="0" w:space="0" w:color="auto"/>
        <w:bottom w:val="none" w:sz="0" w:space="0" w:color="auto"/>
        <w:right w:val="none" w:sz="0" w:space="0" w:color="auto"/>
      </w:divBdr>
    </w:div>
    <w:div w:id="35083851">
      <w:bodyDiv w:val="1"/>
      <w:marLeft w:val="0"/>
      <w:marRight w:val="0"/>
      <w:marTop w:val="0"/>
      <w:marBottom w:val="0"/>
      <w:divBdr>
        <w:top w:val="none" w:sz="0" w:space="0" w:color="auto"/>
        <w:left w:val="none" w:sz="0" w:space="0" w:color="auto"/>
        <w:bottom w:val="none" w:sz="0" w:space="0" w:color="auto"/>
        <w:right w:val="none" w:sz="0" w:space="0" w:color="auto"/>
      </w:divBdr>
    </w:div>
    <w:div w:id="35785230">
      <w:bodyDiv w:val="1"/>
      <w:marLeft w:val="0"/>
      <w:marRight w:val="0"/>
      <w:marTop w:val="0"/>
      <w:marBottom w:val="0"/>
      <w:divBdr>
        <w:top w:val="none" w:sz="0" w:space="0" w:color="auto"/>
        <w:left w:val="none" w:sz="0" w:space="0" w:color="auto"/>
        <w:bottom w:val="none" w:sz="0" w:space="0" w:color="auto"/>
        <w:right w:val="none" w:sz="0" w:space="0" w:color="auto"/>
      </w:divBdr>
    </w:div>
    <w:div w:id="41374016">
      <w:bodyDiv w:val="1"/>
      <w:marLeft w:val="0"/>
      <w:marRight w:val="0"/>
      <w:marTop w:val="0"/>
      <w:marBottom w:val="0"/>
      <w:divBdr>
        <w:top w:val="none" w:sz="0" w:space="0" w:color="auto"/>
        <w:left w:val="none" w:sz="0" w:space="0" w:color="auto"/>
        <w:bottom w:val="none" w:sz="0" w:space="0" w:color="auto"/>
        <w:right w:val="none" w:sz="0" w:space="0" w:color="auto"/>
      </w:divBdr>
    </w:div>
    <w:div w:id="42949401">
      <w:bodyDiv w:val="1"/>
      <w:marLeft w:val="0"/>
      <w:marRight w:val="0"/>
      <w:marTop w:val="0"/>
      <w:marBottom w:val="0"/>
      <w:divBdr>
        <w:top w:val="none" w:sz="0" w:space="0" w:color="auto"/>
        <w:left w:val="none" w:sz="0" w:space="0" w:color="auto"/>
        <w:bottom w:val="none" w:sz="0" w:space="0" w:color="auto"/>
        <w:right w:val="none" w:sz="0" w:space="0" w:color="auto"/>
      </w:divBdr>
    </w:div>
    <w:div w:id="53168535">
      <w:bodyDiv w:val="1"/>
      <w:marLeft w:val="0"/>
      <w:marRight w:val="0"/>
      <w:marTop w:val="0"/>
      <w:marBottom w:val="0"/>
      <w:divBdr>
        <w:top w:val="none" w:sz="0" w:space="0" w:color="auto"/>
        <w:left w:val="none" w:sz="0" w:space="0" w:color="auto"/>
        <w:bottom w:val="none" w:sz="0" w:space="0" w:color="auto"/>
        <w:right w:val="none" w:sz="0" w:space="0" w:color="auto"/>
      </w:divBdr>
    </w:div>
    <w:div w:id="62681531">
      <w:bodyDiv w:val="1"/>
      <w:marLeft w:val="0"/>
      <w:marRight w:val="0"/>
      <w:marTop w:val="0"/>
      <w:marBottom w:val="0"/>
      <w:divBdr>
        <w:top w:val="none" w:sz="0" w:space="0" w:color="auto"/>
        <w:left w:val="none" w:sz="0" w:space="0" w:color="auto"/>
        <w:bottom w:val="none" w:sz="0" w:space="0" w:color="auto"/>
        <w:right w:val="none" w:sz="0" w:space="0" w:color="auto"/>
      </w:divBdr>
    </w:div>
    <w:div w:id="64841309">
      <w:bodyDiv w:val="1"/>
      <w:marLeft w:val="0"/>
      <w:marRight w:val="0"/>
      <w:marTop w:val="0"/>
      <w:marBottom w:val="0"/>
      <w:divBdr>
        <w:top w:val="none" w:sz="0" w:space="0" w:color="auto"/>
        <w:left w:val="none" w:sz="0" w:space="0" w:color="auto"/>
        <w:bottom w:val="none" w:sz="0" w:space="0" w:color="auto"/>
        <w:right w:val="none" w:sz="0" w:space="0" w:color="auto"/>
      </w:divBdr>
    </w:div>
    <w:div w:id="70349068">
      <w:bodyDiv w:val="1"/>
      <w:marLeft w:val="0"/>
      <w:marRight w:val="0"/>
      <w:marTop w:val="0"/>
      <w:marBottom w:val="0"/>
      <w:divBdr>
        <w:top w:val="none" w:sz="0" w:space="0" w:color="auto"/>
        <w:left w:val="none" w:sz="0" w:space="0" w:color="auto"/>
        <w:bottom w:val="none" w:sz="0" w:space="0" w:color="auto"/>
        <w:right w:val="none" w:sz="0" w:space="0" w:color="auto"/>
      </w:divBdr>
    </w:div>
    <w:div w:id="73941843">
      <w:bodyDiv w:val="1"/>
      <w:marLeft w:val="0"/>
      <w:marRight w:val="0"/>
      <w:marTop w:val="0"/>
      <w:marBottom w:val="0"/>
      <w:divBdr>
        <w:top w:val="none" w:sz="0" w:space="0" w:color="auto"/>
        <w:left w:val="none" w:sz="0" w:space="0" w:color="auto"/>
        <w:bottom w:val="none" w:sz="0" w:space="0" w:color="auto"/>
        <w:right w:val="none" w:sz="0" w:space="0" w:color="auto"/>
      </w:divBdr>
    </w:div>
    <w:div w:id="75249239">
      <w:bodyDiv w:val="1"/>
      <w:marLeft w:val="0"/>
      <w:marRight w:val="0"/>
      <w:marTop w:val="0"/>
      <w:marBottom w:val="0"/>
      <w:divBdr>
        <w:top w:val="none" w:sz="0" w:space="0" w:color="auto"/>
        <w:left w:val="none" w:sz="0" w:space="0" w:color="auto"/>
        <w:bottom w:val="none" w:sz="0" w:space="0" w:color="auto"/>
        <w:right w:val="none" w:sz="0" w:space="0" w:color="auto"/>
      </w:divBdr>
    </w:div>
    <w:div w:id="75906880">
      <w:bodyDiv w:val="1"/>
      <w:marLeft w:val="0"/>
      <w:marRight w:val="0"/>
      <w:marTop w:val="0"/>
      <w:marBottom w:val="0"/>
      <w:divBdr>
        <w:top w:val="none" w:sz="0" w:space="0" w:color="auto"/>
        <w:left w:val="none" w:sz="0" w:space="0" w:color="auto"/>
        <w:bottom w:val="none" w:sz="0" w:space="0" w:color="auto"/>
        <w:right w:val="none" w:sz="0" w:space="0" w:color="auto"/>
      </w:divBdr>
    </w:div>
    <w:div w:id="77022776">
      <w:bodyDiv w:val="1"/>
      <w:marLeft w:val="0"/>
      <w:marRight w:val="0"/>
      <w:marTop w:val="0"/>
      <w:marBottom w:val="0"/>
      <w:divBdr>
        <w:top w:val="none" w:sz="0" w:space="0" w:color="auto"/>
        <w:left w:val="none" w:sz="0" w:space="0" w:color="auto"/>
        <w:bottom w:val="none" w:sz="0" w:space="0" w:color="auto"/>
        <w:right w:val="none" w:sz="0" w:space="0" w:color="auto"/>
      </w:divBdr>
    </w:div>
    <w:div w:id="97604308">
      <w:bodyDiv w:val="1"/>
      <w:marLeft w:val="0"/>
      <w:marRight w:val="0"/>
      <w:marTop w:val="0"/>
      <w:marBottom w:val="0"/>
      <w:divBdr>
        <w:top w:val="none" w:sz="0" w:space="0" w:color="auto"/>
        <w:left w:val="none" w:sz="0" w:space="0" w:color="auto"/>
        <w:bottom w:val="none" w:sz="0" w:space="0" w:color="auto"/>
        <w:right w:val="none" w:sz="0" w:space="0" w:color="auto"/>
      </w:divBdr>
    </w:div>
    <w:div w:id="101995072">
      <w:bodyDiv w:val="1"/>
      <w:marLeft w:val="0"/>
      <w:marRight w:val="0"/>
      <w:marTop w:val="0"/>
      <w:marBottom w:val="0"/>
      <w:divBdr>
        <w:top w:val="none" w:sz="0" w:space="0" w:color="auto"/>
        <w:left w:val="none" w:sz="0" w:space="0" w:color="auto"/>
        <w:bottom w:val="none" w:sz="0" w:space="0" w:color="auto"/>
        <w:right w:val="none" w:sz="0" w:space="0" w:color="auto"/>
      </w:divBdr>
    </w:div>
    <w:div w:id="105926813">
      <w:bodyDiv w:val="1"/>
      <w:marLeft w:val="0"/>
      <w:marRight w:val="0"/>
      <w:marTop w:val="0"/>
      <w:marBottom w:val="0"/>
      <w:divBdr>
        <w:top w:val="none" w:sz="0" w:space="0" w:color="auto"/>
        <w:left w:val="none" w:sz="0" w:space="0" w:color="auto"/>
        <w:bottom w:val="none" w:sz="0" w:space="0" w:color="auto"/>
        <w:right w:val="none" w:sz="0" w:space="0" w:color="auto"/>
      </w:divBdr>
    </w:div>
    <w:div w:id="107939218">
      <w:bodyDiv w:val="1"/>
      <w:marLeft w:val="0"/>
      <w:marRight w:val="0"/>
      <w:marTop w:val="0"/>
      <w:marBottom w:val="0"/>
      <w:divBdr>
        <w:top w:val="none" w:sz="0" w:space="0" w:color="auto"/>
        <w:left w:val="none" w:sz="0" w:space="0" w:color="auto"/>
        <w:bottom w:val="none" w:sz="0" w:space="0" w:color="auto"/>
        <w:right w:val="none" w:sz="0" w:space="0" w:color="auto"/>
      </w:divBdr>
    </w:div>
    <w:div w:id="118108094">
      <w:bodyDiv w:val="1"/>
      <w:marLeft w:val="0"/>
      <w:marRight w:val="0"/>
      <w:marTop w:val="0"/>
      <w:marBottom w:val="0"/>
      <w:divBdr>
        <w:top w:val="none" w:sz="0" w:space="0" w:color="auto"/>
        <w:left w:val="none" w:sz="0" w:space="0" w:color="auto"/>
        <w:bottom w:val="none" w:sz="0" w:space="0" w:color="auto"/>
        <w:right w:val="none" w:sz="0" w:space="0" w:color="auto"/>
      </w:divBdr>
    </w:div>
    <w:div w:id="123550507">
      <w:bodyDiv w:val="1"/>
      <w:marLeft w:val="0"/>
      <w:marRight w:val="0"/>
      <w:marTop w:val="0"/>
      <w:marBottom w:val="0"/>
      <w:divBdr>
        <w:top w:val="none" w:sz="0" w:space="0" w:color="auto"/>
        <w:left w:val="none" w:sz="0" w:space="0" w:color="auto"/>
        <w:bottom w:val="none" w:sz="0" w:space="0" w:color="auto"/>
        <w:right w:val="none" w:sz="0" w:space="0" w:color="auto"/>
      </w:divBdr>
    </w:div>
    <w:div w:id="128547836">
      <w:bodyDiv w:val="1"/>
      <w:marLeft w:val="0"/>
      <w:marRight w:val="0"/>
      <w:marTop w:val="0"/>
      <w:marBottom w:val="0"/>
      <w:divBdr>
        <w:top w:val="none" w:sz="0" w:space="0" w:color="auto"/>
        <w:left w:val="none" w:sz="0" w:space="0" w:color="auto"/>
        <w:bottom w:val="none" w:sz="0" w:space="0" w:color="auto"/>
        <w:right w:val="none" w:sz="0" w:space="0" w:color="auto"/>
      </w:divBdr>
    </w:div>
    <w:div w:id="133449672">
      <w:bodyDiv w:val="1"/>
      <w:marLeft w:val="0"/>
      <w:marRight w:val="0"/>
      <w:marTop w:val="0"/>
      <w:marBottom w:val="0"/>
      <w:divBdr>
        <w:top w:val="none" w:sz="0" w:space="0" w:color="auto"/>
        <w:left w:val="none" w:sz="0" w:space="0" w:color="auto"/>
        <w:bottom w:val="none" w:sz="0" w:space="0" w:color="auto"/>
        <w:right w:val="none" w:sz="0" w:space="0" w:color="auto"/>
      </w:divBdr>
    </w:div>
    <w:div w:id="134686777">
      <w:bodyDiv w:val="1"/>
      <w:marLeft w:val="0"/>
      <w:marRight w:val="0"/>
      <w:marTop w:val="0"/>
      <w:marBottom w:val="0"/>
      <w:divBdr>
        <w:top w:val="none" w:sz="0" w:space="0" w:color="auto"/>
        <w:left w:val="none" w:sz="0" w:space="0" w:color="auto"/>
        <w:bottom w:val="none" w:sz="0" w:space="0" w:color="auto"/>
        <w:right w:val="none" w:sz="0" w:space="0" w:color="auto"/>
      </w:divBdr>
    </w:div>
    <w:div w:id="139200252">
      <w:bodyDiv w:val="1"/>
      <w:marLeft w:val="0"/>
      <w:marRight w:val="0"/>
      <w:marTop w:val="0"/>
      <w:marBottom w:val="0"/>
      <w:divBdr>
        <w:top w:val="none" w:sz="0" w:space="0" w:color="auto"/>
        <w:left w:val="none" w:sz="0" w:space="0" w:color="auto"/>
        <w:bottom w:val="none" w:sz="0" w:space="0" w:color="auto"/>
        <w:right w:val="none" w:sz="0" w:space="0" w:color="auto"/>
      </w:divBdr>
    </w:div>
    <w:div w:id="149254329">
      <w:bodyDiv w:val="1"/>
      <w:marLeft w:val="0"/>
      <w:marRight w:val="0"/>
      <w:marTop w:val="0"/>
      <w:marBottom w:val="0"/>
      <w:divBdr>
        <w:top w:val="none" w:sz="0" w:space="0" w:color="auto"/>
        <w:left w:val="none" w:sz="0" w:space="0" w:color="auto"/>
        <w:bottom w:val="none" w:sz="0" w:space="0" w:color="auto"/>
        <w:right w:val="none" w:sz="0" w:space="0" w:color="auto"/>
      </w:divBdr>
    </w:div>
    <w:div w:id="151986871">
      <w:bodyDiv w:val="1"/>
      <w:marLeft w:val="0"/>
      <w:marRight w:val="0"/>
      <w:marTop w:val="0"/>
      <w:marBottom w:val="0"/>
      <w:divBdr>
        <w:top w:val="none" w:sz="0" w:space="0" w:color="auto"/>
        <w:left w:val="none" w:sz="0" w:space="0" w:color="auto"/>
        <w:bottom w:val="none" w:sz="0" w:space="0" w:color="auto"/>
        <w:right w:val="none" w:sz="0" w:space="0" w:color="auto"/>
      </w:divBdr>
    </w:div>
    <w:div w:id="152062939">
      <w:bodyDiv w:val="1"/>
      <w:marLeft w:val="0"/>
      <w:marRight w:val="0"/>
      <w:marTop w:val="0"/>
      <w:marBottom w:val="0"/>
      <w:divBdr>
        <w:top w:val="none" w:sz="0" w:space="0" w:color="auto"/>
        <w:left w:val="none" w:sz="0" w:space="0" w:color="auto"/>
        <w:bottom w:val="none" w:sz="0" w:space="0" w:color="auto"/>
        <w:right w:val="none" w:sz="0" w:space="0" w:color="auto"/>
      </w:divBdr>
    </w:div>
    <w:div w:id="154105886">
      <w:bodyDiv w:val="1"/>
      <w:marLeft w:val="0"/>
      <w:marRight w:val="0"/>
      <w:marTop w:val="0"/>
      <w:marBottom w:val="0"/>
      <w:divBdr>
        <w:top w:val="none" w:sz="0" w:space="0" w:color="auto"/>
        <w:left w:val="none" w:sz="0" w:space="0" w:color="auto"/>
        <w:bottom w:val="none" w:sz="0" w:space="0" w:color="auto"/>
        <w:right w:val="none" w:sz="0" w:space="0" w:color="auto"/>
      </w:divBdr>
    </w:div>
    <w:div w:id="161237209">
      <w:bodyDiv w:val="1"/>
      <w:marLeft w:val="0"/>
      <w:marRight w:val="0"/>
      <w:marTop w:val="0"/>
      <w:marBottom w:val="0"/>
      <w:divBdr>
        <w:top w:val="none" w:sz="0" w:space="0" w:color="auto"/>
        <w:left w:val="none" w:sz="0" w:space="0" w:color="auto"/>
        <w:bottom w:val="none" w:sz="0" w:space="0" w:color="auto"/>
        <w:right w:val="none" w:sz="0" w:space="0" w:color="auto"/>
      </w:divBdr>
    </w:div>
    <w:div w:id="166218535">
      <w:bodyDiv w:val="1"/>
      <w:marLeft w:val="0"/>
      <w:marRight w:val="0"/>
      <w:marTop w:val="0"/>
      <w:marBottom w:val="0"/>
      <w:divBdr>
        <w:top w:val="none" w:sz="0" w:space="0" w:color="auto"/>
        <w:left w:val="none" w:sz="0" w:space="0" w:color="auto"/>
        <w:bottom w:val="none" w:sz="0" w:space="0" w:color="auto"/>
        <w:right w:val="none" w:sz="0" w:space="0" w:color="auto"/>
      </w:divBdr>
    </w:div>
    <w:div w:id="169804462">
      <w:bodyDiv w:val="1"/>
      <w:marLeft w:val="0"/>
      <w:marRight w:val="0"/>
      <w:marTop w:val="0"/>
      <w:marBottom w:val="0"/>
      <w:divBdr>
        <w:top w:val="none" w:sz="0" w:space="0" w:color="auto"/>
        <w:left w:val="none" w:sz="0" w:space="0" w:color="auto"/>
        <w:bottom w:val="none" w:sz="0" w:space="0" w:color="auto"/>
        <w:right w:val="none" w:sz="0" w:space="0" w:color="auto"/>
      </w:divBdr>
    </w:div>
    <w:div w:id="170611178">
      <w:bodyDiv w:val="1"/>
      <w:marLeft w:val="0"/>
      <w:marRight w:val="0"/>
      <w:marTop w:val="0"/>
      <w:marBottom w:val="0"/>
      <w:divBdr>
        <w:top w:val="none" w:sz="0" w:space="0" w:color="auto"/>
        <w:left w:val="none" w:sz="0" w:space="0" w:color="auto"/>
        <w:bottom w:val="none" w:sz="0" w:space="0" w:color="auto"/>
        <w:right w:val="none" w:sz="0" w:space="0" w:color="auto"/>
      </w:divBdr>
    </w:div>
    <w:div w:id="179860325">
      <w:bodyDiv w:val="1"/>
      <w:marLeft w:val="0"/>
      <w:marRight w:val="0"/>
      <w:marTop w:val="0"/>
      <w:marBottom w:val="0"/>
      <w:divBdr>
        <w:top w:val="none" w:sz="0" w:space="0" w:color="auto"/>
        <w:left w:val="none" w:sz="0" w:space="0" w:color="auto"/>
        <w:bottom w:val="none" w:sz="0" w:space="0" w:color="auto"/>
        <w:right w:val="none" w:sz="0" w:space="0" w:color="auto"/>
      </w:divBdr>
    </w:div>
    <w:div w:id="182597983">
      <w:bodyDiv w:val="1"/>
      <w:marLeft w:val="0"/>
      <w:marRight w:val="0"/>
      <w:marTop w:val="0"/>
      <w:marBottom w:val="0"/>
      <w:divBdr>
        <w:top w:val="none" w:sz="0" w:space="0" w:color="auto"/>
        <w:left w:val="none" w:sz="0" w:space="0" w:color="auto"/>
        <w:bottom w:val="none" w:sz="0" w:space="0" w:color="auto"/>
        <w:right w:val="none" w:sz="0" w:space="0" w:color="auto"/>
      </w:divBdr>
    </w:div>
    <w:div w:id="188493783">
      <w:bodyDiv w:val="1"/>
      <w:marLeft w:val="0"/>
      <w:marRight w:val="0"/>
      <w:marTop w:val="0"/>
      <w:marBottom w:val="0"/>
      <w:divBdr>
        <w:top w:val="none" w:sz="0" w:space="0" w:color="auto"/>
        <w:left w:val="none" w:sz="0" w:space="0" w:color="auto"/>
        <w:bottom w:val="none" w:sz="0" w:space="0" w:color="auto"/>
        <w:right w:val="none" w:sz="0" w:space="0" w:color="auto"/>
      </w:divBdr>
    </w:div>
    <w:div w:id="193494920">
      <w:bodyDiv w:val="1"/>
      <w:marLeft w:val="0"/>
      <w:marRight w:val="0"/>
      <w:marTop w:val="0"/>
      <w:marBottom w:val="0"/>
      <w:divBdr>
        <w:top w:val="none" w:sz="0" w:space="0" w:color="auto"/>
        <w:left w:val="none" w:sz="0" w:space="0" w:color="auto"/>
        <w:bottom w:val="none" w:sz="0" w:space="0" w:color="auto"/>
        <w:right w:val="none" w:sz="0" w:space="0" w:color="auto"/>
      </w:divBdr>
    </w:div>
    <w:div w:id="212619696">
      <w:bodyDiv w:val="1"/>
      <w:marLeft w:val="0"/>
      <w:marRight w:val="0"/>
      <w:marTop w:val="0"/>
      <w:marBottom w:val="0"/>
      <w:divBdr>
        <w:top w:val="none" w:sz="0" w:space="0" w:color="auto"/>
        <w:left w:val="none" w:sz="0" w:space="0" w:color="auto"/>
        <w:bottom w:val="none" w:sz="0" w:space="0" w:color="auto"/>
        <w:right w:val="none" w:sz="0" w:space="0" w:color="auto"/>
      </w:divBdr>
    </w:div>
    <w:div w:id="219292129">
      <w:bodyDiv w:val="1"/>
      <w:marLeft w:val="0"/>
      <w:marRight w:val="0"/>
      <w:marTop w:val="0"/>
      <w:marBottom w:val="0"/>
      <w:divBdr>
        <w:top w:val="none" w:sz="0" w:space="0" w:color="auto"/>
        <w:left w:val="none" w:sz="0" w:space="0" w:color="auto"/>
        <w:bottom w:val="none" w:sz="0" w:space="0" w:color="auto"/>
        <w:right w:val="none" w:sz="0" w:space="0" w:color="auto"/>
      </w:divBdr>
    </w:div>
    <w:div w:id="230580965">
      <w:bodyDiv w:val="1"/>
      <w:marLeft w:val="0"/>
      <w:marRight w:val="0"/>
      <w:marTop w:val="0"/>
      <w:marBottom w:val="0"/>
      <w:divBdr>
        <w:top w:val="none" w:sz="0" w:space="0" w:color="auto"/>
        <w:left w:val="none" w:sz="0" w:space="0" w:color="auto"/>
        <w:bottom w:val="none" w:sz="0" w:space="0" w:color="auto"/>
        <w:right w:val="none" w:sz="0" w:space="0" w:color="auto"/>
      </w:divBdr>
    </w:div>
    <w:div w:id="238444140">
      <w:bodyDiv w:val="1"/>
      <w:marLeft w:val="0"/>
      <w:marRight w:val="0"/>
      <w:marTop w:val="0"/>
      <w:marBottom w:val="0"/>
      <w:divBdr>
        <w:top w:val="none" w:sz="0" w:space="0" w:color="auto"/>
        <w:left w:val="none" w:sz="0" w:space="0" w:color="auto"/>
        <w:bottom w:val="none" w:sz="0" w:space="0" w:color="auto"/>
        <w:right w:val="none" w:sz="0" w:space="0" w:color="auto"/>
      </w:divBdr>
    </w:div>
    <w:div w:id="244070201">
      <w:bodyDiv w:val="1"/>
      <w:marLeft w:val="0"/>
      <w:marRight w:val="0"/>
      <w:marTop w:val="0"/>
      <w:marBottom w:val="0"/>
      <w:divBdr>
        <w:top w:val="none" w:sz="0" w:space="0" w:color="auto"/>
        <w:left w:val="none" w:sz="0" w:space="0" w:color="auto"/>
        <w:bottom w:val="none" w:sz="0" w:space="0" w:color="auto"/>
        <w:right w:val="none" w:sz="0" w:space="0" w:color="auto"/>
      </w:divBdr>
    </w:div>
    <w:div w:id="246811572">
      <w:bodyDiv w:val="1"/>
      <w:marLeft w:val="0"/>
      <w:marRight w:val="0"/>
      <w:marTop w:val="0"/>
      <w:marBottom w:val="0"/>
      <w:divBdr>
        <w:top w:val="none" w:sz="0" w:space="0" w:color="auto"/>
        <w:left w:val="none" w:sz="0" w:space="0" w:color="auto"/>
        <w:bottom w:val="none" w:sz="0" w:space="0" w:color="auto"/>
        <w:right w:val="none" w:sz="0" w:space="0" w:color="auto"/>
      </w:divBdr>
    </w:div>
    <w:div w:id="251164011">
      <w:bodyDiv w:val="1"/>
      <w:marLeft w:val="0"/>
      <w:marRight w:val="0"/>
      <w:marTop w:val="0"/>
      <w:marBottom w:val="0"/>
      <w:divBdr>
        <w:top w:val="none" w:sz="0" w:space="0" w:color="auto"/>
        <w:left w:val="none" w:sz="0" w:space="0" w:color="auto"/>
        <w:bottom w:val="none" w:sz="0" w:space="0" w:color="auto"/>
        <w:right w:val="none" w:sz="0" w:space="0" w:color="auto"/>
      </w:divBdr>
    </w:div>
    <w:div w:id="272790375">
      <w:bodyDiv w:val="1"/>
      <w:marLeft w:val="0"/>
      <w:marRight w:val="0"/>
      <w:marTop w:val="0"/>
      <w:marBottom w:val="0"/>
      <w:divBdr>
        <w:top w:val="none" w:sz="0" w:space="0" w:color="auto"/>
        <w:left w:val="none" w:sz="0" w:space="0" w:color="auto"/>
        <w:bottom w:val="none" w:sz="0" w:space="0" w:color="auto"/>
        <w:right w:val="none" w:sz="0" w:space="0" w:color="auto"/>
      </w:divBdr>
    </w:div>
    <w:div w:id="274795136">
      <w:bodyDiv w:val="1"/>
      <w:marLeft w:val="0"/>
      <w:marRight w:val="0"/>
      <w:marTop w:val="0"/>
      <w:marBottom w:val="0"/>
      <w:divBdr>
        <w:top w:val="none" w:sz="0" w:space="0" w:color="auto"/>
        <w:left w:val="none" w:sz="0" w:space="0" w:color="auto"/>
        <w:bottom w:val="none" w:sz="0" w:space="0" w:color="auto"/>
        <w:right w:val="none" w:sz="0" w:space="0" w:color="auto"/>
      </w:divBdr>
    </w:div>
    <w:div w:id="287008068">
      <w:bodyDiv w:val="1"/>
      <w:marLeft w:val="0"/>
      <w:marRight w:val="0"/>
      <w:marTop w:val="0"/>
      <w:marBottom w:val="0"/>
      <w:divBdr>
        <w:top w:val="none" w:sz="0" w:space="0" w:color="auto"/>
        <w:left w:val="none" w:sz="0" w:space="0" w:color="auto"/>
        <w:bottom w:val="none" w:sz="0" w:space="0" w:color="auto"/>
        <w:right w:val="none" w:sz="0" w:space="0" w:color="auto"/>
      </w:divBdr>
    </w:div>
    <w:div w:id="287125389">
      <w:bodyDiv w:val="1"/>
      <w:marLeft w:val="0"/>
      <w:marRight w:val="0"/>
      <w:marTop w:val="0"/>
      <w:marBottom w:val="0"/>
      <w:divBdr>
        <w:top w:val="none" w:sz="0" w:space="0" w:color="auto"/>
        <w:left w:val="none" w:sz="0" w:space="0" w:color="auto"/>
        <w:bottom w:val="none" w:sz="0" w:space="0" w:color="auto"/>
        <w:right w:val="none" w:sz="0" w:space="0" w:color="auto"/>
      </w:divBdr>
    </w:div>
    <w:div w:id="292904847">
      <w:bodyDiv w:val="1"/>
      <w:marLeft w:val="0"/>
      <w:marRight w:val="0"/>
      <w:marTop w:val="0"/>
      <w:marBottom w:val="0"/>
      <w:divBdr>
        <w:top w:val="none" w:sz="0" w:space="0" w:color="auto"/>
        <w:left w:val="none" w:sz="0" w:space="0" w:color="auto"/>
        <w:bottom w:val="none" w:sz="0" w:space="0" w:color="auto"/>
        <w:right w:val="none" w:sz="0" w:space="0" w:color="auto"/>
      </w:divBdr>
    </w:div>
    <w:div w:id="295962105">
      <w:bodyDiv w:val="1"/>
      <w:marLeft w:val="0"/>
      <w:marRight w:val="0"/>
      <w:marTop w:val="0"/>
      <w:marBottom w:val="0"/>
      <w:divBdr>
        <w:top w:val="none" w:sz="0" w:space="0" w:color="auto"/>
        <w:left w:val="none" w:sz="0" w:space="0" w:color="auto"/>
        <w:bottom w:val="none" w:sz="0" w:space="0" w:color="auto"/>
        <w:right w:val="none" w:sz="0" w:space="0" w:color="auto"/>
      </w:divBdr>
    </w:div>
    <w:div w:id="300430153">
      <w:bodyDiv w:val="1"/>
      <w:marLeft w:val="0"/>
      <w:marRight w:val="0"/>
      <w:marTop w:val="0"/>
      <w:marBottom w:val="0"/>
      <w:divBdr>
        <w:top w:val="none" w:sz="0" w:space="0" w:color="auto"/>
        <w:left w:val="none" w:sz="0" w:space="0" w:color="auto"/>
        <w:bottom w:val="none" w:sz="0" w:space="0" w:color="auto"/>
        <w:right w:val="none" w:sz="0" w:space="0" w:color="auto"/>
      </w:divBdr>
    </w:div>
    <w:div w:id="304168775">
      <w:bodyDiv w:val="1"/>
      <w:marLeft w:val="0"/>
      <w:marRight w:val="0"/>
      <w:marTop w:val="0"/>
      <w:marBottom w:val="0"/>
      <w:divBdr>
        <w:top w:val="none" w:sz="0" w:space="0" w:color="auto"/>
        <w:left w:val="none" w:sz="0" w:space="0" w:color="auto"/>
        <w:bottom w:val="none" w:sz="0" w:space="0" w:color="auto"/>
        <w:right w:val="none" w:sz="0" w:space="0" w:color="auto"/>
      </w:divBdr>
    </w:div>
    <w:div w:id="304283687">
      <w:bodyDiv w:val="1"/>
      <w:marLeft w:val="0"/>
      <w:marRight w:val="0"/>
      <w:marTop w:val="0"/>
      <w:marBottom w:val="0"/>
      <w:divBdr>
        <w:top w:val="none" w:sz="0" w:space="0" w:color="auto"/>
        <w:left w:val="none" w:sz="0" w:space="0" w:color="auto"/>
        <w:bottom w:val="none" w:sz="0" w:space="0" w:color="auto"/>
        <w:right w:val="none" w:sz="0" w:space="0" w:color="auto"/>
      </w:divBdr>
    </w:div>
    <w:div w:id="305136090">
      <w:bodyDiv w:val="1"/>
      <w:marLeft w:val="0"/>
      <w:marRight w:val="0"/>
      <w:marTop w:val="0"/>
      <w:marBottom w:val="0"/>
      <w:divBdr>
        <w:top w:val="none" w:sz="0" w:space="0" w:color="auto"/>
        <w:left w:val="none" w:sz="0" w:space="0" w:color="auto"/>
        <w:bottom w:val="none" w:sz="0" w:space="0" w:color="auto"/>
        <w:right w:val="none" w:sz="0" w:space="0" w:color="auto"/>
      </w:divBdr>
    </w:div>
    <w:div w:id="312880648">
      <w:bodyDiv w:val="1"/>
      <w:marLeft w:val="0"/>
      <w:marRight w:val="0"/>
      <w:marTop w:val="0"/>
      <w:marBottom w:val="0"/>
      <w:divBdr>
        <w:top w:val="none" w:sz="0" w:space="0" w:color="auto"/>
        <w:left w:val="none" w:sz="0" w:space="0" w:color="auto"/>
        <w:bottom w:val="none" w:sz="0" w:space="0" w:color="auto"/>
        <w:right w:val="none" w:sz="0" w:space="0" w:color="auto"/>
      </w:divBdr>
    </w:div>
    <w:div w:id="317805086">
      <w:bodyDiv w:val="1"/>
      <w:marLeft w:val="0"/>
      <w:marRight w:val="0"/>
      <w:marTop w:val="0"/>
      <w:marBottom w:val="0"/>
      <w:divBdr>
        <w:top w:val="none" w:sz="0" w:space="0" w:color="auto"/>
        <w:left w:val="none" w:sz="0" w:space="0" w:color="auto"/>
        <w:bottom w:val="none" w:sz="0" w:space="0" w:color="auto"/>
        <w:right w:val="none" w:sz="0" w:space="0" w:color="auto"/>
      </w:divBdr>
    </w:div>
    <w:div w:id="327711627">
      <w:bodyDiv w:val="1"/>
      <w:marLeft w:val="0"/>
      <w:marRight w:val="0"/>
      <w:marTop w:val="0"/>
      <w:marBottom w:val="0"/>
      <w:divBdr>
        <w:top w:val="none" w:sz="0" w:space="0" w:color="auto"/>
        <w:left w:val="none" w:sz="0" w:space="0" w:color="auto"/>
        <w:bottom w:val="none" w:sz="0" w:space="0" w:color="auto"/>
        <w:right w:val="none" w:sz="0" w:space="0" w:color="auto"/>
      </w:divBdr>
    </w:div>
    <w:div w:id="341248918">
      <w:bodyDiv w:val="1"/>
      <w:marLeft w:val="0"/>
      <w:marRight w:val="0"/>
      <w:marTop w:val="0"/>
      <w:marBottom w:val="0"/>
      <w:divBdr>
        <w:top w:val="none" w:sz="0" w:space="0" w:color="auto"/>
        <w:left w:val="none" w:sz="0" w:space="0" w:color="auto"/>
        <w:bottom w:val="none" w:sz="0" w:space="0" w:color="auto"/>
        <w:right w:val="none" w:sz="0" w:space="0" w:color="auto"/>
      </w:divBdr>
    </w:div>
    <w:div w:id="346636373">
      <w:bodyDiv w:val="1"/>
      <w:marLeft w:val="0"/>
      <w:marRight w:val="0"/>
      <w:marTop w:val="0"/>
      <w:marBottom w:val="0"/>
      <w:divBdr>
        <w:top w:val="none" w:sz="0" w:space="0" w:color="auto"/>
        <w:left w:val="none" w:sz="0" w:space="0" w:color="auto"/>
        <w:bottom w:val="none" w:sz="0" w:space="0" w:color="auto"/>
        <w:right w:val="none" w:sz="0" w:space="0" w:color="auto"/>
      </w:divBdr>
    </w:div>
    <w:div w:id="351225482">
      <w:bodyDiv w:val="1"/>
      <w:marLeft w:val="0"/>
      <w:marRight w:val="0"/>
      <w:marTop w:val="0"/>
      <w:marBottom w:val="0"/>
      <w:divBdr>
        <w:top w:val="none" w:sz="0" w:space="0" w:color="auto"/>
        <w:left w:val="none" w:sz="0" w:space="0" w:color="auto"/>
        <w:bottom w:val="none" w:sz="0" w:space="0" w:color="auto"/>
        <w:right w:val="none" w:sz="0" w:space="0" w:color="auto"/>
      </w:divBdr>
    </w:div>
    <w:div w:id="355156900">
      <w:bodyDiv w:val="1"/>
      <w:marLeft w:val="0"/>
      <w:marRight w:val="0"/>
      <w:marTop w:val="0"/>
      <w:marBottom w:val="0"/>
      <w:divBdr>
        <w:top w:val="none" w:sz="0" w:space="0" w:color="auto"/>
        <w:left w:val="none" w:sz="0" w:space="0" w:color="auto"/>
        <w:bottom w:val="none" w:sz="0" w:space="0" w:color="auto"/>
        <w:right w:val="none" w:sz="0" w:space="0" w:color="auto"/>
      </w:divBdr>
    </w:div>
    <w:div w:id="357587532">
      <w:bodyDiv w:val="1"/>
      <w:marLeft w:val="0"/>
      <w:marRight w:val="0"/>
      <w:marTop w:val="0"/>
      <w:marBottom w:val="0"/>
      <w:divBdr>
        <w:top w:val="none" w:sz="0" w:space="0" w:color="auto"/>
        <w:left w:val="none" w:sz="0" w:space="0" w:color="auto"/>
        <w:bottom w:val="none" w:sz="0" w:space="0" w:color="auto"/>
        <w:right w:val="none" w:sz="0" w:space="0" w:color="auto"/>
      </w:divBdr>
    </w:div>
    <w:div w:id="360278132">
      <w:bodyDiv w:val="1"/>
      <w:marLeft w:val="0"/>
      <w:marRight w:val="0"/>
      <w:marTop w:val="0"/>
      <w:marBottom w:val="0"/>
      <w:divBdr>
        <w:top w:val="none" w:sz="0" w:space="0" w:color="auto"/>
        <w:left w:val="none" w:sz="0" w:space="0" w:color="auto"/>
        <w:bottom w:val="none" w:sz="0" w:space="0" w:color="auto"/>
        <w:right w:val="none" w:sz="0" w:space="0" w:color="auto"/>
      </w:divBdr>
    </w:div>
    <w:div w:id="366415005">
      <w:bodyDiv w:val="1"/>
      <w:marLeft w:val="0"/>
      <w:marRight w:val="0"/>
      <w:marTop w:val="0"/>
      <w:marBottom w:val="0"/>
      <w:divBdr>
        <w:top w:val="none" w:sz="0" w:space="0" w:color="auto"/>
        <w:left w:val="none" w:sz="0" w:space="0" w:color="auto"/>
        <w:bottom w:val="none" w:sz="0" w:space="0" w:color="auto"/>
        <w:right w:val="none" w:sz="0" w:space="0" w:color="auto"/>
      </w:divBdr>
    </w:div>
    <w:div w:id="370765971">
      <w:bodyDiv w:val="1"/>
      <w:marLeft w:val="0"/>
      <w:marRight w:val="0"/>
      <w:marTop w:val="0"/>
      <w:marBottom w:val="0"/>
      <w:divBdr>
        <w:top w:val="none" w:sz="0" w:space="0" w:color="auto"/>
        <w:left w:val="none" w:sz="0" w:space="0" w:color="auto"/>
        <w:bottom w:val="none" w:sz="0" w:space="0" w:color="auto"/>
        <w:right w:val="none" w:sz="0" w:space="0" w:color="auto"/>
      </w:divBdr>
    </w:div>
    <w:div w:id="372578544">
      <w:bodyDiv w:val="1"/>
      <w:marLeft w:val="0"/>
      <w:marRight w:val="0"/>
      <w:marTop w:val="0"/>
      <w:marBottom w:val="0"/>
      <w:divBdr>
        <w:top w:val="none" w:sz="0" w:space="0" w:color="auto"/>
        <w:left w:val="none" w:sz="0" w:space="0" w:color="auto"/>
        <w:bottom w:val="none" w:sz="0" w:space="0" w:color="auto"/>
        <w:right w:val="none" w:sz="0" w:space="0" w:color="auto"/>
      </w:divBdr>
    </w:div>
    <w:div w:id="376052403">
      <w:bodyDiv w:val="1"/>
      <w:marLeft w:val="0"/>
      <w:marRight w:val="0"/>
      <w:marTop w:val="0"/>
      <w:marBottom w:val="0"/>
      <w:divBdr>
        <w:top w:val="none" w:sz="0" w:space="0" w:color="auto"/>
        <w:left w:val="none" w:sz="0" w:space="0" w:color="auto"/>
        <w:bottom w:val="none" w:sz="0" w:space="0" w:color="auto"/>
        <w:right w:val="none" w:sz="0" w:space="0" w:color="auto"/>
      </w:divBdr>
    </w:div>
    <w:div w:id="376587794">
      <w:bodyDiv w:val="1"/>
      <w:marLeft w:val="0"/>
      <w:marRight w:val="0"/>
      <w:marTop w:val="0"/>
      <w:marBottom w:val="0"/>
      <w:divBdr>
        <w:top w:val="none" w:sz="0" w:space="0" w:color="auto"/>
        <w:left w:val="none" w:sz="0" w:space="0" w:color="auto"/>
        <w:bottom w:val="none" w:sz="0" w:space="0" w:color="auto"/>
        <w:right w:val="none" w:sz="0" w:space="0" w:color="auto"/>
      </w:divBdr>
    </w:div>
    <w:div w:id="387339363">
      <w:bodyDiv w:val="1"/>
      <w:marLeft w:val="0"/>
      <w:marRight w:val="0"/>
      <w:marTop w:val="0"/>
      <w:marBottom w:val="0"/>
      <w:divBdr>
        <w:top w:val="none" w:sz="0" w:space="0" w:color="auto"/>
        <w:left w:val="none" w:sz="0" w:space="0" w:color="auto"/>
        <w:bottom w:val="none" w:sz="0" w:space="0" w:color="auto"/>
        <w:right w:val="none" w:sz="0" w:space="0" w:color="auto"/>
      </w:divBdr>
    </w:div>
    <w:div w:id="387538167">
      <w:bodyDiv w:val="1"/>
      <w:marLeft w:val="0"/>
      <w:marRight w:val="0"/>
      <w:marTop w:val="0"/>
      <w:marBottom w:val="0"/>
      <w:divBdr>
        <w:top w:val="none" w:sz="0" w:space="0" w:color="auto"/>
        <w:left w:val="none" w:sz="0" w:space="0" w:color="auto"/>
        <w:bottom w:val="none" w:sz="0" w:space="0" w:color="auto"/>
        <w:right w:val="none" w:sz="0" w:space="0" w:color="auto"/>
      </w:divBdr>
    </w:div>
    <w:div w:id="399599121">
      <w:bodyDiv w:val="1"/>
      <w:marLeft w:val="0"/>
      <w:marRight w:val="0"/>
      <w:marTop w:val="0"/>
      <w:marBottom w:val="0"/>
      <w:divBdr>
        <w:top w:val="none" w:sz="0" w:space="0" w:color="auto"/>
        <w:left w:val="none" w:sz="0" w:space="0" w:color="auto"/>
        <w:bottom w:val="none" w:sz="0" w:space="0" w:color="auto"/>
        <w:right w:val="none" w:sz="0" w:space="0" w:color="auto"/>
      </w:divBdr>
    </w:div>
    <w:div w:id="409036825">
      <w:bodyDiv w:val="1"/>
      <w:marLeft w:val="0"/>
      <w:marRight w:val="0"/>
      <w:marTop w:val="0"/>
      <w:marBottom w:val="0"/>
      <w:divBdr>
        <w:top w:val="none" w:sz="0" w:space="0" w:color="auto"/>
        <w:left w:val="none" w:sz="0" w:space="0" w:color="auto"/>
        <w:bottom w:val="none" w:sz="0" w:space="0" w:color="auto"/>
        <w:right w:val="none" w:sz="0" w:space="0" w:color="auto"/>
      </w:divBdr>
    </w:div>
    <w:div w:id="409621714">
      <w:bodyDiv w:val="1"/>
      <w:marLeft w:val="0"/>
      <w:marRight w:val="0"/>
      <w:marTop w:val="0"/>
      <w:marBottom w:val="0"/>
      <w:divBdr>
        <w:top w:val="none" w:sz="0" w:space="0" w:color="auto"/>
        <w:left w:val="none" w:sz="0" w:space="0" w:color="auto"/>
        <w:bottom w:val="none" w:sz="0" w:space="0" w:color="auto"/>
        <w:right w:val="none" w:sz="0" w:space="0" w:color="auto"/>
      </w:divBdr>
    </w:div>
    <w:div w:id="415594178">
      <w:bodyDiv w:val="1"/>
      <w:marLeft w:val="0"/>
      <w:marRight w:val="0"/>
      <w:marTop w:val="0"/>
      <w:marBottom w:val="0"/>
      <w:divBdr>
        <w:top w:val="none" w:sz="0" w:space="0" w:color="auto"/>
        <w:left w:val="none" w:sz="0" w:space="0" w:color="auto"/>
        <w:bottom w:val="none" w:sz="0" w:space="0" w:color="auto"/>
        <w:right w:val="none" w:sz="0" w:space="0" w:color="auto"/>
      </w:divBdr>
    </w:div>
    <w:div w:id="416365972">
      <w:bodyDiv w:val="1"/>
      <w:marLeft w:val="0"/>
      <w:marRight w:val="0"/>
      <w:marTop w:val="0"/>
      <w:marBottom w:val="0"/>
      <w:divBdr>
        <w:top w:val="none" w:sz="0" w:space="0" w:color="auto"/>
        <w:left w:val="none" w:sz="0" w:space="0" w:color="auto"/>
        <w:bottom w:val="none" w:sz="0" w:space="0" w:color="auto"/>
        <w:right w:val="none" w:sz="0" w:space="0" w:color="auto"/>
      </w:divBdr>
    </w:div>
    <w:div w:id="420176197">
      <w:bodyDiv w:val="1"/>
      <w:marLeft w:val="0"/>
      <w:marRight w:val="0"/>
      <w:marTop w:val="0"/>
      <w:marBottom w:val="0"/>
      <w:divBdr>
        <w:top w:val="none" w:sz="0" w:space="0" w:color="auto"/>
        <w:left w:val="none" w:sz="0" w:space="0" w:color="auto"/>
        <w:bottom w:val="none" w:sz="0" w:space="0" w:color="auto"/>
        <w:right w:val="none" w:sz="0" w:space="0" w:color="auto"/>
      </w:divBdr>
    </w:div>
    <w:div w:id="431122927">
      <w:bodyDiv w:val="1"/>
      <w:marLeft w:val="0"/>
      <w:marRight w:val="0"/>
      <w:marTop w:val="0"/>
      <w:marBottom w:val="0"/>
      <w:divBdr>
        <w:top w:val="none" w:sz="0" w:space="0" w:color="auto"/>
        <w:left w:val="none" w:sz="0" w:space="0" w:color="auto"/>
        <w:bottom w:val="none" w:sz="0" w:space="0" w:color="auto"/>
        <w:right w:val="none" w:sz="0" w:space="0" w:color="auto"/>
      </w:divBdr>
    </w:div>
    <w:div w:id="442656370">
      <w:bodyDiv w:val="1"/>
      <w:marLeft w:val="0"/>
      <w:marRight w:val="0"/>
      <w:marTop w:val="0"/>
      <w:marBottom w:val="0"/>
      <w:divBdr>
        <w:top w:val="none" w:sz="0" w:space="0" w:color="auto"/>
        <w:left w:val="none" w:sz="0" w:space="0" w:color="auto"/>
        <w:bottom w:val="none" w:sz="0" w:space="0" w:color="auto"/>
        <w:right w:val="none" w:sz="0" w:space="0" w:color="auto"/>
      </w:divBdr>
    </w:div>
    <w:div w:id="450517862">
      <w:bodyDiv w:val="1"/>
      <w:marLeft w:val="0"/>
      <w:marRight w:val="0"/>
      <w:marTop w:val="0"/>
      <w:marBottom w:val="0"/>
      <w:divBdr>
        <w:top w:val="none" w:sz="0" w:space="0" w:color="auto"/>
        <w:left w:val="none" w:sz="0" w:space="0" w:color="auto"/>
        <w:bottom w:val="none" w:sz="0" w:space="0" w:color="auto"/>
        <w:right w:val="none" w:sz="0" w:space="0" w:color="auto"/>
      </w:divBdr>
    </w:div>
    <w:div w:id="451943027">
      <w:bodyDiv w:val="1"/>
      <w:marLeft w:val="0"/>
      <w:marRight w:val="0"/>
      <w:marTop w:val="0"/>
      <w:marBottom w:val="0"/>
      <w:divBdr>
        <w:top w:val="none" w:sz="0" w:space="0" w:color="auto"/>
        <w:left w:val="none" w:sz="0" w:space="0" w:color="auto"/>
        <w:bottom w:val="none" w:sz="0" w:space="0" w:color="auto"/>
        <w:right w:val="none" w:sz="0" w:space="0" w:color="auto"/>
      </w:divBdr>
    </w:div>
    <w:div w:id="455762843">
      <w:bodyDiv w:val="1"/>
      <w:marLeft w:val="0"/>
      <w:marRight w:val="0"/>
      <w:marTop w:val="0"/>
      <w:marBottom w:val="0"/>
      <w:divBdr>
        <w:top w:val="none" w:sz="0" w:space="0" w:color="auto"/>
        <w:left w:val="none" w:sz="0" w:space="0" w:color="auto"/>
        <w:bottom w:val="none" w:sz="0" w:space="0" w:color="auto"/>
        <w:right w:val="none" w:sz="0" w:space="0" w:color="auto"/>
      </w:divBdr>
    </w:div>
    <w:div w:id="465314513">
      <w:bodyDiv w:val="1"/>
      <w:marLeft w:val="0"/>
      <w:marRight w:val="0"/>
      <w:marTop w:val="0"/>
      <w:marBottom w:val="0"/>
      <w:divBdr>
        <w:top w:val="none" w:sz="0" w:space="0" w:color="auto"/>
        <w:left w:val="none" w:sz="0" w:space="0" w:color="auto"/>
        <w:bottom w:val="none" w:sz="0" w:space="0" w:color="auto"/>
        <w:right w:val="none" w:sz="0" w:space="0" w:color="auto"/>
      </w:divBdr>
    </w:div>
    <w:div w:id="469905637">
      <w:bodyDiv w:val="1"/>
      <w:marLeft w:val="0"/>
      <w:marRight w:val="0"/>
      <w:marTop w:val="0"/>
      <w:marBottom w:val="0"/>
      <w:divBdr>
        <w:top w:val="none" w:sz="0" w:space="0" w:color="auto"/>
        <w:left w:val="none" w:sz="0" w:space="0" w:color="auto"/>
        <w:bottom w:val="none" w:sz="0" w:space="0" w:color="auto"/>
        <w:right w:val="none" w:sz="0" w:space="0" w:color="auto"/>
      </w:divBdr>
    </w:div>
    <w:div w:id="470093771">
      <w:bodyDiv w:val="1"/>
      <w:marLeft w:val="0"/>
      <w:marRight w:val="0"/>
      <w:marTop w:val="0"/>
      <w:marBottom w:val="0"/>
      <w:divBdr>
        <w:top w:val="none" w:sz="0" w:space="0" w:color="auto"/>
        <w:left w:val="none" w:sz="0" w:space="0" w:color="auto"/>
        <w:bottom w:val="none" w:sz="0" w:space="0" w:color="auto"/>
        <w:right w:val="none" w:sz="0" w:space="0" w:color="auto"/>
      </w:divBdr>
    </w:div>
    <w:div w:id="484587111">
      <w:bodyDiv w:val="1"/>
      <w:marLeft w:val="0"/>
      <w:marRight w:val="0"/>
      <w:marTop w:val="0"/>
      <w:marBottom w:val="0"/>
      <w:divBdr>
        <w:top w:val="none" w:sz="0" w:space="0" w:color="auto"/>
        <w:left w:val="none" w:sz="0" w:space="0" w:color="auto"/>
        <w:bottom w:val="none" w:sz="0" w:space="0" w:color="auto"/>
        <w:right w:val="none" w:sz="0" w:space="0" w:color="auto"/>
      </w:divBdr>
    </w:div>
    <w:div w:id="494761646">
      <w:bodyDiv w:val="1"/>
      <w:marLeft w:val="0"/>
      <w:marRight w:val="0"/>
      <w:marTop w:val="0"/>
      <w:marBottom w:val="0"/>
      <w:divBdr>
        <w:top w:val="none" w:sz="0" w:space="0" w:color="auto"/>
        <w:left w:val="none" w:sz="0" w:space="0" w:color="auto"/>
        <w:bottom w:val="none" w:sz="0" w:space="0" w:color="auto"/>
        <w:right w:val="none" w:sz="0" w:space="0" w:color="auto"/>
      </w:divBdr>
    </w:div>
    <w:div w:id="501775703">
      <w:bodyDiv w:val="1"/>
      <w:marLeft w:val="0"/>
      <w:marRight w:val="0"/>
      <w:marTop w:val="0"/>
      <w:marBottom w:val="0"/>
      <w:divBdr>
        <w:top w:val="none" w:sz="0" w:space="0" w:color="auto"/>
        <w:left w:val="none" w:sz="0" w:space="0" w:color="auto"/>
        <w:bottom w:val="none" w:sz="0" w:space="0" w:color="auto"/>
        <w:right w:val="none" w:sz="0" w:space="0" w:color="auto"/>
      </w:divBdr>
    </w:div>
    <w:div w:id="509293307">
      <w:bodyDiv w:val="1"/>
      <w:marLeft w:val="0"/>
      <w:marRight w:val="0"/>
      <w:marTop w:val="0"/>
      <w:marBottom w:val="0"/>
      <w:divBdr>
        <w:top w:val="none" w:sz="0" w:space="0" w:color="auto"/>
        <w:left w:val="none" w:sz="0" w:space="0" w:color="auto"/>
        <w:bottom w:val="none" w:sz="0" w:space="0" w:color="auto"/>
        <w:right w:val="none" w:sz="0" w:space="0" w:color="auto"/>
      </w:divBdr>
    </w:div>
    <w:div w:id="512383002">
      <w:bodyDiv w:val="1"/>
      <w:marLeft w:val="0"/>
      <w:marRight w:val="0"/>
      <w:marTop w:val="0"/>
      <w:marBottom w:val="0"/>
      <w:divBdr>
        <w:top w:val="none" w:sz="0" w:space="0" w:color="auto"/>
        <w:left w:val="none" w:sz="0" w:space="0" w:color="auto"/>
        <w:bottom w:val="none" w:sz="0" w:space="0" w:color="auto"/>
        <w:right w:val="none" w:sz="0" w:space="0" w:color="auto"/>
      </w:divBdr>
    </w:div>
    <w:div w:id="518737904">
      <w:bodyDiv w:val="1"/>
      <w:marLeft w:val="0"/>
      <w:marRight w:val="0"/>
      <w:marTop w:val="0"/>
      <w:marBottom w:val="0"/>
      <w:divBdr>
        <w:top w:val="none" w:sz="0" w:space="0" w:color="auto"/>
        <w:left w:val="none" w:sz="0" w:space="0" w:color="auto"/>
        <w:bottom w:val="none" w:sz="0" w:space="0" w:color="auto"/>
        <w:right w:val="none" w:sz="0" w:space="0" w:color="auto"/>
      </w:divBdr>
    </w:div>
    <w:div w:id="526018051">
      <w:bodyDiv w:val="1"/>
      <w:marLeft w:val="0"/>
      <w:marRight w:val="0"/>
      <w:marTop w:val="0"/>
      <w:marBottom w:val="0"/>
      <w:divBdr>
        <w:top w:val="none" w:sz="0" w:space="0" w:color="auto"/>
        <w:left w:val="none" w:sz="0" w:space="0" w:color="auto"/>
        <w:bottom w:val="none" w:sz="0" w:space="0" w:color="auto"/>
        <w:right w:val="none" w:sz="0" w:space="0" w:color="auto"/>
      </w:divBdr>
    </w:div>
    <w:div w:id="528181086">
      <w:bodyDiv w:val="1"/>
      <w:marLeft w:val="0"/>
      <w:marRight w:val="0"/>
      <w:marTop w:val="0"/>
      <w:marBottom w:val="0"/>
      <w:divBdr>
        <w:top w:val="none" w:sz="0" w:space="0" w:color="auto"/>
        <w:left w:val="none" w:sz="0" w:space="0" w:color="auto"/>
        <w:bottom w:val="none" w:sz="0" w:space="0" w:color="auto"/>
        <w:right w:val="none" w:sz="0" w:space="0" w:color="auto"/>
      </w:divBdr>
    </w:div>
    <w:div w:id="531572263">
      <w:bodyDiv w:val="1"/>
      <w:marLeft w:val="0"/>
      <w:marRight w:val="0"/>
      <w:marTop w:val="0"/>
      <w:marBottom w:val="0"/>
      <w:divBdr>
        <w:top w:val="none" w:sz="0" w:space="0" w:color="auto"/>
        <w:left w:val="none" w:sz="0" w:space="0" w:color="auto"/>
        <w:bottom w:val="none" w:sz="0" w:space="0" w:color="auto"/>
        <w:right w:val="none" w:sz="0" w:space="0" w:color="auto"/>
      </w:divBdr>
    </w:div>
    <w:div w:id="531845317">
      <w:bodyDiv w:val="1"/>
      <w:marLeft w:val="0"/>
      <w:marRight w:val="0"/>
      <w:marTop w:val="0"/>
      <w:marBottom w:val="0"/>
      <w:divBdr>
        <w:top w:val="none" w:sz="0" w:space="0" w:color="auto"/>
        <w:left w:val="none" w:sz="0" w:space="0" w:color="auto"/>
        <w:bottom w:val="none" w:sz="0" w:space="0" w:color="auto"/>
        <w:right w:val="none" w:sz="0" w:space="0" w:color="auto"/>
      </w:divBdr>
    </w:div>
    <w:div w:id="533075154">
      <w:bodyDiv w:val="1"/>
      <w:marLeft w:val="0"/>
      <w:marRight w:val="0"/>
      <w:marTop w:val="0"/>
      <w:marBottom w:val="0"/>
      <w:divBdr>
        <w:top w:val="none" w:sz="0" w:space="0" w:color="auto"/>
        <w:left w:val="none" w:sz="0" w:space="0" w:color="auto"/>
        <w:bottom w:val="none" w:sz="0" w:space="0" w:color="auto"/>
        <w:right w:val="none" w:sz="0" w:space="0" w:color="auto"/>
      </w:divBdr>
    </w:div>
    <w:div w:id="542326120">
      <w:bodyDiv w:val="1"/>
      <w:marLeft w:val="0"/>
      <w:marRight w:val="0"/>
      <w:marTop w:val="0"/>
      <w:marBottom w:val="0"/>
      <w:divBdr>
        <w:top w:val="none" w:sz="0" w:space="0" w:color="auto"/>
        <w:left w:val="none" w:sz="0" w:space="0" w:color="auto"/>
        <w:bottom w:val="none" w:sz="0" w:space="0" w:color="auto"/>
        <w:right w:val="none" w:sz="0" w:space="0" w:color="auto"/>
      </w:divBdr>
    </w:div>
    <w:div w:id="548613594">
      <w:bodyDiv w:val="1"/>
      <w:marLeft w:val="0"/>
      <w:marRight w:val="0"/>
      <w:marTop w:val="0"/>
      <w:marBottom w:val="0"/>
      <w:divBdr>
        <w:top w:val="none" w:sz="0" w:space="0" w:color="auto"/>
        <w:left w:val="none" w:sz="0" w:space="0" w:color="auto"/>
        <w:bottom w:val="none" w:sz="0" w:space="0" w:color="auto"/>
        <w:right w:val="none" w:sz="0" w:space="0" w:color="auto"/>
      </w:divBdr>
    </w:div>
    <w:div w:id="549149612">
      <w:bodyDiv w:val="1"/>
      <w:marLeft w:val="0"/>
      <w:marRight w:val="0"/>
      <w:marTop w:val="0"/>
      <w:marBottom w:val="0"/>
      <w:divBdr>
        <w:top w:val="none" w:sz="0" w:space="0" w:color="auto"/>
        <w:left w:val="none" w:sz="0" w:space="0" w:color="auto"/>
        <w:bottom w:val="none" w:sz="0" w:space="0" w:color="auto"/>
        <w:right w:val="none" w:sz="0" w:space="0" w:color="auto"/>
      </w:divBdr>
    </w:div>
    <w:div w:id="551506348">
      <w:bodyDiv w:val="1"/>
      <w:marLeft w:val="0"/>
      <w:marRight w:val="0"/>
      <w:marTop w:val="0"/>
      <w:marBottom w:val="0"/>
      <w:divBdr>
        <w:top w:val="none" w:sz="0" w:space="0" w:color="auto"/>
        <w:left w:val="none" w:sz="0" w:space="0" w:color="auto"/>
        <w:bottom w:val="none" w:sz="0" w:space="0" w:color="auto"/>
        <w:right w:val="none" w:sz="0" w:space="0" w:color="auto"/>
      </w:divBdr>
    </w:div>
    <w:div w:id="551694532">
      <w:bodyDiv w:val="1"/>
      <w:marLeft w:val="0"/>
      <w:marRight w:val="0"/>
      <w:marTop w:val="0"/>
      <w:marBottom w:val="0"/>
      <w:divBdr>
        <w:top w:val="none" w:sz="0" w:space="0" w:color="auto"/>
        <w:left w:val="none" w:sz="0" w:space="0" w:color="auto"/>
        <w:bottom w:val="none" w:sz="0" w:space="0" w:color="auto"/>
        <w:right w:val="none" w:sz="0" w:space="0" w:color="auto"/>
      </w:divBdr>
    </w:div>
    <w:div w:id="552500747">
      <w:bodyDiv w:val="1"/>
      <w:marLeft w:val="0"/>
      <w:marRight w:val="0"/>
      <w:marTop w:val="0"/>
      <w:marBottom w:val="0"/>
      <w:divBdr>
        <w:top w:val="none" w:sz="0" w:space="0" w:color="auto"/>
        <w:left w:val="none" w:sz="0" w:space="0" w:color="auto"/>
        <w:bottom w:val="none" w:sz="0" w:space="0" w:color="auto"/>
        <w:right w:val="none" w:sz="0" w:space="0" w:color="auto"/>
      </w:divBdr>
    </w:div>
    <w:div w:id="558443591">
      <w:bodyDiv w:val="1"/>
      <w:marLeft w:val="0"/>
      <w:marRight w:val="0"/>
      <w:marTop w:val="0"/>
      <w:marBottom w:val="0"/>
      <w:divBdr>
        <w:top w:val="none" w:sz="0" w:space="0" w:color="auto"/>
        <w:left w:val="none" w:sz="0" w:space="0" w:color="auto"/>
        <w:bottom w:val="none" w:sz="0" w:space="0" w:color="auto"/>
        <w:right w:val="none" w:sz="0" w:space="0" w:color="auto"/>
      </w:divBdr>
    </w:div>
    <w:div w:id="572351575">
      <w:bodyDiv w:val="1"/>
      <w:marLeft w:val="0"/>
      <w:marRight w:val="0"/>
      <w:marTop w:val="0"/>
      <w:marBottom w:val="0"/>
      <w:divBdr>
        <w:top w:val="none" w:sz="0" w:space="0" w:color="auto"/>
        <w:left w:val="none" w:sz="0" w:space="0" w:color="auto"/>
        <w:bottom w:val="none" w:sz="0" w:space="0" w:color="auto"/>
        <w:right w:val="none" w:sz="0" w:space="0" w:color="auto"/>
      </w:divBdr>
    </w:div>
    <w:div w:id="573245182">
      <w:bodyDiv w:val="1"/>
      <w:marLeft w:val="0"/>
      <w:marRight w:val="0"/>
      <w:marTop w:val="0"/>
      <w:marBottom w:val="0"/>
      <w:divBdr>
        <w:top w:val="none" w:sz="0" w:space="0" w:color="auto"/>
        <w:left w:val="none" w:sz="0" w:space="0" w:color="auto"/>
        <w:bottom w:val="none" w:sz="0" w:space="0" w:color="auto"/>
        <w:right w:val="none" w:sz="0" w:space="0" w:color="auto"/>
      </w:divBdr>
    </w:div>
    <w:div w:id="573708564">
      <w:bodyDiv w:val="1"/>
      <w:marLeft w:val="0"/>
      <w:marRight w:val="0"/>
      <w:marTop w:val="0"/>
      <w:marBottom w:val="0"/>
      <w:divBdr>
        <w:top w:val="none" w:sz="0" w:space="0" w:color="auto"/>
        <w:left w:val="none" w:sz="0" w:space="0" w:color="auto"/>
        <w:bottom w:val="none" w:sz="0" w:space="0" w:color="auto"/>
        <w:right w:val="none" w:sz="0" w:space="0" w:color="auto"/>
      </w:divBdr>
    </w:div>
    <w:div w:id="580992730">
      <w:bodyDiv w:val="1"/>
      <w:marLeft w:val="0"/>
      <w:marRight w:val="0"/>
      <w:marTop w:val="0"/>
      <w:marBottom w:val="0"/>
      <w:divBdr>
        <w:top w:val="none" w:sz="0" w:space="0" w:color="auto"/>
        <w:left w:val="none" w:sz="0" w:space="0" w:color="auto"/>
        <w:bottom w:val="none" w:sz="0" w:space="0" w:color="auto"/>
        <w:right w:val="none" w:sz="0" w:space="0" w:color="auto"/>
      </w:divBdr>
    </w:div>
    <w:div w:id="584458309">
      <w:bodyDiv w:val="1"/>
      <w:marLeft w:val="0"/>
      <w:marRight w:val="0"/>
      <w:marTop w:val="0"/>
      <w:marBottom w:val="0"/>
      <w:divBdr>
        <w:top w:val="none" w:sz="0" w:space="0" w:color="auto"/>
        <w:left w:val="none" w:sz="0" w:space="0" w:color="auto"/>
        <w:bottom w:val="none" w:sz="0" w:space="0" w:color="auto"/>
        <w:right w:val="none" w:sz="0" w:space="0" w:color="auto"/>
      </w:divBdr>
    </w:div>
    <w:div w:id="601693863">
      <w:bodyDiv w:val="1"/>
      <w:marLeft w:val="0"/>
      <w:marRight w:val="0"/>
      <w:marTop w:val="0"/>
      <w:marBottom w:val="0"/>
      <w:divBdr>
        <w:top w:val="none" w:sz="0" w:space="0" w:color="auto"/>
        <w:left w:val="none" w:sz="0" w:space="0" w:color="auto"/>
        <w:bottom w:val="none" w:sz="0" w:space="0" w:color="auto"/>
        <w:right w:val="none" w:sz="0" w:space="0" w:color="auto"/>
      </w:divBdr>
    </w:div>
    <w:div w:id="616764293">
      <w:bodyDiv w:val="1"/>
      <w:marLeft w:val="0"/>
      <w:marRight w:val="0"/>
      <w:marTop w:val="0"/>
      <w:marBottom w:val="0"/>
      <w:divBdr>
        <w:top w:val="none" w:sz="0" w:space="0" w:color="auto"/>
        <w:left w:val="none" w:sz="0" w:space="0" w:color="auto"/>
        <w:bottom w:val="none" w:sz="0" w:space="0" w:color="auto"/>
        <w:right w:val="none" w:sz="0" w:space="0" w:color="auto"/>
      </w:divBdr>
    </w:div>
    <w:div w:id="618342039">
      <w:bodyDiv w:val="1"/>
      <w:marLeft w:val="0"/>
      <w:marRight w:val="0"/>
      <w:marTop w:val="0"/>
      <w:marBottom w:val="0"/>
      <w:divBdr>
        <w:top w:val="none" w:sz="0" w:space="0" w:color="auto"/>
        <w:left w:val="none" w:sz="0" w:space="0" w:color="auto"/>
        <w:bottom w:val="none" w:sz="0" w:space="0" w:color="auto"/>
        <w:right w:val="none" w:sz="0" w:space="0" w:color="auto"/>
      </w:divBdr>
    </w:div>
    <w:div w:id="624121587">
      <w:bodyDiv w:val="1"/>
      <w:marLeft w:val="0"/>
      <w:marRight w:val="0"/>
      <w:marTop w:val="0"/>
      <w:marBottom w:val="0"/>
      <w:divBdr>
        <w:top w:val="none" w:sz="0" w:space="0" w:color="auto"/>
        <w:left w:val="none" w:sz="0" w:space="0" w:color="auto"/>
        <w:bottom w:val="none" w:sz="0" w:space="0" w:color="auto"/>
        <w:right w:val="none" w:sz="0" w:space="0" w:color="auto"/>
      </w:divBdr>
    </w:div>
    <w:div w:id="629286778">
      <w:bodyDiv w:val="1"/>
      <w:marLeft w:val="0"/>
      <w:marRight w:val="0"/>
      <w:marTop w:val="0"/>
      <w:marBottom w:val="0"/>
      <w:divBdr>
        <w:top w:val="none" w:sz="0" w:space="0" w:color="auto"/>
        <w:left w:val="none" w:sz="0" w:space="0" w:color="auto"/>
        <w:bottom w:val="none" w:sz="0" w:space="0" w:color="auto"/>
        <w:right w:val="none" w:sz="0" w:space="0" w:color="auto"/>
      </w:divBdr>
    </w:div>
    <w:div w:id="637303333">
      <w:bodyDiv w:val="1"/>
      <w:marLeft w:val="0"/>
      <w:marRight w:val="0"/>
      <w:marTop w:val="0"/>
      <w:marBottom w:val="0"/>
      <w:divBdr>
        <w:top w:val="none" w:sz="0" w:space="0" w:color="auto"/>
        <w:left w:val="none" w:sz="0" w:space="0" w:color="auto"/>
        <w:bottom w:val="none" w:sz="0" w:space="0" w:color="auto"/>
        <w:right w:val="none" w:sz="0" w:space="0" w:color="auto"/>
      </w:divBdr>
    </w:div>
    <w:div w:id="663777257">
      <w:bodyDiv w:val="1"/>
      <w:marLeft w:val="0"/>
      <w:marRight w:val="0"/>
      <w:marTop w:val="0"/>
      <w:marBottom w:val="0"/>
      <w:divBdr>
        <w:top w:val="none" w:sz="0" w:space="0" w:color="auto"/>
        <w:left w:val="none" w:sz="0" w:space="0" w:color="auto"/>
        <w:bottom w:val="none" w:sz="0" w:space="0" w:color="auto"/>
        <w:right w:val="none" w:sz="0" w:space="0" w:color="auto"/>
      </w:divBdr>
    </w:div>
    <w:div w:id="680474225">
      <w:bodyDiv w:val="1"/>
      <w:marLeft w:val="0"/>
      <w:marRight w:val="0"/>
      <w:marTop w:val="0"/>
      <w:marBottom w:val="0"/>
      <w:divBdr>
        <w:top w:val="none" w:sz="0" w:space="0" w:color="auto"/>
        <w:left w:val="none" w:sz="0" w:space="0" w:color="auto"/>
        <w:bottom w:val="none" w:sz="0" w:space="0" w:color="auto"/>
        <w:right w:val="none" w:sz="0" w:space="0" w:color="auto"/>
      </w:divBdr>
    </w:div>
    <w:div w:id="701907189">
      <w:bodyDiv w:val="1"/>
      <w:marLeft w:val="0"/>
      <w:marRight w:val="0"/>
      <w:marTop w:val="0"/>
      <w:marBottom w:val="0"/>
      <w:divBdr>
        <w:top w:val="none" w:sz="0" w:space="0" w:color="auto"/>
        <w:left w:val="none" w:sz="0" w:space="0" w:color="auto"/>
        <w:bottom w:val="none" w:sz="0" w:space="0" w:color="auto"/>
        <w:right w:val="none" w:sz="0" w:space="0" w:color="auto"/>
      </w:divBdr>
    </w:div>
    <w:div w:id="712773186">
      <w:bodyDiv w:val="1"/>
      <w:marLeft w:val="0"/>
      <w:marRight w:val="0"/>
      <w:marTop w:val="0"/>
      <w:marBottom w:val="0"/>
      <w:divBdr>
        <w:top w:val="none" w:sz="0" w:space="0" w:color="auto"/>
        <w:left w:val="none" w:sz="0" w:space="0" w:color="auto"/>
        <w:bottom w:val="none" w:sz="0" w:space="0" w:color="auto"/>
        <w:right w:val="none" w:sz="0" w:space="0" w:color="auto"/>
      </w:divBdr>
    </w:div>
    <w:div w:id="713311572">
      <w:bodyDiv w:val="1"/>
      <w:marLeft w:val="0"/>
      <w:marRight w:val="0"/>
      <w:marTop w:val="0"/>
      <w:marBottom w:val="0"/>
      <w:divBdr>
        <w:top w:val="none" w:sz="0" w:space="0" w:color="auto"/>
        <w:left w:val="none" w:sz="0" w:space="0" w:color="auto"/>
        <w:bottom w:val="none" w:sz="0" w:space="0" w:color="auto"/>
        <w:right w:val="none" w:sz="0" w:space="0" w:color="auto"/>
      </w:divBdr>
    </w:div>
    <w:div w:id="724644044">
      <w:bodyDiv w:val="1"/>
      <w:marLeft w:val="0"/>
      <w:marRight w:val="0"/>
      <w:marTop w:val="0"/>
      <w:marBottom w:val="0"/>
      <w:divBdr>
        <w:top w:val="none" w:sz="0" w:space="0" w:color="auto"/>
        <w:left w:val="none" w:sz="0" w:space="0" w:color="auto"/>
        <w:bottom w:val="none" w:sz="0" w:space="0" w:color="auto"/>
        <w:right w:val="none" w:sz="0" w:space="0" w:color="auto"/>
      </w:divBdr>
    </w:div>
    <w:div w:id="726031721">
      <w:bodyDiv w:val="1"/>
      <w:marLeft w:val="0"/>
      <w:marRight w:val="0"/>
      <w:marTop w:val="0"/>
      <w:marBottom w:val="0"/>
      <w:divBdr>
        <w:top w:val="none" w:sz="0" w:space="0" w:color="auto"/>
        <w:left w:val="none" w:sz="0" w:space="0" w:color="auto"/>
        <w:bottom w:val="none" w:sz="0" w:space="0" w:color="auto"/>
        <w:right w:val="none" w:sz="0" w:space="0" w:color="auto"/>
      </w:divBdr>
    </w:div>
    <w:div w:id="728458503">
      <w:bodyDiv w:val="1"/>
      <w:marLeft w:val="0"/>
      <w:marRight w:val="0"/>
      <w:marTop w:val="0"/>
      <w:marBottom w:val="0"/>
      <w:divBdr>
        <w:top w:val="none" w:sz="0" w:space="0" w:color="auto"/>
        <w:left w:val="none" w:sz="0" w:space="0" w:color="auto"/>
        <w:bottom w:val="none" w:sz="0" w:space="0" w:color="auto"/>
        <w:right w:val="none" w:sz="0" w:space="0" w:color="auto"/>
      </w:divBdr>
    </w:div>
    <w:div w:id="732311427">
      <w:bodyDiv w:val="1"/>
      <w:marLeft w:val="0"/>
      <w:marRight w:val="0"/>
      <w:marTop w:val="0"/>
      <w:marBottom w:val="0"/>
      <w:divBdr>
        <w:top w:val="none" w:sz="0" w:space="0" w:color="auto"/>
        <w:left w:val="none" w:sz="0" w:space="0" w:color="auto"/>
        <w:bottom w:val="none" w:sz="0" w:space="0" w:color="auto"/>
        <w:right w:val="none" w:sz="0" w:space="0" w:color="auto"/>
      </w:divBdr>
    </w:div>
    <w:div w:id="733889419">
      <w:bodyDiv w:val="1"/>
      <w:marLeft w:val="0"/>
      <w:marRight w:val="0"/>
      <w:marTop w:val="0"/>
      <w:marBottom w:val="0"/>
      <w:divBdr>
        <w:top w:val="none" w:sz="0" w:space="0" w:color="auto"/>
        <w:left w:val="none" w:sz="0" w:space="0" w:color="auto"/>
        <w:bottom w:val="none" w:sz="0" w:space="0" w:color="auto"/>
        <w:right w:val="none" w:sz="0" w:space="0" w:color="auto"/>
      </w:divBdr>
    </w:div>
    <w:div w:id="742724235">
      <w:bodyDiv w:val="1"/>
      <w:marLeft w:val="0"/>
      <w:marRight w:val="0"/>
      <w:marTop w:val="0"/>
      <w:marBottom w:val="0"/>
      <w:divBdr>
        <w:top w:val="none" w:sz="0" w:space="0" w:color="auto"/>
        <w:left w:val="none" w:sz="0" w:space="0" w:color="auto"/>
        <w:bottom w:val="none" w:sz="0" w:space="0" w:color="auto"/>
        <w:right w:val="none" w:sz="0" w:space="0" w:color="auto"/>
      </w:divBdr>
    </w:div>
    <w:div w:id="747308892">
      <w:bodyDiv w:val="1"/>
      <w:marLeft w:val="0"/>
      <w:marRight w:val="0"/>
      <w:marTop w:val="0"/>
      <w:marBottom w:val="0"/>
      <w:divBdr>
        <w:top w:val="none" w:sz="0" w:space="0" w:color="auto"/>
        <w:left w:val="none" w:sz="0" w:space="0" w:color="auto"/>
        <w:bottom w:val="none" w:sz="0" w:space="0" w:color="auto"/>
        <w:right w:val="none" w:sz="0" w:space="0" w:color="auto"/>
      </w:divBdr>
    </w:div>
    <w:div w:id="753165496">
      <w:bodyDiv w:val="1"/>
      <w:marLeft w:val="0"/>
      <w:marRight w:val="0"/>
      <w:marTop w:val="0"/>
      <w:marBottom w:val="0"/>
      <w:divBdr>
        <w:top w:val="none" w:sz="0" w:space="0" w:color="auto"/>
        <w:left w:val="none" w:sz="0" w:space="0" w:color="auto"/>
        <w:bottom w:val="none" w:sz="0" w:space="0" w:color="auto"/>
        <w:right w:val="none" w:sz="0" w:space="0" w:color="auto"/>
      </w:divBdr>
    </w:div>
    <w:div w:id="755785456">
      <w:bodyDiv w:val="1"/>
      <w:marLeft w:val="0"/>
      <w:marRight w:val="0"/>
      <w:marTop w:val="0"/>
      <w:marBottom w:val="0"/>
      <w:divBdr>
        <w:top w:val="none" w:sz="0" w:space="0" w:color="auto"/>
        <w:left w:val="none" w:sz="0" w:space="0" w:color="auto"/>
        <w:bottom w:val="none" w:sz="0" w:space="0" w:color="auto"/>
        <w:right w:val="none" w:sz="0" w:space="0" w:color="auto"/>
      </w:divBdr>
    </w:div>
    <w:div w:id="756439428">
      <w:bodyDiv w:val="1"/>
      <w:marLeft w:val="0"/>
      <w:marRight w:val="0"/>
      <w:marTop w:val="0"/>
      <w:marBottom w:val="0"/>
      <w:divBdr>
        <w:top w:val="none" w:sz="0" w:space="0" w:color="auto"/>
        <w:left w:val="none" w:sz="0" w:space="0" w:color="auto"/>
        <w:bottom w:val="none" w:sz="0" w:space="0" w:color="auto"/>
        <w:right w:val="none" w:sz="0" w:space="0" w:color="auto"/>
      </w:divBdr>
    </w:div>
    <w:div w:id="765543318">
      <w:bodyDiv w:val="1"/>
      <w:marLeft w:val="0"/>
      <w:marRight w:val="0"/>
      <w:marTop w:val="0"/>
      <w:marBottom w:val="0"/>
      <w:divBdr>
        <w:top w:val="none" w:sz="0" w:space="0" w:color="auto"/>
        <w:left w:val="none" w:sz="0" w:space="0" w:color="auto"/>
        <w:bottom w:val="none" w:sz="0" w:space="0" w:color="auto"/>
        <w:right w:val="none" w:sz="0" w:space="0" w:color="auto"/>
      </w:divBdr>
    </w:div>
    <w:div w:id="769741971">
      <w:bodyDiv w:val="1"/>
      <w:marLeft w:val="0"/>
      <w:marRight w:val="0"/>
      <w:marTop w:val="0"/>
      <w:marBottom w:val="0"/>
      <w:divBdr>
        <w:top w:val="none" w:sz="0" w:space="0" w:color="auto"/>
        <w:left w:val="none" w:sz="0" w:space="0" w:color="auto"/>
        <w:bottom w:val="none" w:sz="0" w:space="0" w:color="auto"/>
        <w:right w:val="none" w:sz="0" w:space="0" w:color="auto"/>
      </w:divBdr>
    </w:div>
    <w:div w:id="780496975">
      <w:bodyDiv w:val="1"/>
      <w:marLeft w:val="0"/>
      <w:marRight w:val="0"/>
      <w:marTop w:val="0"/>
      <w:marBottom w:val="0"/>
      <w:divBdr>
        <w:top w:val="none" w:sz="0" w:space="0" w:color="auto"/>
        <w:left w:val="none" w:sz="0" w:space="0" w:color="auto"/>
        <w:bottom w:val="none" w:sz="0" w:space="0" w:color="auto"/>
        <w:right w:val="none" w:sz="0" w:space="0" w:color="auto"/>
      </w:divBdr>
    </w:div>
    <w:div w:id="782653065">
      <w:bodyDiv w:val="1"/>
      <w:marLeft w:val="0"/>
      <w:marRight w:val="0"/>
      <w:marTop w:val="0"/>
      <w:marBottom w:val="0"/>
      <w:divBdr>
        <w:top w:val="none" w:sz="0" w:space="0" w:color="auto"/>
        <w:left w:val="none" w:sz="0" w:space="0" w:color="auto"/>
        <w:bottom w:val="none" w:sz="0" w:space="0" w:color="auto"/>
        <w:right w:val="none" w:sz="0" w:space="0" w:color="auto"/>
      </w:divBdr>
    </w:div>
    <w:div w:id="793014083">
      <w:bodyDiv w:val="1"/>
      <w:marLeft w:val="0"/>
      <w:marRight w:val="0"/>
      <w:marTop w:val="0"/>
      <w:marBottom w:val="0"/>
      <w:divBdr>
        <w:top w:val="none" w:sz="0" w:space="0" w:color="auto"/>
        <w:left w:val="none" w:sz="0" w:space="0" w:color="auto"/>
        <w:bottom w:val="none" w:sz="0" w:space="0" w:color="auto"/>
        <w:right w:val="none" w:sz="0" w:space="0" w:color="auto"/>
      </w:divBdr>
    </w:div>
    <w:div w:id="797188229">
      <w:bodyDiv w:val="1"/>
      <w:marLeft w:val="0"/>
      <w:marRight w:val="0"/>
      <w:marTop w:val="0"/>
      <w:marBottom w:val="0"/>
      <w:divBdr>
        <w:top w:val="none" w:sz="0" w:space="0" w:color="auto"/>
        <w:left w:val="none" w:sz="0" w:space="0" w:color="auto"/>
        <w:bottom w:val="none" w:sz="0" w:space="0" w:color="auto"/>
        <w:right w:val="none" w:sz="0" w:space="0" w:color="auto"/>
      </w:divBdr>
    </w:div>
    <w:div w:id="797454900">
      <w:bodyDiv w:val="1"/>
      <w:marLeft w:val="0"/>
      <w:marRight w:val="0"/>
      <w:marTop w:val="0"/>
      <w:marBottom w:val="0"/>
      <w:divBdr>
        <w:top w:val="none" w:sz="0" w:space="0" w:color="auto"/>
        <w:left w:val="none" w:sz="0" w:space="0" w:color="auto"/>
        <w:bottom w:val="none" w:sz="0" w:space="0" w:color="auto"/>
        <w:right w:val="none" w:sz="0" w:space="0" w:color="auto"/>
      </w:divBdr>
    </w:div>
    <w:div w:id="807359044">
      <w:bodyDiv w:val="1"/>
      <w:marLeft w:val="0"/>
      <w:marRight w:val="0"/>
      <w:marTop w:val="0"/>
      <w:marBottom w:val="0"/>
      <w:divBdr>
        <w:top w:val="none" w:sz="0" w:space="0" w:color="auto"/>
        <w:left w:val="none" w:sz="0" w:space="0" w:color="auto"/>
        <w:bottom w:val="none" w:sz="0" w:space="0" w:color="auto"/>
        <w:right w:val="none" w:sz="0" w:space="0" w:color="auto"/>
      </w:divBdr>
    </w:div>
    <w:div w:id="811365114">
      <w:bodyDiv w:val="1"/>
      <w:marLeft w:val="0"/>
      <w:marRight w:val="0"/>
      <w:marTop w:val="0"/>
      <w:marBottom w:val="0"/>
      <w:divBdr>
        <w:top w:val="none" w:sz="0" w:space="0" w:color="auto"/>
        <w:left w:val="none" w:sz="0" w:space="0" w:color="auto"/>
        <w:bottom w:val="none" w:sz="0" w:space="0" w:color="auto"/>
        <w:right w:val="none" w:sz="0" w:space="0" w:color="auto"/>
      </w:divBdr>
    </w:div>
    <w:div w:id="831482117">
      <w:bodyDiv w:val="1"/>
      <w:marLeft w:val="0"/>
      <w:marRight w:val="0"/>
      <w:marTop w:val="0"/>
      <w:marBottom w:val="0"/>
      <w:divBdr>
        <w:top w:val="none" w:sz="0" w:space="0" w:color="auto"/>
        <w:left w:val="none" w:sz="0" w:space="0" w:color="auto"/>
        <w:bottom w:val="none" w:sz="0" w:space="0" w:color="auto"/>
        <w:right w:val="none" w:sz="0" w:space="0" w:color="auto"/>
      </w:divBdr>
    </w:div>
    <w:div w:id="836771575">
      <w:bodyDiv w:val="1"/>
      <w:marLeft w:val="0"/>
      <w:marRight w:val="0"/>
      <w:marTop w:val="0"/>
      <w:marBottom w:val="0"/>
      <w:divBdr>
        <w:top w:val="none" w:sz="0" w:space="0" w:color="auto"/>
        <w:left w:val="none" w:sz="0" w:space="0" w:color="auto"/>
        <w:bottom w:val="none" w:sz="0" w:space="0" w:color="auto"/>
        <w:right w:val="none" w:sz="0" w:space="0" w:color="auto"/>
      </w:divBdr>
    </w:div>
    <w:div w:id="840779545">
      <w:bodyDiv w:val="1"/>
      <w:marLeft w:val="0"/>
      <w:marRight w:val="0"/>
      <w:marTop w:val="0"/>
      <w:marBottom w:val="0"/>
      <w:divBdr>
        <w:top w:val="none" w:sz="0" w:space="0" w:color="auto"/>
        <w:left w:val="none" w:sz="0" w:space="0" w:color="auto"/>
        <w:bottom w:val="none" w:sz="0" w:space="0" w:color="auto"/>
        <w:right w:val="none" w:sz="0" w:space="0" w:color="auto"/>
      </w:divBdr>
    </w:div>
    <w:div w:id="840975696">
      <w:bodyDiv w:val="1"/>
      <w:marLeft w:val="0"/>
      <w:marRight w:val="0"/>
      <w:marTop w:val="0"/>
      <w:marBottom w:val="0"/>
      <w:divBdr>
        <w:top w:val="none" w:sz="0" w:space="0" w:color="auto"/>
        <w:left w:val="none" w:sz="0" w:space="0" w:color="auto"/>
        <w:bottom w:val="none" w:sz="0" w:space="0" w:color="auto"/>
        <w:right w:val="none" w:sz="0" w:space="0" w:color="auto"/>
      </w:divBdr>
    </w:div>
    <w:div w:id="841437711">
      <w:bodyDiv w:val="1"/>
      <w:marLeft w:val="0"/>
      <w:marRight w:val="0"/>
      <w:marTop w:val="0"/>
      <w:marBottom w:val="0"/>
      <w:divBdr>
        <w:top w:val="none" w:sz="0" w:space="0" w:color="auto"/>
        <w:left w:val="none" w:sz="0" w:space="0" w:color="auto"/>
        <w:bottom w:val="none" w:sz="0" w:space="0" w:color="auto"/>
        <w:right w:val="none" w:sz="0" w:space="0" w:color="auto"/>
      </w:divBdr>
    </w:div>
    <w:div w:id="848451709">
      <w:bodyDiv w:val="1"/>
      <w:marLeft w:val="0"/>
      <w:marRight w:val="0"/>
      <w:marTop w:val="0"/>
      <w:marBottom w:val="0"/>
      <w:divBdr>
        <w:top w:val="none" w:sz="0" w:space="0" w:color="auto"/>
        <w:left w:val="none" w:sz="0" w:space="0" w:color="auto"/>
        <w:bottom w:val="none" w:sz="0" w:space="0" w:color="auto"/>
        <w:right w:val="none" w:sz="0" w:space="0" w:color="auto"/>
      </w:divBdr>
    </w:div>
    <w:div w:id="851799153">
      <w:bodyDiv w:val="1"/>
      <w:marLeft w:val="0"/>
      <w:marRight w:val="0"/>
      <w:marTop w:val="0"/>
      <w:marBottom w:val="0"/>
      <w:divBdr>
        <w:top w:val="none" w:sz="0" w:space="0" w:color="auto"/>
        <w:left w:val="none" w:sz="0" w:space="0" w:color="auto"/>
        <w:bottom w:val="none" w:sz="0" w:space="0" w:color="auto"/>
        <w:right w:val="none" w:sz="0" w:space="0" w:color="auto"/>
      </w:divBdr>
    </w:div>
    <w:div w:id="854684202">
      <w:bodyDiv w:val="1"/>
      <w:marLeft w:val="0"/>
      <w:marRight w:val="0"/>
      <w:marTop w:val="0"/>
      <w:marBottom w:val="0"/>
      <w:divBdr>
        <w:top w:val="none" w:sz="0" w:space="0" w:color="auto"/>
        <w:left w:val="none" w:sz="0" w:space="0" w:color="auto"/>
        <w:bottom w:val="none" w:sz="0" w:space="0" w:color="auto"/>
        <w:right w:val="none" w:sz="0" w:space="0" w:color="auto"/>
      </w:divBdr>
    </w:div>
    <w:div w:id="856965536">
      <w:bodyDiv w:val="1"/>
      <w:marLeft w:val="0"/>
      <w:marRight w:val="0"/>
      <w:marTop w:val="0"/>
      <w:marBottom w:val="0"/>
      <w:divBdr>
        <w:top w:val="none" w:sz="0" w:space="0" w:color="auto"/>
        <w:left w:val="none" w:sz="0" w:space="0" w:color="auto"/>
        <w:bottom w:val="none" w:sz="0" w:space="0" w:color="auto"/>
        <w:right w:val="none" w:sz="0" w:space="0" w:color="auto"/>
      </w:divBdr>
    </w:div>
    <w:div w:id="858279891">
      <w:bodyDiv w:val="1"/>
      <w:marLeft w:val="0"/>
      <w:marRight w:val="0"/>
      <w:marTop w:val="0"/>
      <w:marBottom w:val="0"/>
      <w:divBdr>
        <w:top w:val="none" w:sz="0" w:space="0" w:color="auto"/>
        <w:left w:val="none" w:sz="0" w:space="0" w:color="auto"/>
        <w:bottom w:val="none" w:sz="0" w:space="0" w:color="auto"/>
        <w:right w:val="none" w:sz="0" w:space="0" w:color="auto"/>
      </w:divBdr>
    </w:div>
    <w:div w:id="858742094">
      <w:bodyDiv w:val="1"/>
      <w:marLeft w:val="0"/>
      <w:marRight w:val="0"/>
      <w:marTop w:val="0"/>
      <w:marBottom w:val="0"/>
      <w:divBdr>
        <w:top w:val="none" w:sz="0" w:space="0" w:color="auto"/>
        <w:left w:val="none" w:sz="0" w:space="0" w:color="auto"/>
        <w:bottom w:val="none" w:sz="0" w:space="0" w:color="auto"/>
        <w:right w:val="none" w:sz="0" w:space="0" w:color="auto"/>
      </w:divBdr>
    </w:div>
    <w:div w:id="893472172">
      <w:bodyDiv w:val="1"/>
      <w:marLeft w:val="0"/>
      <w:marRight w:val="0"/>
      <w:marTop w:val="0"/>
      <w:marBottom w:val="0"/>
      <w:divBdr>
        <w:top w:val="none" w:sz="0" w:space="0" w:color="auto"/>
        <w:left w:val="none" w:sz="0" w:space="0" w:color="auto"/>
        <w:bottom w:val="none" w:sz="0" w:space="0" w:color="auto"/>
        <w:right w:val="none" w:sz="0" w:space="0" w:color="auto"/>
      </w:divBdr>
    </w:div>
    <w:div w:id="901064663">
      <w:bodyDiv w:val="1"/>
      <w:marLeft w:val="0"/>
      <w:marRight w:val="0"/>
      <w:marTop w:val="0"/>
      <w:marBottom w:val="0"/>
      <w:divBdr>
        <w:top w:val="none" w:sz="0" w:space="0" w:color="auto"/>
        <w:left w:val="none" w:sz="0" w:space="0" w:color="auto"/>
        <w:bottom w:val="none" w:sz="0" w:space="0" w:color="auto"/>
        <w:right w:val="none" w:sz="0" w:space="0" w:color="auto"/>
      </w:divBdr>
    </w:div>
    <w:div w:id="901142220">
      <w:bodyDiv w:val="1"/>
      <w:marLeft w:val="0"/>
      <w:marRight w:val="0"/>
      <w:marTop w:val="0"/>
      <w:marBottom w:val="0"/>
      <w:divBdr>
        <w:top w:val="none" w:sz="0" w:space="0" w:color="auto"/>
        <w:left w:val="none" w:sz="0" w:space="0" w:color="auto"/>
        <w:bottom w:val="none" w:sz="0" w:space="0" w:color="auto"/>
        <w:right w:val="none" w:sz="0" w:space="0" w:color="auto"/>
      </w:divBdr>
    </w:div>
    <w:div w:id="903949294">
      <w:bodyDiv w:val="1"/>
      <w:marLeft w:val="0"/>
      <w:marRight w:val="0"/>
      <w:marTop w:val="0"/>
      <w:marBottom w:val="0"/>
      <w:divBdr>
        <w:top w:val="none" w:sz="0" w:space="0" w:color="auto"/>
        <w:left w:val="none" w:sz="0" w:space="0" w:color="auto"/>
        <w:bottom w:val="none" w:sz="0" w:space="0" w:color="auto"/>
        <w:right w:val="none" w:sz="0" w:space="0" w:color="auto"/>
      </w:divBdr>
    </w:div>
    <w:div w:id="904532744">
      <w:bodyDiv w:val="1"/>
      <w:marLeft w:val="0"/>
      <w:marRight w:val="0"/>
      <w:marTop w:val="0"/>
      <w:marBottom w:val="0"/>
      <w:divBdr>
        <w:top w:val="none" w:sz="0" w:space="0" w:color="auto"/>
        <w:left w:val="none" w:sz="0" w:space="0" w:color="auto"/>
        <w:bottom w:val="none" w:sz="0" w:space="0" w:color="auto"/>
        <w:right w:val="none" w:sz="0" w:space="0" w:color="auto"/>
      </w:divBdr>
    </w:div>
    <w:div w:id="919215738">
      <w:bodyDiv w:val="1"/>
      <w:marLeft w:val="0"/>
      <w:marRight w:val="0"/>
      <w:marTop w:val="0"/>
      <w:marBottom w:val="0"/>
      <w:divBdr>
        <w:top w:val="none" w:sz="0" w:space="0" w:color="auto"/>
        <w:left w:val="none" w:sz="0" w:space="0" w:color="auto"/>
        <w:bottom w:val="none" w:sz="0" w:space="0" w:color="auto"/>
        <w:right w:val="none" w:sz="0" w:space="0" w:color="auto"/>
      </w:divBdr>
    </w:div>
    <w:div w:id="919562505">
      <w:bodyDiv w:val="1"/>
      <w:marLeft w:val="0"/>
      <w:marRight w:val="0"/>
      <w:marTop w:val="0"/>
      <w:marBottom w:val="0"/>
      <w:divBdr>
        <w:top w:val="none" w:sz="0" w:space="0" w:color="auto"/>
        <w:left w:val="none" w:sz="0" w:space="0" w:color="auto"/>
        <w:bottom w:val="none" w:sz="0" w:space="0" w:color="auto"/>
        <w:right w:val="none" w:sz="0" w:space="0" w:color="auto"/>
      </w:divBdr>
    </w:div>
    <w:div w:id="938683913">
      <w:bodyDiv w:val="1"/>
      <w:marLeft w:val="0"/>
      <w:marRight w:val="0"/>
      <w:marTop w:val="0"/>
      <w:marBottom w:val="0"/>
      <w:divBdr>
        <w:top w:val="none" w:sz="0" w:space="0" w:color="auto"/>
        <w:left w:val="none" w:sz="0" w:space="0" w:color="auto"/>
        <w:bottom w:val="none" w:sz="0" w:space="0" w:color="auto"/>
        <w:right w:val="none" w:sz="0" w:space="0" w:color="auto"/>
      </w:divBdr>
    </w:div>
    <w:div w:id="939725581">
      <w:bodyDiv w:val="1"/>
      <w:marLeft w:val="0"/>
      <w:marRight w:val="0"/>
      <w:marTop w:val="0"/>
      <w:marBottom w:val="0"/>
      <w:divBdr>
        <w:top w:val="none" w:sz="0" w:space="0" w:color="auto"/>
        <w:left w:val="none" w:sz="0" w:space="0" w:color="auto"/>
        <w:bottom w:val="none" w:sz="0" w:space="0" w:color="auto"/>
        <w:right w:val="none" w:sz="0" w:space="0" w:color="auto"/>
      </w:divBdr>
    </w:div>
    <w:div w:id="945622067">
      <w:bodyDiv w:val="1"/>
      <w:marLeft w:val="0"/>
      <w:marRight w:val="0"/>
      <w:marTop w:val="0"/>
      <w:marBottom w:val="0"/>
      <w:divBdr>
        <w:top w:val="none" w:sz="0" w:space="0" w:color="auto"/>
        <w:left w:val="none" w:sz="0" w:space="0" w:color="auto"/>
        <w:bottom w:val="none" w:sz="0" w:space="0" w:color="auto"/>
        <w:right w:val="none" w:sz="0" w:space="0" w:color="auto"/>
      </w:divBdr>
    </w:div>
    <w:div w:id="956327143">
      <w:bodyDiv w:val="1"/>
      <w:marLeft w:val="0"/>
      <w:marRight w:val="0"/>
      <w:marTop w:val="0"/>
      <w:marBottom w:val="0"/>
      <w:divBdr>
        <w:top w:val="none" w:sz="0" w:space="0" w:color="auto"/>
        <w:left w:val="none" w:sz="0" w:space="0" w:color="auto"/>
        <w:bottom w:val="none" w:sz="0" w:space="0" w:color="auto"/>
        <w:right w:val="none" w:sz="0" w:space="0" w:color="auto"/>
      </w:divBdr>
    </w:div>
    <w:div w:id="960914099">
      <w:bodyDiv w:val="1"/>
      <w:marLeft w:val="0"/>
      <w:marRight w:val="0"/>
      <w:marTop w:val="0"/>
      <w:marBottom w:val="0"/>
      <w:divBdr>
        <w:top w:val="none" w:sz="0" w:space="0" w:color="auto"/>
        <w:left w:val="none" w:sz="0" w:space="0" w:color="auto"/>
        <w:bottom w:val="none" w:sz="0" w:space="0" w:color="auto"/>
        <w:right w:val="none" w:sz="0" w:space="0" w:color="auto"/>
      </w:divBdr>
    </w:div>
    <w:div w:id="965042435">
      <w:bodyDiv w:val="1"/>
      <w:marLeft w:val="0"/>
      <w:marRight w:val="0"/>
      <w:marTop w:val="0"/>
      <w:marBottom w:val="0"/>
      <w:divBdr>
        <w:top w:val="none" w:sz="0" w:space="0" w:color="auto"/>
        <w:left w:val="none" w:sz="0" w:space="0" w:color="auto"/>
        <w:bottom w:val="none" w:sz="0" w:space="0" w:color="auto"/>
        <w:right w:val="none" w:sz="0" w:space="0" w:color="auto"/>
      </w:divBdr>
    </w:div>
    <w:div w:id="967204072">
      <w:bodyDiv w:val="1"/>
      <w:marLeft w:val="0"/>
      <w:marRight w:val="0"/>
      <w:marTop w:val="0"/>
      <w:marBottom w:val="0"/>
      <w:divBdr>
        <w:top w:val="none" w:sz="0" w:space="0" w:color="auto"/>
        <w:left w:val="none" w:sz="0" w:space="0" w:color="auto"/>
        <w:bottom w:val="none" w:sz="0" w:space="0" w:color="auto"/>
        <w:right w:val="none" w:sz="0" w:space="0" w:color="auto"/>
      </w:divBdr>
    </w:div>
    <w:div w:id="969016837">
      <w:bodyDiv w:val="1"/>
      <w:marLeft w:val="0"/>
      <w:marRight w:val="0"/>
      <w:marTop w:val="0"/>
      <w:marBottom w:val="0"/>
      <w:divBdr>
        <w:top w:val="none" w:sz="0" w:space="0" w:color="auto"/>
        <w:left w:val="none" w:sz="0" w:space="0" w:color="auto"/>
        <w:bottom w:val="none" w:sz="0" w:space="0" w:color="auto"/>
        <w:right w:val="none" w:sz="0" w:space="0" w:color="auto"/>
      </w:divBdr>
    </w:div>
    <w:div w:id="983465045">
      <w:bodyDiv w:val="1"/>
      <w:marLeft w:val="0"/>
      <w:marRight w:val="0"/>
      <w:marTop w:val="0"/>
      <w:marBottom w:val="0"/>
      <w:divBdr>
        <w:top w:val="none" w:sz="0" w:space="0" w:color="auto"/>
        <w:left w:val="none" w:sz="0" w:space="0" w:color="auto"/>
        <w:bottom w:val="none" w:sz="0" w:space="0" w:color="auto"/>
        <w:right w:val="none" w:sz="0" w:space="0" w:color="auto"/>
      </w:divBdr>
    </w:div>
    <w:div w:id="983778993">
      <w:bodyDiv w:val="1"/>
      <w:marLeft w:val="0"/>
      <w:marRight w:val="0"/>
      <w:marTop w:val="0"/>
      <w:marBottom w:val="0"/>
      <w:divBdr>
        <w:top w:val="none" w:sz="0" w:space="0" w:color="auto"/>
        <w:left w:val="none" w:sz="0" w:space="0" w:color="auto"/>
        <w:bottom w:val="none" w:sz="0" w:space="0" w:color="auto"/>
        <w:right w:val="none" w:sz="0" w:space="0" w:color="auto"/>
      </w:divBdr>
    </w:div>
    <w:div w:id="995036085">
      <w:bodyDiv w:val="1"/>
      <w:marLeft w:val="0"/>
      <w:marRight w:val="0"/>
      <w:marTop w:val="0"/>
      <w:marBottom w:val="0"/>
      <w:divBdr>
        <w:top w:val="none" w:sz="0" w:space="0" w:color="auto"/>
        <w:left w:val="none" w:sz="0" w:space="0" w:color="auto"/>
        <w:bottom w:val="none" w:sz="0" w:space="0" w:color="auto"/>
        <w:right w:val="none" w:sz="0" w:space="0" w:color="auto"/>
      </w:divBdr>
    </w:div>
    <w:div w:id="996229661">
      <w:bodyDiv w:val="1"/>
      <w:marLeft w:val="0"/>
      <w:marRight w:val="0"/>
      <w:marTop w:val="0"/>
      <w:marBottom w:val="0"/>
      <w:divBdr>
        <w:top w:val="none" w:sz="0" w:space="0" w:color="auto"/>
        <w:left w:val="none" w:sz="0" w:space="0" w:color="auto"/>
        <w:bottom w:val="none" w:sz="0" w:space="0" w:color="auto"/>
        <w:right w:val="none" w:sz="0" w:space="0" w:color="auto"/>
      </w:divBdr>
    </w:div>
    <w:div w:id="1007097956">
      <w:bodyDiv w:val="1"/>
      <w:marLeft w:val="0"/>
      <w:marRight w:val="0"/>
      <w:marTop w:val="0"/>
      <w:marBottom w:val="0"/>
      <w:divBdr>
        <w:top w:val="none" w:sz="0" w:space="0" w:color="auto"/>
        <w:left w:val="none" w:sz="0" w:space="0" w:color="auto"/>
        <w:bottom w:val="none" w:sz="0" w:space="0" w:color="auto"/>
        <w:right w:val="none" w:sz="0" w:space="0" w:color="auto"/>
      </w:divBdr>
    </w:div>
    <w:div w:id="1012728388">
      <w:bodyDiv w:val="1"/>
      <w:marLeft w:val="0"/>
      <w:marRight w:val="0"/>
      <w:marTop w:val="0"/>
      <w:marBottom w:val="0"/>
      <w:divBdr>
        <w:top w:val="none" w:sz="0" w:space="0" w:color="auto"/>
        <w:left w:val="none" w:sz="0" w:space="0" w:color="auto"/>
        <w:bottom w:val="none" w:sz="0" w:space="0" w:color="auto"/>
        <w:right w:val="none" w:sz="0" w:space="0" w:color="auto"/>
      </w:divBdr>
    </w:div>
    <w:div w:id="1013187520">
      <w:bodyDiv w:val="1"/>
      <w:marLeft w:val="0"/>
      <w:marRight w:val="0"/>
      <w:marTop w:val="0"/>
      <w:marBottom w:val="0"/>
      <w:divBdr>
        <w:top w:val="none" w:sz="0" w:space="0" w:color="auto"/>
        <w:left w:val="none" w:sz="0" w:space="0" w:color="auto"/>
        <w:bottom w:val="none" w:sz="0" w:space="0" w:color="auto"/>
        <w:right w:val="none" w:sz="0" w:space="0" w:color="auto"/>
      </w:divBdr>
    </w:div>
    <w:div w:id="1019703457">
      <w:bodyDiv w:val="1"/>
      <w:marLeft w:val="0"/>
      <w:marRight w:val="0"/>
      <w:marTop w:val="0"/>
      <w:marBottom w:val="0"/>
      <w:divBdr>
        <w:top w:val="none" w:sz="0" w:space="0" w:color="auto"/>
        <w:left w:val="none" w:sz="0" w:space="0" w:color="auto"/>
        <w:bottom w:val="none" w:sz="0" w:space="0" w:color="auto"/>
        <w:right w:val="none" w:sz="0" w:space="0" w:color="auto"/>
      </w:divBdr>
    </w:div>
    <w:div w:id="1021738780">
      <w:bodyDiv w:val="1"/>
      <w:marLeft w:val="0"/>
      <w:marRight w:val="0"/>
      <w:marTop w:val="0"/>
      <w:marBottom w:val="0"/>
      <w:divBdr>
        <w:top w:val="none" w:sz="0" w:space="0" w:color="auto"/>
        <w:left w:val="none" w:sz="0" w:space="0" w:color="auto"/>
        <w:bottom w:val="none" w:sz="0" w:space="0" w:color="auto"/>
        <w:right w:val="none" w:sz="0" w:space="0" w:color="auto"/>
      </w:divBdr>
    </w:div>
    <w:div w:id="1034692966">
      <w:bodyDiv w:val="1"/>
      <w:marLeft w:val="0"/>
      <w:marRight w:val="0"/>
      <w:marTop w:val="0"/>
      <w:marBottom w:val="0"/>
      <w:divBdr>
        <w:top w:val="none" w:sz="0" w:space="0" w:color="auto"/>
        <w:left w:val="none" w:sz="0" w:space="0" w:color="auto"/>
        <w:bottom w:val="none" w:sz="0" w:space="0" w:color="auto"/>
        <w:right w:val="none" w:sz="0" w:space="0" w:color="auto"/>
      </w:divBdr>
    </w:div>
    <w:div w:id="1036348942">
      <w:bodyDiv w:val="1"/>
      <w:marLeft w:val="0"/>
      <w:marRight w:val="0"/>
      <w:marTop w:val="0"/>
      <w:marBottom w:val="0"/>
      <w:divBdr>
        <w:top w:val="none" w:sz="0" w:space="0" w:color="auto"/>
        <w:left w:val="none" w:sz="0" w:space="0" w:color="auto"/>
        <w:bottom w:val="none" w:sz="0" w:space="0" w:color="auto"/>
        <w:right w:val="none" w:sz="0" w:space="0" w:color="auto"/>
      </w:divBdr>
    </w:div>
    <w:div w:id="1039546249">
      <w:bodyDiv w:val="1"/>
      <w:marLeft w:val="0"/>
      <w:marRight w:val="0"/>
      <w:marTop w:val="0"/>
      <w:marBottom w:val="0"/>
      <w:divBdr>
        <w:top w:val="none" w:sz="0" w:space="0" w:color="auto"/>
        <w:left w:val="none" w:sz="0" w:space="0" w:color="auto"/>
        <w:bottom w:val="none" w:sz="0" w:space="0" w:color="auto"/>
        <w:right w:val="none" w:sz="0" w:space="0" w:color="auto"/>
      </w:divBdr>
    </w:div>
    <w:div w:id="1044213493">
      <w:bodyDiv w:val="1"/>
      <w:marLeft w:val="0"/>
      <w:marRight w:val="0"/>
      <w:marTop w:val="0"/>
      <w:marBottom w:val="0"/>
      <w:divBdr>
        <w:top w:val="none" w:sz="0" w:space="0" w:color="auto"/>
        <w:left w:val="none" w:sz="0" w:space="0" w:color="auto"/>
        <w:bottom w:val="none" w:sz="0" w:space="0" w:color="auto"/>
        <w:right w:val="none" w:sz="0" w:space="0" w:color="auto"/>
      </w:divBdr>
    </w:div>
    <w:div w:id="1056584202">
      <w:bodyDiv w:val="1"/>
      <w:marLeft w:val="0"/>
      <w:marRight w:val="0"/>
      <w:marTop w:val="0"/>
      <w:marBottom w:val="0"/>
      <w:divBdr>
        <w:top w:val="none" w:sz="0" w:space="0" w:color="auto"/>
        <w:left w:val="none" w:sz="0" w:space="0" w:color="auto"/>
        <w:bottom w:val="none" w:sz="0" w:space="0" w:color="auto"/>
        <w:right w:val="none" w:sz="0" w:space="0" w:color="auto"/>
      </w:divBdr>
    </w:div>
    <w:div w:id="1056971580">
      <w:bodyDiv w:val="1"/>
      <w:marLeft w:val="0"/>
      <w:marRight w:val="0"/>
      <w:marTop w:val="0"/>
      <w:marBottom w:val="0"/>
      <w:divBdr>
        <w:top w:val="none" w:sz="0" w:space="0" w:color="auto"/>
        <w:left w:val="none" w:sz="0" w:space="0" w:color="auto"/>
        <w:bottom w:val="none" w:sz="0" w:space="0" w:color="auto"/>
        <w:right w:val="none" w:sz="0" w:space="0" w:color="auto"/>
      </w:divBdr>
    </w:div>
    <w:div w:id="1061169856">
      <w:bodyDiv w:val="1"/>
      <w:marLeft w:val="0"/>
      <w:marRight w:val="0"/>
      <w:marTop w:val="0"/>
      <w:marBottom w:val="0"/>
      <w:divBdr>
        <w:top w:val="none" w:sz="0" w:space="0" w:color="auto"/>
        <w:left w:val="none" w:sz="0" w:space="0" w:color="auto"/>
        <w:bottom w:val="none" w:sz="0" w:space="0" w:color="auto"/>
        <w:right w:val="none" w:sz="0" w:space="0" w:color="auto"/>
      </w:divBdr>
    </w:div>
    <w:div w:id="1063406817">
      <w:bodyDiv w:val="1"/>
      <w:marLeft w:val="0"/>
      <w:marRight w:val="0"/>
      <w:marTop w:val="0"/>
      <w:marBottom w:val="0"/>
      <w:divBdr>
        <w:top w:val="none" w:sz="0" w:space="0" w:color="auto"/>
        <w:left w:val="none" w:sz="0" w:space="0" w:color="auto"/>
        <w:bottom w:val="none" w:sz="0" w:space="0" w:color="auto"/>
        <w:right w:val="none" w:sz="0" w:space="0" w:color="auto"/>
      </w:divBdr>
    </w:div>
    <w:div w:id="1064569202">
      <w:bodyDiv w:val="1"/>
      <w:marLeft w:val="0"/>
      <w:marRight w:val="0"/>
      <w:marTop w:val="0"/>
      <w:marBottom w:val="0"/>
      <w:divBdr>
        <w:top w:val="none" w:sz="0" w:space="0" w:color="auto"/>
        <w:left w:val="none" w:sz="0" w:space="0" w:color="auto"/>
        <w:bottom w:val="none" w:sz="0" w:space="0" w:color="auto"/>
        <w:right w:val="none" w:sz="0" w:space="0" w:color="auto"/>
      </w:divBdr>
    </w:div>
    <w:div w:id="1068647554">
      <w:bodyDiv w:val="1"/>
      <w:marLeft w:val="0"/>
      <w:marRight w:val="0"/>
      <w:marTop w:val="0"/>
      <w:marBottom w:val="0"/>
      <w:divBdr>
        <w:top w:val="none" w:sz="0" w:space="0" w:color="auto"/>
        <w:left w:val="none" w:sz="0" w:space="0" w:color="auto"/>
        <w:bottom w:val="none" w:sz="0" w:space="0" w:color="auto"/>
        <w:right w:val="none" w:sz="0" w:space="0" w:color="auto"/>
      </w:divBdr>
    </w:div>
    <w:div w:id="1070885076">
      <w:bodyDiv w:val="1"/>
      <w:marLeft w:val="0"/>
      <w:marRight w:val="0"/>
      <w:marTop w:val="0"/>
      <w:marBottom w:val="0"/>
      <w:divBdr>
        <w:top w:val="none" w:sz="0" w:space="0" w:color="auto"/>
        <w:left w:val="none" w:sz="0" w:space="0" w:color="auto"/>
        <w:bottom w:val="none" w:sz="0" w:space="0" w:color="auto"/>
        <w:right w:val="none" w:sz="0" w:space="0" w:color="auto"/>
      </w:divBdr>
    </w:div>
    <w:div w:id="1077559787">
      <w:bodyDiv w:val="1"/>
      <w:marLeft w:val="0"/>
      <w:marRight w:val="0"/>
      <w:marTop w:val="0"/>
      <w:marBottom w:val="0"/>
      <w:divBdr>
        <w:top w:val="none" w:sz="0" w:space="0" w:color="auto"/>
        <w:left w:val="none" w:sz="0" w:space="0" w:color="auto"/>
        <w:bottom w:val="none" w:sz="0" w:space="0" w:color="auto"/>
        <w:right w:val="none" w:sz="0" w:space="0" w:color="auto"/>
      </w:divBdr>
    </w:div>
    <w:div w:id="1083601480">
      <w:bodyDiv w:val="1"/>
      <w:marLeft w:val="0"/>
      <w:marRight w:val="0"/>
      <w:marTop w:val="0"/>
      <w:marBottom w:val="0"/>
      <w:divBdr>
        <w:top w:val="none" w:sz="0" w:space="0" w:color="auto"/>
        <w:left w:val="none" w:sz="0" w:space="0" w:color="auto"/>
        <w:bottom w:val="none" w:sz="0" w:space="0" w:color="auto"/>
        <w:right w:val="none" w:sz="0" w:space="0" w:color="auto"/>
      </w:divBdr>
    </w:div>
    <w:div w:id="1106341322">
      <w:bodyDiv w:val="1"/>
      <w:marLeft w:val="0"/>
      <w:marRight w:val="0"/>
      <w:marTop w:val="0"/>
      <w:marBottom w:val="0"/>
      <w:divBdr>
        <w:top w:val="none" w:sz="0" w:space="0" w:color="auto"/>
        <w:left w:val="none" w:sz="0" w:space="0" w:color="auto"/>
        <w:bottom w:val="none" w:sz="0" w:space="0" w:color="auto"/>
        <w:right w:val="none" w:sz="0" w:space="0" w:color="auto"/>
      </w:divBdr>
    </w:div>
    <w:div w:id="1108046947">
      <w:bodyDiv w:val="1"/>
      <w:marLeft w:val="0"/>
      <w:marRight w:val="0"/>
      <w:marTop w:val="0"/>
      <w:marBottom w:val="0"/>
      <w:divBdr>
        <w:top w:val="none" w:sz="0" w:space="0" w:color="auto"/>
        <w:left w:val="none" w:sz="0" w:space="0" w:color="auto"/>
        <w:bottom w:val="none" w:sz="0" w:space="0" w:color="auto"/>
        <w:right w:val="none" w:sz="0" w:space="0" w:color="auto"/>
      </w:divBdr>
    </w:div>
    <w:div w:id="1118183527">
      <w:bodyDiv w:val="1"/>
      <w:marLeft w:val="0"/>
      <w:marRight w:val="0"/>
      <w:marTop w:val="0"/>
      <w:marBottom w:val="0"/>
      <w:divBdr>
        <w:top w:val="none" w:sz="0" w:space="0" w:color="auto"/>
        <w:left w:val="none" w:sz="0" w:space="0" w:color="auto"/>
        <w:bottom w:val="none" w:sz="0" w:space="0" w:color="auto"/>
        <w:right w:val="none" w:sz="0" w:space="0" w:color="auto"/>
      </w:divBdr>
    </w:div>
    <w:div w:id="1125732835">
      <w:bodyDiv w:val="1"/>
      <w:marLeft w:val="0"/>
      <w:marRight w:val="0"/>
      <w:marTop w:val="0"/>
      <w:marBottom w:val="0"/>
      <w:divBdr>
        <w:top w:val="none" w:sz="0" w:space="0" w:color="auto"/>
        <w:left w:val="none" w:sz="0" w:space="0" w:color="auto"/>
        <w:bottom w:val="none" w:sz="0" w:space="0" w:color="auto"/>
        <w:right w:val="none" w:sz="0" w:space="0" w:color="auto"/>
      </w:divBdr>
    </w:div>
    <w:div w:id="1127092296">
      <w:bodyDiv w:val="1"/>
      <w:marLeft w:val="0"/>
      <w:marRight w:val="0"/>
      <w:marTop w:val="0"/>
      <w:marBottom w:val="0"/>
      <w:divBdr>
        <w:top w:val="none" w:sz="0" w:space="0" w:color="auto"/>
        <w:left w:val="none" w:sz="0" w:space="0" w:color="auto"/>
        <w:bottom w:val="none" w:sz="0" w:space="0" w:color="auto"/>
        <w:right w:val="none" w:sz="0" w:space="0" w:color="auto"/>
      </w:divBdr>
    </w:div>
    <w:div w:id="1131749183">
      <w:bodyDiv w:val="1"/>
      <w:marLeft w:val="0"/>
      <w:marRight w:val="0"/>
      <w:marTop w:val="0"/>
      <w:marBottom w:val="0"/>
      <w:divBdr>
        <w:top w:val="none" w:sz="0" w:space="0" w:color="auto"/>
        <w:left w:val="none" w:sz="0" w:space="0" w:color="auto"/>
        <w:bottom w:val="none" w:sz="0" w:space="0" w:color="auto"/>
        <w:right w:val="none" w:sz="0" w:space="0" w:color="auto"/>
      </w:divBdr>
    </w:div>
    <w:div w:id="1133258599">
      <w:bodyDiv w:val="1"/>
      <w:marLeft w:val="0"/>
      <w:marRight w:val="0"/>
      <w:marTop w:val="0"/>
      <w:marBottom w:val="0"/>
      <w:divBdr>
        <w:top w:val="none" w:sz="0" w:space="0" w:color="auto"/>
        <w:left w:val="none" w:sz="0" w:space="0" w:color="auto"/>
        <w:bottom w:val="none" w:sz="0" w:space="0" w:color="auto"/>
        <w:right w:val="none" w:sz="0" w:space="0" w:color="auto"/>
      </w:divBdr>
    </w:div>
    <w:div w:id="1135563995">
      <w:bodyDiv w:val="1"/>
      <w:marLeft w:val="0"/>
      <w:marRight w:val="0"/>
      <w:marTop w:val="0"/>
      <w:marBottom w:val="0"/>
      <w:divBdr>
        <w:top w:val="none" w:sz="0" w:space="0" w:color="auto"/>
        <w:left w:val="none" w:sz="0" w:space="0" w:color="auto"/>
        <w:bottom w:val="none" w:sz="0" w:space="0" w:color="auto"/>
        <w:right w:val="none" w:sz="0" w:space="0" w:color="auto"/>
      </w:divBdr>
    </w:div>
    <w:div w:id="1141769772">
      <w:bodyDiv w:val="1"/>
      <w:marLeft w:val="0"/>
      <w:marRight w:val="0"/>
      <w:marTop w:val="0"/>
      <w:marBottom w:val="0"/>
      <w:divBdr>
        <w:top w:val="none" w:sz="0" w:space="0" w:color="auto"/>
        <w:left w:val="none" w:sz="0" w:space="0" w:color="auto"/>
        <w:bottom w:val="none" w:sz="0" w:space="0" w:color="auto"/>
        <w:right w:val="none" w:sz="0" w:space="0" w:color="auto"/>
      </w:divBdr>
    </w:div>
    <w:div w:id="1155680552">
      <w:bodyDiv w:val="1"/>
      <w:marLeft w:val="0"/>
      <w:marRight w:val="0"/>
      <w:marTop w:val="0"/>
      <w:marBottom w:val="0"/>
      <w:divBdr>
        <w:top w:val="none" w:sz="0" w:space="0" w:color="auto"/>
        <w:left w:val="none" w:sz="0" w:space="0" w:color="auto"/>
        <w:bottom w:val="none" w:sz="0" w:space="0" w:color="auto"/>
        <w:right w:val="none" w:sz="0" w:space="0" w:color="auto"/>
      </w:divBdr>
    </w:div>
    <w:div w:id="1157501110">
      <w:bodyDiv w:val="1"/>
      <w:marLeft w:val="0"/>
      <w:marRight w:val="0"/>
      <w:marTop w:val="0"/>
      <w:marBottom w:val="0"/>
      <w:divBdr>
        <w:top w:val="none" w:sz="0" w:space="0" w:color="auto"/>
        <w:left w:val="none" w:sz="0" w:space="0" w:color="auto"/>
        <w:bottom w:val="none" w:sz="0" w:space="0" w:color="auto"/>
        <w:right w:val="none" w:sz="0" w:space="0" w:color="auto"/>
      </w:divBdr>
    </w:div>
    <w:div w:id="1158502233">
      <w:bodyDiv w:val="1"/>
      <w:marLeft w:val="0"/>
      <w:marRight w:val="0"/>
      <w:marTop w:val="0"/>
      <w:marBottom w:val="0"/>
      <w:divBdr>
        <w:top w:val="none" w:sz="0" w:space="0" w:color="auto"/>
        <w:left w:val="none" w:sz="0" w:space="0" w:color="auto"/>
        <w:bottom w:val="none" w:sz="0" w:space="0" w:color="auto"/>
        <w:right w:val="none" w:sz="0" w:space="0" w:color="auto"/>
      </w:divBdr>
    </w:div>
    <w:div w:id="1162769465">
      <w:bodyDiv w:val="1"/>
      <w:marLeft w:val="0"/>
      <w:marRight w:val="0"/>
      <w:marTop w:val="0"/>
      <w:marBottom w:val="0"/>
      <w:divBdr>
        <w:top w:val="none" w:sz="0" w:space="0" w:color="auto"/>
        <w:left w:val="none" w:sz="0" w:space="0" w:color="auto"/>
        <w:bottom w:val="none" w:sz="0" w:space="0" w:color="auto"/>
        <w:right w:val="none" w:sz="0" w:space="0" w:color="auto"/>
      </w:divBdr>
    </w:div>
    <w:div w:id="1169517906">
      <w:bodyDiv w:val="1"/>
      <w:marLeft w:val="0"/>
      <w:marRight w:val="0"/>
      <w:marTop w:val="0"/>
      <w:marBottom w:val="0"/>
      <w:divBdr>
        <w:top w:val="none" w:sz="0" w:space="0" w:color="auto"/>
        <w:left w:val="none" w:sz="0" w:space="0" w:color="auto"/>
        <w:bottom w:val="none" w:sz="0" w:space="0" w:color="auto"/>
        <w:right w:val="none" w:sz="0" w:space="0" w:color="auto"/>
      </w:divBdr>
    </w:div>
    <w:div w:id="1190484431">
      <w:bodyDiv w:val="1"/>
      <w:marLeft w:val="0"/>
      <w:marRight w:val="0"/>
      <w:marTop w:val="0"/>
      <w:marBottom w:val="0"/>
      <w:divBdr>
        <w:top w:val="none" w:sz="0" w:space="0" w:color="auto"/>
        <w:left w:val="none" w:sz="0" w:space="0" w:color="auto"/>
        <w:bottom w:val="none" w:sz="0" w:space="0" w:color="auto"/>
        <w:right w:val="none" w:sz="0" w:space="0" w:color="auto"/>
      </w:divBdr>
    </w:div>
    <w:div w:id="1199126274">
      <w:bodyDiv w:val="1"/>
      <w:marLeft w:val="0"/>
      <w:marRight w:val="0"/>
      <w:marTop w:val="0"/>
      <w:marBottom w:val="0"/>
      <w:divBdr>
        <w:top w:val="none" w:sz="0" w:space="0" w:color="auto"/>
        <w:left w:val="none" w:sz="0" w:space="0" w:color="auto"/>
        <w:bottom w:val="none" w:sz="0" w:space="0" w:color="auto"/>
        <w:right w:val="none" w:sz="0" w:space="0" w:color="auto"/>
      </w:divBdr>
    </w:div>
    <w:div w:id="1204175678">
      <w:bodyDiv w:val="1"/>
      <w:marLeft w:val="0"/>
      <w:marRight w:val="0"/>
      <w:marTop w:val="0"/>
      <w:marBottom w:val="0"/>
      <w:divBdr>
        <w:top w:val="none" w:sz="0" w:space="0" w:color="auto"/>
        <w:left w:val="none" w:sz="0" w:space="0" w:color="auto"/>
        <w:bottom w:val="none" w:sz="0" w:space="0" w:color="auto"/>
        <w:right w:val="none" w:sz="0" w:space="0" w:color="auto"/>
      </w:divBdr>
    </w:div>
    <w:div w:id="1206530171">
      <w:bodyDiv w:val="1"/>
      <w:marLeft w:val="0"/>
      <w:marRight w:val="0"/>
      <w:marTop w:val="0"/>
      <w:marBottom w:val="0"/>
      <w:divBdr>
        <w:top w:val="none" w:sz="0" w:space="0" w:color="auto"/>
        <w:left w:val="none" w:sz="0" w:space="0" w:color="auto"/>
        <w:bottom w:val="none" w:sz="0" w:space="0" w:color="auto"/>
        <w:right w:val="none" w:sz="0" w:space="0" w:color="auto"/>
      </w:divBdr>
    </w:div>
    <w:div w:id="1207529076">
      <w:bodyDiv w:val="1"/>
      <w:marLeft w:val="0"/>
      <w:marRight w:val="0"/>
      <w:marTop w:val="0"/>
      <w:marBottom w:val="0"/>
      <w:divBdr>
        <w:top w:val="none" w:sz="0" w:space="0" w:color="auto"/>
        <w:left w:val="none" w:sz="0" w:space="0" w:color="auto"/>
        <w:bottom w:val="none" w:sz="0" w:space="0" w:color="auto"/>
        <w:right w:val="none" w:sz="0" w:space="0" w:color="auto"/>
      </w:divBdr>
    </w:div>
    <w:div w:id="1207764216">
      <w:bodyDiv w:val="1"/>
      <w:marLeft w:val="0"/>
      <w:marRight w:val="0"/>
      <w:marTop w:val="0"/>
      <w:marBottom w:val="0"/>
      <w:divBdr>
        <w:top w:val="none" w:sz="0" w:space="0" w:color="auto"/>
        <w:left w:val="none" w:sz="0" w:space="0" w:color="auto"/>
        <w:bottom w:val="none" w:sz="0" w:space="0" w:color="auto"/>
        <w:right w:val="none" w:sz="0" w:space="0" w:color="auto"/>
      </w:divBdr>
    </w:div>
    <w:div w:id="1213923831">
      <w:bodyDiv w:val="1"/>
      <w:marLeft w:val="0"/>
      <w:marRight w:val="0"/>
      <w:marTop w:val="0"/>
      <w:marBottom w:val="0"/>
      <w:divBdr>
        <w:top w:val="none" w:sz="0" w:space="0" w:color="auto"/>
        <w:left w:val="none" w:sz="0" w:space="0" w:color="auto"/>
        <w:bottom w:val="none" w:sz="0" w:space="0" w:color="auto"/>
        <w:right w:val="none" w:sz="0" w:space="0" w:color="auto"/>
      </w:divBdr>
    </w:div>
    <w:div w:id="1216966268">
      <w:bodyDiv w:val="1"/>
      <w:marLeft w:val="0"/>
      <w:marRight w:val="0"/>
      <w:marTop w:val="0"/>
      <w:marBottom w:val="0"/>
      <w:divBdr>
        <w:top w:val="none" w:sz="0" w:space="0" w:color="auto"/>
        <w:left w:val="none" w:sz="0" w:space="0" w:color="auto"/>
        <w:bottom w:val="none" w:sz="0" w:space="0" w:color="auto"/>
        <w:right w:val="none" w:sz="0" w:space="0" w:color="auto"/>
      </w:divBdr>
    </w:div>
    <w:div w:id="1224292861">
      <w:bodyDiv w:val="1"/>
      <w:marLeft w:val="0"/>
      <w:marRight w:val="0"/>
      <w:marTop w:val="0"/>
      <w:marBottom w:val="0"/>
      <w:divBdr>
        <w:top w:val="none" w:sz="0" w:space="0" w:color="auto"/>
        <w:left w:val="none" w:sz="0" w:space="0" w:color="auto"/>
        <w:bottom w:val="none" w:sz="0" w:space="0" w:color="auto"/>
        <w:right w:val="none" w:sz="0" w:space="0" w:color="auto"/>
      </w:divBdr>
    </w:div>
    <w:div w:id="1227646249">
      <w:bodyDiv w:val="1"/>
      <w:marLeft w:val="0"/>
      <w:marRight w:val="0"/>
      <w:marTop w:val="0"/>
      <w:marBottom w:val="0"/>
      <w:divBdr>
        <w:top w:val="none" w:sz="0" w:space="0" w:color="auto"/>
        <w:left w:val="none" w:sz="0" w:space="0" w:color="auto"/>
        <w:bottom w:val="none" w:sz="0" w:space="0" w:color="auto"/>
        <w:right w:val="none" w:sz="0" w:space="0" w:color="auto"/>
      </w:divBdr>
    </w:div>
    <w:div w:id="1229657146">
      <w:bodyDiv w:val="1"/>
      <w:marLeft w:val="0"/>
      <w:marRight w:val="0"/>
      <w:marTop w:val="0"/>
      <w:marBottom w:val="0"/>
      <w:divBdr>
        <w:top w:val="none" w:sz="0" w:space="0" w:color="auto"/>
        <w:left w:val="none" w:sz="0" w:space="0" w:color="auto"/>
        <w:bottom w:val="none" w:sz="0" w:space="0" w:color="auto"/>
        <w:right w:val="none" w:sz="0" w:space="0" w:color="auto"/>
      </w:divBdr>
    </w:div>
    <w:div w:id="1242640032">
      <w:bodyDiv w:val="1"/>
      <w:marLeft w:val="0"/>
      <w:marRight w:val="0"/>
      <w:marTop w:val="0"/>
      <w:marBottom w:val="0"/>
      <w:divBdr>
        <w:top w:val="none" w:sz="0" w:space="0" w:color="auto"/>
        <w:left w:val="none" w:sz="0" w:space="0" w:color="auto"/>
        <w:bottom w:val="none" w:sz="0" w:space="0" w:color="auto"/>
        <w:right w:val="none" w:sz="0" w:space="0" w:color="auto"/>
      </w:divBdr>
    </w:div>
    <w:div w:id="1262954422">
      <w:bodyDiv w:val="1"/>
      <w:marLeft w:val="0"/>
      <w:marRight w:val="0"/>
      <w:marTop w:val="0"/>
      <w:marBottom w:val="0"/>
      <w:divBdr>
        <w:top w:val="none" w:sz="0" w:space="0" w:color="auto"/>
        <w:left w:val="none" w:sz="0" w:space="0" w:color="auto"/>
        <w:bottom w:val="none" w:sz="0" w:space="0" w:color="auto"/>
        <w:right w:val="none" w:sz="0" w:space="0" w:color="auto"/>
      </w:divBdr>
    </w:div>
    <w:div w:id="1276988565">
      <w:bodyDiv w:val="1"/>
      <w:marLeft w:val="0"/>
      <w:marRight w:val="0"/>
      <w:marTop w:val="0"/>
      <w:marBottom w:val="0"/>
      <w:divBdr>
        <w:top w:val="none" w:sz="0" w:space="0" w:color="auto"/>
        <w:left w:val="none" w:sz="0" w:space="0" w:color="auto"/>
        <w:bottom w:val="none" w:sz="0" w:space="0" w:color="auto"/>
        <w:right w:val="none" w:sz="0" w:space="0" w:color="auto"/>
      </w:divBdr>
    </w:div>
    <w:div w:id="1279949784">
      <w:bodyDiv w:val="1"/>
      <w:marLeft w:val="0"/>
      <w:marRight w:val="0"/>
      <w:marTop w:val="0"/>
      <w:marBottom w:val="0"/>
      <w:divBdr>
        <w:top w:val="none" w:sz="0" w:space="0" w:color="auto"/>
        <w:left w:val="none" w:sz="0" w:space="0" w:color="auto"/>
        <w:bottom w:val="none" w:sz="0" w:space="0" w:color="auto"/>
        <w:right w:val="none" w:sz="0" w:space="0" w:color="auto"/>
      </w:divBdr>
    </w:div>
    <w:div w:id="1288509764">
      <w:bodyDiv w:val="1"/>
      <w:marLeft w:val="0"/>
      <w:marRight w:val="0"/>
      <w:marTop w:val="0"/>
      <w:marBottom w:val="0"/>
      <w:divBdr>
        <w:top w:val="none" w:sz="0" w:space="0" w:color="auto"/>
        <w:left w:val="none" w:sz="0" w:space="0" w:color="auto"/>
        <w:bottom w:val="none" w:sz="0" w:space="0" w:color="auto"/>
        <w:right w:val="none" w:sz="0" w:space="0" w:color="auto"/>
      </w:divBdr>
    </w:div>
    <w:div w:id="1290236019">
      <w:bodyDiv w:val="1"/>
      <w:marLeft w:val="0"/>
      <w:marRight w:val="0"/>
      <w:marTop w:val="0"/>
      <w:marBottom w:val="0"/>
      <w:divBdr>
        <w:top w:val="none" w:sz="0" w:space="0" w:color="auto"/>
        <w:left w:val="none" w:sz="0" w:space="0" w:color="auto"/>
        <w:bottom w:val="none" w:sz="0" w:space="0" w:color="auto"/>
        <w:right w:val="none" w:sz="0" w:space="0" w:color="auto"/>
      </w:divBdr>
    </w:div>
    <w:div w:id="1302925900">
      <w:bodyDiv w:val="1"/>
      <w:marLeft w:val="0"/>
      <w:marRight w:val="0"/>
      <w:marTop w:val="0"/>
      <w:marBottom w:val="0"/>
      <w:divBdr>
        <w:top w:val="none" w:sz="0" w:space="0" w:color="auto"/>
        <w:left w:val="none" w:sz="0" w:space="0" w:color="auto"/>
        <w:bottom w:val="none" w:sz="0" w:space="0" w:color="auto"/>
        <w:right w:val="none" w:sz="0" w:space="0" w:color="auto"/>
      </w:divBdr>
    </w:div>
    <w:div w:id="1304313186">
      <w:bodyDiv w:val="1"/>
      <w:marLeft w:val="0"/>
      <w:marRight w:val="0"/>
      <w:marTop w:val="0"/>
      <w:marBottom w:val="0"/>
      <w:divBdr>
        <w:top w:val="none" w:sz="0" w:space="0" w:color="auto"/>
        <w:left w:val="none" w:sz="0" w:space="0" w:color="auto"/>
        <w:bottom w:val="none" w:sz="0" w:space="0" w:color="auto"/>
        <w:right w:val="none" w:sz="0" w:space="0" w:color="auto"/>
      </w:divBdr>
    </w:div>
    <w:div w:id="1320691772">
      <w:bodyDiv w:val="1"/>
      <w:marLeft w:val="0"/>
      <w:marRight w:val="0"/>
      <w:marTop w:val="0"/>
      <w:marBottom w:val="0"/>
      <w:divBdr>
        <w:top w:val="none" w:sz="0" w:space="0" w:color="auto"/>
        <w:left w:val="none" w:sz="0" w:space="0" w:color="auto"/>
        <w:bottom w:val="none" w:sz="0" w:space="0" w:color="auto"/>
        <w:right w:val="none" w:sz="0" w:space="0" w:color="auto"/>
      </w:divBdr>
    </w:div>
    <w:div w:id="1323852234">
      <w:bodyDiv w:val="1"/>
      <w:marLeft w:val="0"/>
      <w:marRight w:val="0"/>
      <w:marTop w:val="0"/>
      <w:marBottom w:val="0"/>
      <w:divBdr>
        <w:top w:val="none" w:sz="0" w:space="0" w:color="auto"/>
        <w:left w:val="none" w:sz="0" w:space="0" w:color="auto"/>
        <w:bottom w:val="none" w:sz="0" w:space="0" w:color="auto"/>
        <w:right w:val="none" w:sz="0" w:space="0" w:color="auto"/>
      </w:divBdr>
    </w:div>
    <w:div w:id="1340428030">
      <w:bodyDiv w:val="1"/>
      <w:marLeft w:val="0"/>
      <w:marRight w:val="0"/>
      <w:marTop w:val="0"/>
      <w:marBottom w:val="0"/>
      <w:divBdr>
        <w:top w:val="none" w:sz="0" w:space="0" w:color="auto"/>
        <w:left w:val="none" w:sz="0" w:space="0" w:color="auto"/>
        <w:bottom w:val="none" w:sz="0" w:space="0" w:color="auto"/>
        <w:right w:val="none" w:sz="0" w:space="0" w:color="auto"/>
      </w:divBdr>
    </w:div>
    <w:div w:id="1348941753">
      <w:bodyDiv w:val="1"/>
      <w:marLeft w:val="0"/>
      <w:marRight w:val="0"/>
      <w:marTop w:val="0"/>
      <w:marBottom w:val="0"/>
      <w:divBdr>
        <w:top w:val="none" w:sz="0" w:space="0" w:color="auto"/>
        <w:left w:val="none" w:sz="0" w:space="0" w:color="auto"/>
        <w:bottom w:val="none" w:sz="0" w:space="0" w:color="auto"/>
        <w:right w:val="none" w:sz="0" w:space="0" w:color="auto"/>
      </w:divBdr>
    </w:div>
    <w:div w:id="1349405968">
      <w:bodyDiv w:val="1"/>
      <w:marLeft w:val="0"/>
      <w:marRight w:val="0"/>
      <w:marTop w:val="0"/>
      <w:marBottom w:val="0"/>
      <w:divBdr>
        <w:top w:val="none" w:sz="0" w:space="0" w:color="auto"/>
        <w:left w:val="none" w:sz="0" w:space="0" w:color="auto"/>
        <w:bottom w:val="none" w:sz="0" w:space="0" w:color="auto"/>
        <w:right w:val="none" w:sz="0" w:space="0" w:color="auto"/>
      </w:divBdr>
    </w:div>
    <w:div w:id="1358848178">
      <w:bodyDiv w:val="1"/>
      <w:marLeft w:val="0"/>
      <w:marRight w:val="0"/>
      <w:marTop w:val="0"/>
      <w:marBottom w:val="0"/>
      <w:divBdr>
        <w:top w:val="none" w:sz="0" w:space="0" w:color="auto"/>
        <w:left w:val="none" w:sz="0" w:space="0" w:color="auto"/>
        <w:bottom w:val="none" w:sz="0" w:space="0" w:color="auto"/>
        <w:right w:val="none" w:sz="0" w:space="0" w:color="auto"/>
      </w:divBdr>
    </w:div>
    <w:div w:id="1361979591">
      <w:bodyDiv w:val="1"/>
      <w:marLeft w:val="0"/>
      <w:marRight w:val="0"/>
      <w:marTop w:val="0"/>
      <w:marBottom w:val="0"/>
      <w:divBdr>
        <w:top w:val="none" w:sz="0" w:space="0" w:color="auto"/>
        <w:left w:val="none" w:sz="0" w:space="0" w:color="auto"/>
        <w:bottom w:val="none" w:sz="0" w:space="0" w:color="auto"/>
        <w:right w:val="none" w:sz="0" w:space="0" w:color="auto"/>
      </w:divBdr>
    </w:div>
    <w:div w:id="1364864707">
      <w:bodyDiv w:val="1"/>
      <w:marLeft w:val="0"/>
      <w:marRight w:val="0"/>
      <w:marTop w:val="0"/>
      <w:marBottom w:val="0"/>
      <w:divBdr>
        <w:top w:val="none" w:sz="0" w:space="0" w:color="auto"/>
        <w:left w:val="none" w:sz="0" w:space="0" w:color="auto"/>
        <w:bottom w:val="none" w:sz="0" w:space="0" w:color="auto"/>
        <w:right w:val="none" w:sz="0" w:space="0" w:color="auto"/>
      </w:divBdr>
    </w:div>
    <w:div w:id="1367172835">
      <w:bodyDiv w:val="1"/>
      <w:marLeft w:val="0"/>
      <w:marRight w:val="0"/>
      <w:marTop w:val="0"/>
      <w:marBottom w:val="0"/>
      <w:divBdr>
        <w:top w:val="none" w:sz="0" w:space="0" w:color="auto"/>
        <w:left w:val="none" w:sz="0" w:space="0" w:color="auto"/>
        <w:bottom w:val="none" w:sz="0" w:space="0" w:color="auto"/>
        <w:right w:val="none" w:sz="0" w:space="0" w:color="auto"/>
      </w:divBdr>
    </w:div>
    <w:div w:id="1378702323">
      <w:bodyDiv w:val="1"/>
      <w:marLeft w:val="0"/>
      <w:marRight w:val="0"/>
      <w:marTop w:val="0"/>
      <w:marBottom w:val="0"/>
      <w:divBdr>
        <w:top w:val="none" w:sz="0" w:space="0" w:color="auto"/>
        <w:left w:val="none" w:sz="0" w:space="0" w:color="auto"/>
        <w:bottom w:val="none" w:sz="0" w:space="0" w:color="auto"/>
        <w:right w:val="none" w:sz="0" w:space="0" w:color="auto"/>
      </w:divBdr>
    </w:div>
    <w:div w:id="1379550385">
      <w:bodyDiv w:val="1"/>
      <w:marLeft w:val="0"/>
      <w:marRight w:val="0"/>
      <w:marTop w:val="0"/>
      <w:marBottom w:val="0"/>
      <w:divBdr>
        <w:top w:val="none" w:sz="0" w:space="0" w:color="auto"/>
        <w:left w:val="none" w:sz="0" w:space="0" w:color="auto"/>
        <w:bottom w:val="none" w:sz="0" w:space="0" w:color="auto"/>
        <w:right w:val="none" w:sz="0" w:space="0" w:color="auto"/>
      </w:divBdr>
    </w:div>
    <w:div w:id="1379629271">
      <w:bodyDiv w:val="1"/>
      <w:marLeft w:val="0"/>
      <w:marRight w:val="0"/>
      <w:marTop w:val="0"/>
      <w:marBottom w:val="0"/>
      <w:divBdr>
        <w:top w:val="none" w:sz="0" w:space="0" w:color="auto"/>
        <w:left w:val="none" w:sz="0" w:space="0" w:color="auto"/>
        <w:bottom w:val="none" w:sz="0" w:space="0" w:color="auto"/>
        <w:right w:val="none" w:sz="0" w:space="0" w:color="auto"/>
      </w:divBdr>
    </w:div>
    <w:div w:id="1387725481">
      <w:bodyDiv w:val="1"/>
      <w:marLeft w:val="0"/>
      <w:marRight w:val="0"/>
      <w:marTop w:val="0"/>
      <w:marBottom w:val="0"/>
      <w:divBdr>
        <w:top w:val="none" w:sz="0" w:space="0" w:color="auto"/>
        <w:left w:val="none" w:sz="0" w:space="0" w:color="auto"/>
        <w:bottom w:val="none" w:sz="0" w:space="0" w:color="auto"/>
        <w:right w:val="none" w:sz="0" w:space="0" w:color="auto"/>
      </w:divBdr>
    </w:div>
    <w:div w:id="1389576475">
      <w:bodyDiv w:val="1"/>
      <w:marLeft w:val="0"/>
      <w:marRight w:val="0"/>
      <w:marTop w:val="0"/>
      <w:marBottom w:val="0"/>
      <w:divBdr>
        <w:top w:val="none" w:sz="0" w:space="0" w:color="auto"/>
        <w:left w:val="none" w:sz="0" w:space="0" w:color="auto"/>
        <w:bottom w:val="none" w:sz="0" w:space="0" w:color="auto"/>
        <w:right w:val="none" w:sz="0" w:space="0" w:color="auto"/>
      </w:divBdr>
    </w:div>
    <w:div w:id="1390033641">
      <w:bodyDiv w:val="1"/>
      <w:marLeft w:val="0"/>
      <w:marRight w:val="0"/>
      <w:marTop w:val="0"/>
      <w:marBottom w:val="0"/>
      <w:divBdr>
        <w:top w:val="none" w:sz="0" w:space="0" w:color="auto"/>
        <w:left w:val="none" w:sz="0" w:space="0" w:color="auto"/>
        <w:bottom w:val="none" w:sz="0" w:space="0" w:color="auto"/>
        <w:right w:val="none" w:sz="0" w:space="0" w:color="auto"/>
      </w:divBdr>
    </w:div>
    <w:div w:id="1397774450">
      <w:bodyDiv w:val="1"/>
      <w:marLeft w:val="0"/>
      <w:marRight w:val="0"/>
      <w:marTop w:val="0"/>
      <w:marBottom w:val="0"/>
      <w:divBdr>
        <w:top w:val="none" w:sz="0" w:space="0" w:color="auto"/>
        <w:left w:val="none" w:sz="0" w:space="0" w:color="auto"/>
        <w:bottom w:val="none" w:sz="0" w:space="0" w:color="auto"/>
        <w:right w:val="none" w:sz="0" w:space="0" w:color="auto"/>
      </w:divBdr>
    </w:div>
    <w:div w:id="1399094434">
      <w:bodyDiv w:val="1"/>
      <w:marLeft w:val="0"/>
      <w:marRight w:val="0"/>
      <w:marTop w:val="0"/>
      <w:marBottom w:val="0"/>
      <w:divBdr>
        <w:top w:val="none" w:sz="0" w:space="0" w:color="auto"/>
        <w:left w:val="none" w:sz="0" w:space="0" w:color="auto"/>
        <w:bottom w:val="none" w:sz="0" w:space="0" w:color="auto"/>
        <w:right w:val="none" w:sz="0" w:space="0" w:color="auto"/>
      </w:divBdr>
    </w:div>
    <w:div w:id="1401169912">
      <w:bodyDiv w:val="1"/>
      <w:marLeft w:val="0"/>
      <w:marRight w:val="0"/>
      <w:marTop w:val="0"/>
      <w:marBottom w:val="0"/>
      <w:divBdr>
        <w:top w:val="none" w:sz="0" w:space="0" w:color="auto"/>
        <w:left w:val="none" w:sz="0" w:space="0" w:color="auto"/>
        <w:bottom w:val="none" w:sz="0" w:space="0" w:color="auto"/>
        <w:right w:val="none" w:sz="0" w:space="0" w:color="auto"/>
      </w:divBdr>
    </w:div>
    <w:div w:id="1402488387">
      <w:bodyDiv w:val="1"/>
      <w:marLeft w:val="0"/>
      <w:marRight w:val="0"/>
      <w:marTop w:val="0"/>
      <w:marBottom w:val="0"/>
      <w:divBdr>
        <w:top w:val="none" w:sz="0" w:space="0" w:color="auto"/>
        <w:left w:val="none" w:sz="0" w:space="0" w:color="auto"/>
        <w:bottom w:val="none" w:sz="0" w:space="0" w:color="auto"/>
        <w:right w:val="none" w:sz="0" w:space="0" w:color="auto"/>
      </w:divBdr>
    </w:div>
    <w:div w:id="1404259650">
      <w:bodyDiv w:val="1"/>
      <w:marLeft w:val="0"/>
      <w:marRight w:val="0"/>
      <w:marTop w:val="0"/>
      <w:marBottom w:val="0"/>
      <w:divBdr>
        <w:top w:val="none" w:sz="0" w:space="0" w:color="auto"/>
        <w:left w:val="none" w:sz="0" w:space="0" w:color="auto"/>
        <w:bottom w:val="none" w:sz="0" w:space="0" w:color="auto"/>
        <w:right w:val="none" w:sz="0" w:space="0" w:color="auto"/>
      </w:divBdr>
    </w:div>
    <w:div w:id="1437287092">
      <w:bodyDiv w:val="1"/>
      <w:marLeft w:val="0"/>
      <w:marRight w:val="0"/>
      <w:marTop w:val="0"/>
      <w:marBottom w:val="0"/>
      <w:divBdr>
        <w:top w:val="none" w:sz="0" w:space="0" w:color="auto"/>
        <w:left w:val="none" w:sz="0" w:space="0" w:color="auto"/>
        <w:bottom w:val="none" w:sz="0" w:space="0" w:color="auto"/>
        <w:right w:val="none" w:sz="0" w:space="0" w:color="auto"/>
      </w:divBdr>
    </w:div>
    <w:div w:id="1447311957">
      <w:bodyDiv w:val="1"/>
      <w:marLeft w:val="0"/>
      <w:marRight w:val="0"/>
      <w:marTop w:val="0"/>
      <w:marBottom w:val="0"/>
      <w:divBdr>
        <w:top w:val="none" w:sz="0" w:space="0" w:color="auto"/>
        <w:left w:val="none" w:sz="0" w:space="0" w:color="auto"/>
        <w:bottom w:val="none" w:sz="0" w:space="0" w:color="auto"/>
        <w:right w:val="none" w:sz="0" w:space="0" w:color="auto"/>
      </w:divBdr>
    </w:div>
    <w:div w:id="1459950368">
      <w:bodyDiv w:val="1"/>
      <w:marLeft w:val="0"/>
      <w:marRight w:val="0"/>
      <w:marTop w:val="0"/>
      <w:marBottom w:val="0"/>
      <w:divBdr>
        <w:top w:val="none" w:sz="0" w:space="0" w:color="auto"/>
        <w:left w:val="none" w:sz="0" w:space="0" w:color="auto"/>
        <w:bottom w:val="none" w:sz="0" w:space="0" w:color="auto"/>
        <w:right w:val="none" w:sz="0" w:space="0" w:color="auto"/>
      </w:divBdr>
    </w:div>
    <w:div w:id="1465807758">
      <w:bodyDiv w:val="1"/>
      <w:marLeft w:val="0"/>
      <w:marRight w:val="0"/>
      <w:marTop w:val="0"/>
      <w:marBottom w:val="0"/>
      <w:divBdr>
        <w:top w:val="none" w:sz="0" w:space="0" w:color="auto"/>
        <w:left w:val="none" w:sz="0" w:space="0" w:color="auto"/>
        <w:bottom w:val="none" w:sz="0" w:space="0" w:color="auto"/>
        <w:right w:val="none" w:sz="0" w:space="0" w:color="auto"/>
      </w:divBdr>
    </w:div>
    <w:div w:id="1473058298">
      <w:bodyDiv w:val="1"/>
      <w:marLeft w:val="0"/>
      <w:marRight w:val="0"/>
      <w:marTop w:val="0"/>
      <w:marBottom w:val="0"/>
      <w:divBdr>
        <w:top w:val="none" w:sz="0" w:space="0" w:color="auto"/>
        <w:left w:val="none" w:sz="0" w:space="0" w:color="auto"/>
        <w:bottom w:val="none" w:sz="0" w:space="0" w:color="auto"/>
        <w:right w:val="none" w:sz="0" w:space="0" w:color="auto"/>
      </w:divBdr>
    </w:div>
    <w:div w:id="1477642076">
      <w:bodyDiv w:val="1"/>
      <w:marLeft w:val="0"/>
      <w:marRight w:val="0"/>
      <w:marTop w:val="0"/>
      <w:marBottom w:val="0"/>
      <w:divBdr>
        <w:top w:val="none" w:sz="0" w:space="0" w:color="auto"/>
        <w:left w:val="none" w:sz="0" w:space="0" w:color="auto"/>
        <w:bottom w:val="none" w:sz="0" w:space="0" w:color="auto"/>
        <w:right w:val="none" w:sz="0" w:space="0" w:color="auto"/>
      </w:divBdr>
    </w:div>
    <w:div w:id="1496604313">
      <w:bodyDiv w:val="1"/>
      <w:marLeft w:val="0"/>
      <w:marRight w:val="0"/>
      <w:marTop w:val="0"/>
      <w:marBottom w:val="0"/>
      <w:divBdr>
        <w:top w:val="none" w:sz="0" w:space="0" w:color="auto"/>
        <w:left w:val="none" w:sz="0" w:space="0" w:color="auto"/>
        <w:bottom w:val="none" w:sz="0" w:space="0" w:color="auto"/>
        <w:right w:val="none" w:sz="0" w:space="0" w:color="auto"/>
      </w:divBdr>
    </w:div>
    <w:div w:id="1502696945">
      <w:bodyDiv w:val="1"/>
      <w:marLeft w:val="0"/>
      <w:marRight w:val="0"/>
      <w:marTop w:val="0"/>
      <w:marBottom w:val="0"/>
      <w:divBdr>
        <w:top w:val="none" w:sz="0" w:space="0" w:color="auto"/>
        <w:left w:val="none" w:sz="0" w:space="0" w:color="auto"/>
        <w:bottom w:val="none" w:sz="0" w:space="0" w:color="auto"/>
        <w:right w:val="none" w:sz="0" w:space="0" w:color="auto"/>
      </w:divBdr>
    </w:div>
    <w:div w:id="1508014750">
      <w:bodyDiv w:val="1"/>
      <w:marLeft w:val="0"/>
      <w:marRight w:val="0"/>
      <w:marTop w:val="0"/>
      <w:marBottom w:val="0"/>
      <w:divBdr>
        <w:top w:val="none" w:sz="0" w:space="0" w:color="auto"/>
        <w:left w:val="none" w:sz="0" w:space="0" w:color="auto"/>
        <w:bottom w:val="none" w:sz="0" w:space="0" w:color="auto"/>
        <w:right w:val="none" w:sz="0" w:space="0" w:color="auto"/>
      </w:divBdr>
    </w:div>
    <w:div w:id="1510950211">
      <w:bodyDiv w:val="1"/>
      <w:marLeft w:val="0"/>
      <w:marRight w:val="0"/>
      <w:marTop w:val="0"/>
      <w:marBottom w:val="0"/>
      <w:divBdr>
        <w:top w:val="none" w:sz="0" w:space="0" w:color="auto"/>
        <w:left w:val="none" w:sz="0" w:space="0" w:color="auto"/>
        <w:bottom w:val="none" w:sz="0" w:space="0" w:color="auto"/>
        <w:right w:val="none" w:sz="0" w:space="0" w:color="auto"/>
      </w:divBdr>
    </w:div>
    <w:div w:id="1513454125">
      <w:bodyDiv w:val="1"/>
      <w:marLeft w:val="0"/>
      <w:marRight w:val="0"/>
      <w:marTop w:val="0"/>
      <w:marBottom w:val="0"/>
      <w:divBdr>
        <w:top w:val="none" w:sz="0" w:space="0" w:color="auto"/>
        <w:left w:val="none" w:sz="0" w:space="0" w:color="auto"/>
        <w:bottom w:val="none" w:sz="0" w:space="0" w:color="auto"/>
        <w:right w:val="none" w:sz="0" w:space="0" w:color="auto"/>
      </w:divBdr>
    </w:div>
    <w:div w:id="1514220305">
      <w:bodyDiv w:val="1"/>
      <w:marLeft w:val="0"/>
      <w:marRight w:val="0"/>
      <w:marTop w:val="0"/>
      <w:marBottom w:val="0"/>
      <w:divBdr>
        <w:top w:val="none" w:sz="0" w:space="0" w:color="auto"/>
        <w:left w:val="none" w:sz="0" w:space="0" w:color="auto"/>
        <w:bottom w:val="none" w:sz="0" w:space="0" w:color="auto"/>
        <w:right w:val="none" w:sz="0" w:space="0" w:color="auto"/>
      </w:divBdr>
    </w:div>
    <w:div w:id="1519345126">
      <w:bodyDiv w:val="1"/>
      <w:marLeft w:val="0"/>
      <w:marRight w:val="0"/>
      <w:marTop w:val="0"/>
      <w:marBottom w:val="0"/>
      <w:divBdr>
        <w:top w:val="none" w:sz="0" w:space="0" w:color="auto"/>
        <w:left w:val="none" w:sz="0" w:space="0" w:color="auto"/>
        <w:bottom w:val="none" w:sz="0" w:space="0" w:color="auto"/>
        <w:right w:val="none" w:sz="0" w:space="0" w:color="auto"/>
      </w:divBdr>
    </w:div>
    <w:div w:id="1521969440">
      <w:bodyDiv w:val="1"/>
      <w:marLeft w:val="0"/>
      <w:marRight w:val="0"/>
      <w:marTop w:val="0"/>
      <w:marBottom w:val="0"/>
      <w:divBdr>
        <w:top w:val="none" w:sz="0" w:space="0" w:color="auto"/>
        <w:left w:val="none" w:sz="0" w:space="0" w:color="auto"/>
        <w:bottom w:val="none" w:sz="0" w:space="0" w:color="auto"/>
        <w:right w:val="none" w:sz="0" w:space="0" w:color="auto"/>
      </w:divBdr>
    </w:div>
    <w:div w:id="1523086674">
      <w:bodyDiv w:val="1"/>
      <w:marLeft w:val="0"/>
      <w:marRight w:val="0"/>
      <w:marTop w:val="0"/>
      <w:marBottom w:val="0"/>
      <w:divBdr>
        <w:top w:val="none" w:sz="0" w:space="0" w:color="auto"/>
        <w:left w:val="none" w:sz="0" w:space="0" w:color="auto"/>
        <w:bottom w:val="none" w:sz="0" w:space="0" w:color="auto"/>
        <w:right w:val="none" w:sz="0" w:space="0" w:color="auto"/>
      </w:divBdr>
    </w:div>
    <w:div w:id="1536388323">
      <w:bodyDiv w:val="1"/>
      <w:marLeft w:val="0"/>
      <w:marRight w:val="0"/>
      <w:marTop w:val="0"/>
      <w:marBottom w:val="0"/>
      <w:divBdr>
        <w:top w:val="none" w:sz="0" w:space="0" w:color="auto"/>
        <w:left w:val="none" w:sz="0" w:space="0" w:color="auto"/>
        <w:bottom w:val="none" w:sz="0" w:space="0" w:color="auto"/>
        <w:right w:val="none" w:sz="0" w:space="0" w:color="auto"/>
      </w:divBdr>
    </w:div>
    <w:div w:id="1541358822">
      <w:bodyDiv w:val="1"/>
      <w:marLeft w:val="0"/>
      <w:marRight w:val="0"/>
      <w:marTop w:val="0"/>
      <w:marBottom w:val="0"/>
      <w:divBdr>
        <w:top w:val="none" w:sz="0" w:space="0" w:color="auto"/>
        <w:left w:val="none" w:sz="0" w:space="0" w:color="auto"/>
        <w:bottom w:val="none" w:sz="0" w:space="0" w:color="auto"/>
        <w:right w:val="none" w:sz="0" w:space="0" w:color="auto"/>
      </w:divBdr>
    </w:div>
    <w:div w:id="1548446070">
      <w:bodyDiv w:val="1"/>
      <w:marLeft w:val="0"/>
      <w:marRight w:val="0"/>
      <w:marTop w:val="0"/>
      <w:marBottom w:val="0"/>
      <w:divBdr>
        <w:top w:val="none" w:sz="0" w:space="0" w:color="auto"/>
        <w:left w:val="none" w:sz="0" w:space="0" w:color="auto"/>
        <w:bottom w:val="none" w:sz="0" w:space="0" w:color="auto"/>
        <w:right w:val="none" w:sz="0" w:space="0" w:color="auto"/>
      </w:divBdr>
    </w:div>
    <w:div w:id="1549495114">
      <w:bodyDiv w:val="1"/>
      <w:marLeft w:val="0"/>
      <w:marRight w:val="0"/>
      <w:marTop w:val="0"/>
      <w:marBottom w:val="0"/>
      <w:divBdr>
        <w:top w:val="none" w:sz="0" w:space="0" w:color="auto"/>
        <w:left w:val="none" w:sz="0" w:space="0" w:color="auto"/>
        <w:bottom w:val="none" w:sz="0" w:space="0" w:color="auto"/>
        <w:right w:val="none" w:sz="0" w:space="0" w:color="auto"/>
      </w:divBdr>
    </w:div>
    <w:div w:id="1549495179">
      <w:bodyDiv w:val="1"/>
      <w:marLeft w:val="0"/>
      <w:marRight w:val="0"/>
      <w:marTop w:val="0"/>
      <w:marBottom w:val="0"/>
      <w:divBdr>
        <w:top w:val="none" w:sz="0" w:space="0" w:color="auto"/>
        <w:left w:val="none" w:sz="0" w:space="0" w:color="auto"/>
        <w:bottom w:val="none" w:sz="0" w:space="0" w:color="auto"/>
        <w:right w:val="none" w:sz="0" w:space="0" w:color="auto"/>
      </w:divBdr>
    </w:div>
    <w:div w:id="1553496574">
      <w:bodyDiv w:val="1"/>
      <w:marLeft w:val="0"/>
      <w:marRight w:val="0"/>
      <w:marTop w:val="0"/>
      <w:marBottom w:val="0"/>
      <w:divBdr>
        <w:top w:val="none" w:sz="0" w:space="0" w:color="auto"/>
        <w:left w:val="none" w:sz="0" w:space="0" w:color="auto"/>
        <w:bottom w:val="none" w:sz="0" w:space="0" w:color="auto"/>
        <w:right w:val="none" w:sz="0" w:space="0" w:color="auto"/>
      </w:divBdr>
    </w:div>
    <w:div w:id="1558470200">
      <w:bodyDiv w:val="1"/>
      <w:marLeft w:val="0"/>
      <w:marRight w:val="0"/>
      <w:marTop w:val="0"/>
      <w:marBottom w:val="0"/>
      <w:divBdr>
        <w:top w:val="none" w:sz="0" w:space="0" w:color="auto"/>
        <w:left w:val="none" w:sz="0" w:space="0" w:color="auto"/>
        <w:bottom w:val="none" w:sz="0" w:space="0" w:color="auto"/>
        <w:right w:val="none" w:sz="0" w:space="0" w:color="auto"/>
      </w:divBdr>
    </w:div>
    <w:div w:id="1564289848">
      <w:bodyDiv w:val="1"/>
      <w:marLeft w:val="0"/>
      <w:marRight w:val="0"/>
      <w:marTop w:val="0"/>
      <w:marBottom w:val="0"/>
      <w:divBdr>
        <w:top w:val="none" w:sz="0" w:space="0" w:color="auto"/>
        <w:left w:val="none" w:sz="0" w:space="0" w:color="auto"/>
        <w:bottom w:val="none" w:sz="0" w:space="0" w:color="auto"/>
        <w:right w:val="none" w:sz="0" w:space="0" w:color="auto"/>
      </w:divBdr>
    </w:div>
    <w:div w:id="1571228084">
      <w:bodyDiv w:val="1"/>
      <w:marLeft w:val="0"/>
      <w:marRight w:val="0"/>
      <w:marTop w:val="0"/>
      <w:marBottom w:val="0"/>
      <w:divBdr>
        <w:top w:val="none" w:sz="0" w:space="0" w:color="auto"/>
        <w:left w:val="none" w:sz="0" w:space="0" w:color="auto"/>
        <w:bottom w:val="none" w:sz="0" w:space="0" w:color="auto"/>
        <w:right w:val="none" w:sz="0" w:space="0" w:color="auto"/>
      </w:divBdr>
    </w:div>
    <w:div w:id="1573076982">
      <w:bodyDiv w:val="1"/>
      <w:marLeft w:val="0"/>
      <w:marRight w:val="0"/>
      <w:marTop w:val="0"/>
      <w:marBottom w:val="0"/>
      <w:divBdr>
        <w:top w:val="none" w:sz="0" w:space="0" w:color="auto"/>
        <w:left w:val="none" w:sz="0" w:space="0" w:color="auto"/>
        <w:bottom w:val="none" w:sz="0" w:space="0" w:color="auto"/>
        <w:right w:val="none" w:sz="0" w:space="0" w:color="auto"/>
      </w:divBdr>
    </w:div>
    <w:div w:id="1578980562">
      <w:bodyDiv w:val="1"/>
      <w:marLeft w:val="0"/>
      <w:marRight w:val="0"/>
      <w:marTop w:val="0"/>
      <w:marBottom w:val="0"/>
      <w:divBdr>
        <w:top w:val="none" w:sz="0" w:space="0" w:color="auto"/>
        <w:left w:val="none" w:sz="0" w:space="0" w:color="auto"/>
        <w:bottom w:val="none" w:sz="0" w:space="0" w:color="auto"/>
        <w:right w:val="none" w:sz="0" w:space="0" w:color="auto"/>
      </w:divBdr>
    </w:div>
    <w:div w:id="1580403117">
      <w:bodyDiv w:val="1"/>
      <w:marLeft w:val="0"/>
      <w:marRight w:val="0"/>
      <w:marTop w:val="0"/>
      <w:marBottom w:val="0"/>
      <w:divBdr>
        <w:top w:val="none" w:sz="0" w:space="0" w:color="auto"/>
        <w:left w:val="none" w:sz="0" w:space="0" w:color="auto"/>
        <w:bottom w:val="none" w:sz="0" w:space="0" w:color="auto"/>
        <w:right w:val="none" w:sz="0" w:space="0" w:color="auto"/>
      </w:divBdr>
    </w:div>
    <w:div w:id="1586958101">
      <w:bodyDiv w:val="1"/>
      <w:marLeft w:val="0"/>
      <w:marRight w:val="0"/>
      <w:marTop w:val="0"/>
      <w:marBottom w:val="0"/>
      <w:divBdr>
        <w:top w:val="none" w:sz="0" w:space="0" w:color="auto"/>
        <w:left w:val="none" w:sz="0" w:space="0" w:color="auto"/>
        <w:bottom w:val="none" w:sz="0" w:space="0" w:color="auto"/>
        <w:right w:val="none" w:sz="0" w:space="0" w:color="auto"/>
      </w:divBdr>
    </w:div>
    <w:div w:id="1588151048">
      <w:bodyDiv w:val="1"/>
      <w:marLeft w:val="0"/>
      <w:marRight w:val="0"/>
      <w:marTop w:val="0"/>
      <w:marBottom w:val="0"/>
      <w:divBdr>
        <w:top w:val="none" w:sz="0" w:space="0" w:color="auto"/>
        <w:left w:val="none" w:sz="0" w:space="0" w:color="auto"/>
        <w:bottom w:val="none" w:sz="0" w:space="0" w:color="auto"/>
        <w:right w:val="none" w:sz="0" w:space="0" w:color="auto"/>
      </w:divBdr>
    </w:div>
    <w:div w:id="1594124569">
      <w:bodyDiv w:val="1"/>
      <w:marLeft w:val="0"/>
      <w:marRight w:val="0"/>
      <w:marTop w:val="0"/>
      <w:marBottom w:val="0"/>
      <w:divBdr>
        <w:top w:val="none" w:sz="0" w:space="0" w:color="auto"/>
        <w:left w:val="none" w:sz="0" w:space="0" w:color="auto"/>
        <w:bottom w:val="none" w:sz="0" w:space="0" w:color="auto"/>
        <w:right w:val="none" w:sz="0" w:space="0" w:color="auto"/>
      </w:divBdr>
    </w:div>
    <w:div w:id="1597323880">
      <w:bodyDiv w:val="1"/>
      <w:marLeft w:val="0"/>
      <w:marRight w:val="0"/>
      <w:marTop w:val="0"/>
      <w:marBottom w:val="0"/>
      <w:divBdr>
        <w:top w:val="none" w:sz="0" w:space="0" w:color="auto"/>
        <w:left w:val="none" w:sz="0" w:space="0" w:color="auto"/>
        <w:bottom w:val="none" w:sz="0" w:space="0" w:color="auto"/>
        <w:right w:val="none" w:sz="0" w:space="0" w:color="auto"/>
      </w:divBdr>
    </w:div>
    <w:div w:id="1606886082">
      <w:bodyDiv w:val="1"/>
      <w:marLeft w:val="0"/>
      <w:marRight w:val="0"/>
      <w:marTop w:val="0"/>
      <w:marBottom w:val="0"/>
      <w:divBdr>
        <w:top w:val="none" w:sz="0" w:space="0" w:color="auto"/>
        <w:left w:val="none" w:sz="0" w:space="0" w:color="auto"/>
        <w:bottom w:val="none" w:sz="0" w:space="0" w:color="auto"/>
        <w:right w:val="none" w:sz="0" w:space="0" w:color="auto"/>
      </w:divBdr>
    </w:div>
    <w:div w:id="1617132726">
      <w:bodyDiv w:val="1"/>
      <w:marLeft w:val="0"/>
      <w:marRight w:val="0"/>
      <w:marTop w:val="0"/>
      <w:marBottom w:val="0"/>
      <w:divBdr>
        <w:top w:val="none" w:sz="0" w:space="0" w:color="auto"/>
        <w:left w:val="none" w:sz="0" w:space="0" w:color="auto"/>
        <w:bottom w:val="none" w:sz="0" w:space="0" w:color="auto"/>
        <w:right w:val="none" w:sz="0" w:space="0" w:color="auto"/>
      </w:divBdr>
    </w:div>
    <w:div w:id="1625698427">
      <w:bodyDiv w:val="1"/>
      <w:marLeft w:val="0"/>
      <w:marRight w:val="0"/>
      <w:marTop w:val="0"/>
      <w:marBottom w:val="0"/>
      <w:divBdr>
        <w:top w:val="none" w:sz="0" w:space="0" w:color="auto"/>
        <w:left w:val="none" w:sz="0" w:space="0" w:color="auto"/>
        <w:bottom w:val="none" w:sz="0" w:space="0" w:color="auto"/>
        <w:right w:val="none" w:sz="0" w:space="0" w:color="auto"/>
      </w:divBdr>
    </w:div>
    <w:div w:id="1631280279">
      <w:bodyDiv w:val="1"/>
      <w:marLeft w:val="0"/>
      <w:marRight w:val="0"/>
      <w:marTop w:val="0"/>
      <w:marBottom w:val="0"/>
      <w:divBdr>
        <w:top w:val="none" w:sz="0" w:space="0" w:color="auto"/>
        <w:left w:val="none" w:sz="0" w:space="0" w:color="auto"/>
        <w:bottom w:val="none" w:sz="0" w:space="0" w:color="auto"/>
        <w:right w:val="none" w:sz="0" w:space="0" w:color="auto"/>
      </w:divBdr>
    </w:div>
    <w:div w:id="1637641172">
      <w:bodyDiv w:val="1"/>
      <w:marLeft w:val="0"/>
      <w:marRight w:val="0"/>
      <w:marTop w:val="0"/>
      <w:marBottom w:val="0"/>
      <w:divBdr>
        <w:top w:val="none" w:sz="0" w:space="0" w:color="auto"/>
        <w:left w:val="none" w:sz="0" w:space="0" w:color="auto"/>
        <w:bottom w:val="none" w:sz="0" w:space="0" w:color="auto"/>
        <w:right w:val="none" w:sz="0" w:space="0" w:color="auto"/>
      </w:divBdr>
    </w:div>
    <w:div w:id="1641300908">
      <w:bodyDiv w:val="1"/>
      <w:marLeft w:val="0"/>
      <w:marRight w:val="0"/>
      <w:marTop w:val="0"/>
      <w:marBottom w:val="0"/>
      <w:divBdr>
        <w:top w:val="none" w:sz="0" w:space="0" w:color="auto"/>
        <w:left w:val="none" w:sz="0" w:space="0" w:color="auto"/>
        <w:bottom w:val="none" w:sz="0" w:space="0" w:color="auto"/>
        <w:right w:val="none" w:sz="0" w:space="0" w:color="auto"/>
      </w:divBdr>
    </w:div>
    <w:div w:id="1650936251">
      <w:bodyDiv w:val="1"/>
      <w:marLeft w:val="0"/>
      <w:marRight w:val="0"/>
      <w:marTop w:val="0"/>
      <w:marBottom w:val="0"/>
      <w:divBdr>
        <w:top w:val="none" w:sz="0" w:space="0" w:color="auto"/>
        <w:left w:val="none" w:sz="0" w:space="0" w:color="auto"/>
        <w:bottom w:val="none" w:sz="0" w:space="0" w:color="auto"/>
        <w:right w:val="none" w:sz="0" w:space="0" w:color="auto"/>
      </w:divBdr>
    </w:div>
    <w:div w:id="1656453277">
      <w:bodyDiv w:val="1"/>
      <w:marLeft w:val="0"/>
      <w:marRight w:val="0"/>
      <w:marTop w:val="0"/>
      <w:marBottom w:val="0"/>
      <w:divBdr>
        <w:top w:val="none" w:sz="0" w:space="0" w:color="auto"/>
        <w:left w:val="none" w:sz="0" w:space="0" w:color="auto"/>
        <w:bottom w:val="none" w:sz="0" w:space="0" w:color="auto"/>
        <w:right w:val="none" w:sz="0" w:space="0" w:color="auto"/>
      </w:divBdr>
    </w:div>
    <w:div w:id="1660503929">
      <w:bodyDiv w:val="1"/>
      <w:marLeft w:val="0"/>
      <w:marRight w:val="0"/>
      <w:marTop w:val="0"/>
      <w:marBottom w:val="0"/>
      <w:divBdr>
        <w:top w:val="none" w:sz="0" w:space="0" w:color="auto"/>
        <w:left w:val="none" w:sz="0" w:space="0" w:color="auto"/>
        <w:bottom w:val="none" w:sz="0" w:space="0" w:color="auto"/>
        <w:right w:val="none" w:sz="0" w:space="0" w:color="auto"/>
      </w:divBdr>
    </w:div>
    <w:div w:id="1673100029">
      <w:bodyDiv w:val="1"/>
      <w:marLeft w:val="0"/>
      <w:marRight w:val="0"/>
      <w:marTop w:val="0"/>
      <w:marBottom w:val="0"/>
      <w:divBdr>
        <w:top w:val="none" w:sz="0" w:space="0" w:color="auto"/>
        <w:left w:val="none" w:sz="0" w:space="0" w:color="auto"/>
        <w:bottom w:val="none" w:sz="0" w:space="0" w:color="auto"/>
        <w:right w:val="none" w:sz="0" w:space="0" w:color="auto"/>
      </w:divBdr>
    </w:div>
    <w:div w:id="1676151460">
      <w:bodyDiv w:val="1"/>
      <w:marLeft w:val="0"/>
      <w:marRight w:val="0"/>
      <w:marTop w:val="0"/>
      <w:marBottom w:val="0"/>
      <w:divBdr>
        <w:top w:val="none" w:sz="0" w:space="0" w:color="auto"/>
        <w:left w:val="none" w:sz="0" w:space="0" w:color="auto"/>
        <w:bottom w:val="none" w:sz="0" w:space="0" w:color="auto"/>
        <w:right w:val="none" w:sz="0" w:space="0" w:color="auto"/>
      </w:divBdr>
    </w:div>
    <w:div w:id="1685478899">
      <w:bodyDiv w:val="1"/>
      <w:marLeft w:val="0"/>
      <w:marRight w:val="0"/>
      <w:marTop w:val="0"/>
      <w:marBottom w:val="0"/>
      <w:divBdr>
        <w:top w:val="none" w:sz="0" w:space="0" w:color="auto"/>
        <w:left w:val="none" w:sz="0" w:space="0" w:color="auto"/>
        <w:bottom w:val="none" w:sz="0" w:space="0" w:color="auto"/>
        <w:right w:val="none" w:sz="0" w:space="0" w:color="auto"/>
      </w:divBdr>
    </w:div>
    <w:div w:id="1692948853">
      <w:bodyDiv w:val="1"/>
      <w:marLeft w:val="0"/>
      <w:marRight w:val="0"/>
      <w:marTop w:val="0"/>
      <w:marBottom w:val="0"/>
      <w:divBdr>
        <w:top w:val="none" w:sz="0" w:space="0" w:color="auto"/>
        <w:left w:val="none" w:sz="0" w:space="0" w:color="auto"/>
        <w:bottom w:val="none" w:sz="0" w:space="0" w:color="auto"/>
        <w:right w:val="none" w:sz="0" w:space="0" w:color="auto"/>
      </w:divBdr>
    </w:div>
    <w:div w:id="1704204699">
      <w:bodyDiv w:val="1"/>
      <w:marLeft w:val="0"/>
      <w:marRight w:val="0"/>
      <w:marTop w:val="0"/>
      <w:marBottom w:val="0"/>
      <w:divBdr>
        <w:top w:val="none" w:sz="0" w:space="0" w:color="auto"/>
        <w:left w:val="none" w:sz="0" w:space="0" w:color="auto"/>
        <w:bottom w:val="none" w:sz="0" w:space="0" w:color="auto"/>
        <w:right w:val="none" w:sz="0" w:space="0" w:color="auto"/>
      </w:divBdr>
    </w:div>
    <w:div w:id="1713531792">
      <w:bodyDiv w:val="1"/>
      <w:marLeft w:val="0"/>
      <w:marRight w:val="0"/>
      <w:marTop w:val="0"/>
      <w:marBottom w:val="0"/>
      <w:divBdr>
        <w:top w:val="none" w:sz="0" w:space="0" w:color="auto"/>
        <w:left w:val="none" w:sz="0" w:space="0" w:color="auto"/>
        <w:bottom w:val="none" w:sz="0" w:space="0" w:color="auto"/>
        <w:right w:val="none" w:sz="0" w:space="0" w:color="auto"/>
      </w:divBdr>
    </w:div>
    <w:div w:id="1715805929">
      <w:bodyDiv w:val="1"/>
      <w:marLeft w:val="0"/>
      <w:marRight w:val="0"/>
      <w:marTop w:val="0"/>
      <w:marBottom w:val="0"/>
      <w:divBdr>
        <w:top w:val="none" w:sz="0" w:space="0" w:color="auto"/>
        <w:left w:val="none" w:sz="0" w:space="0" w:color="auto"/>
        <w:bottom w:val="none" w:sz="0" w:space="0" w:color="auto"/>
        <w:right w:val="none" w:sz="0" w:space="0" w:color="auto"/>
      </w:divBdr>
    </w:div>
    <w:div w:id="1720547722">
      <w:bodyDiv w:val="1"/>
      <w:marLeft w:val="0"/>
      <w:marRight w:val="0"/>
      <w:marTop w:val="0"/>
      <w:marBottom w:val="0"/>
      <w:divBdr>
        <w:top w:val="none" w:sz="0" w:space="0" w:color="auto"/>
        <w:left w:val="none" w:sz="0" w:space="0" w:color="auto"/>
        <w:bottom w:val="none" w:sz="0" w:space="0" w:color="auto"/>
        <w:right w:val="none" w:sz="0" w:space="0" w:color="auto"/>
      </w:divBdr>
    </w:div>
    <w:div w:id="1723287729">
      <w:bodyDiv w:val="1"/>
      <w:marLeft w:val="0"/>
      <w:marRight w:val="0"/>
      <w:marTop w:val="0"/>
      <w:marBottom w:val="0"/>
      <w:divBdr>
        <w:top w:val="none" w:sz="0" w:space="0" w:color="auto"/>
        <w:left w:val="none" w:sz="0" w:space="0" w:color="auto"/>
        <w:bottom w:val="none" w:sz="0" w:space="0" w:color="auto"/>
        <w:right w:val="none" w:sz="0" w:space="0" w:color="auto"/>
      </w:divBdr>
    </w:div>
    <w:div w:id="1724522596">
      <w:bodyDiv w:val="1"/>
      <w:marLeft w:val="0"/>
      <w:marRight w:val="0"/>
      <w:marTop w:val="0"/>
      <w:marBottom w:val="0"/>
      <w:divBdr>
        <w:top w:val="none" w:sz="0" w:space="0" w:color="auto"/>
        <w:left w:val="none" w:sz="0" w:space="0" w:color="auto"/>
        <w:bottom w:val="none" w:sz="0" w:space="0" w:color="auto"/>
        <w:right w:val="none" w:sz="0" w:space="0" w:color="auto"/>
      </w:divBdr>
    </w:div>
    <w:div w:id="1726442949">
      <w:bodyDiv w:val="1"/>
      <w:marLeft w:val="0"/>
      <w:marRight w:val="0"/>
      <w:marTop w:val="0"/>
      <w:marBottom w:val="0"/>
      <w:divBdr>
        <w:top w:val="none" w:sz="0" w:space="0" w:color="auto"/>
        <w:left w:val="none" w:sz="0" w:space="0" w:color="auto"/>
        <w:bottom w:val="none" w:sz="0" w:space="0" w:color="auto"/>
        <w:right w:val="none" w:sz="0" w:space="0" w:color="auto"/>
      </w:divBdr>
    </w:div>
    <w:div w:id="1732194628">
      <w:bodyDiv w:val="1"/>
      <w:marLeft w:val="0"/>
      <w:marRight w:val="0"/>
      <w:marTop w:val="0"/>
      <w:marBottom w:val="0"/>
      <w:divBdr>
        <w:top w:val="none" w:sz="0" w:space="0" w:color="auto"/>
        <w:left w:val="none" w:sz="0" w:space="0" w:color="auto"/>
        <w:bottom w:val="none" w:sz="0" w:space="0" w:color="auto"/>
        <w:right w:val="none" w:sz="0" w:space="0" w:color="auto"/>
      </w:divBdr>
    </w:div>
    <w:div w:id="1747454105">
      <w:bodyDiv w:val="1"/>
      <w:marLeft w:val="0"/>
      <w:marRight w:val="0"/>
      <w:marTop w:val="0"/>
      <w:marBottom w:val="0"/>
      <w:divBdr>
        <w:top w:val="none" w:sz="0" w:space="0" w:color="auto"/>
        <w:left w:val="none" w:sz="0" w:space="0" w:color="auto"/>
        <w:bottom w:val="none" w:sz="0" w:space="0" w:color="auto"/>
        <w:right w:val="none" w:sz="0" w:space="0" w:color="auto"/>
      </w:divBdr>
    </w:div>
    <w:div w:id="1755661574">
      <w:bodyDiv w:val="1"/>
      <w:marLeft w:val="0"/>
      <w:marRight w:val="0"/>
      <w:marTop w:val="0"/>
      <w:marBottom w:val="0"/>
      <w:divBdr>
        <w:top w:val="none" w:sz="0" w:space="0" w:color="auto"/>
        <w:left w:val="none" w:sz="0" w:space="0" w:color="auto"/>
        <w:bottom w:val="none" w:sz="0" w:space="0" w:color="auto"/>
        <w:right w:val="none" w:sz="0" w:space="0" w:color="auto"/>
      </w:divBdr>
    </w:div>
    <w:div w:id="1761876365">
      <w:bodyDiv w:val="1"/>
      <w:marLeft w:val="0"/>
      <w:marRight w:val="0"/>
      <w:marTop w:val="0"/>
      <w:marBottom w:val="0"/>
      <w:divBdr>
        <w:top w:val="none" w:sz="0" w:space="0" w:color="auto"/>
        <w:left w:val="none" w:sz="0" w:space="0" w:color="auto"/>
        <w:bottom w:val="none" w:sz="0" w:space="0" w:color="auto"/>
        <w:right w:val="none" w:sz="0" w:space="0" w:color="auto"/>
      </w:divBdr>
    </w:div>
    <w:div w:id="1779639145">
      <w:bodyDiv w:val="1"/>
      <w:marLeft w:val="0"/>
      <w:marRight w:val="0"/>
      <w:marTop w:val="0"/>
      <w:marBottom w:val="0"/>
      <w:divBdr>
        <w:top w:val="none" w:sz="0" w:space="0" w:color="auto"/>
        <w:left w:val="none" w:sz="0" w:space="0" w:color="auto"/>
        <w:bottom w:val="none" w:sz="0" w:space="0" w:color="auto"/>
        <w:right w:val="none" w:sz="0" w:space="0" w:color="auto"/>
      </w:divBdr>
    </w:div>
    <w:div w:id="1787461083">
      <w:bodyDiv w:val="1"/>
      <w:marLeft w:val="0"/>
      <w:marRight w:val="0"/>
      <w:marTop w:val="0"/>
      <w:marBottom w:val="0"/>
      <w:divBdr>
        <w:top w:val="none" w:sz="0" w:space="0" w:color="auto"/>
        <w:left w:val="none" w:sz="0" w:space="0" w:color="auto"/>
        <w:bottom w:val="none" w:sz="0" w:space="0" w:color="auto"/>
        <w:right w:val="none" w:sz="0" w:space="0" w:color="auto"/>
      </w:divBdr>
    </w:div>
    <w:div w:id="1787695230">
      <w:bodyDiv w:val="1"/>
      <w:marLeft w:val="0"/>
      <w:marRight w:val="0"/>
      <w:marTop w:val="0"/>
      <w:marBottom w:val="0"/>
      <w:divBdr>
        <w:top w:val="none" w:sz="0" w:space="0" w:color="auto"/>
        <w:left w:val="none" w:sz="0" w:space="0" w:color="auto"/>
        <w:bottom w:val="none" w:sz="0" w:space="0" w:color="auto"/>
        <w:right w:val="none" w:sz="0" w:space="0" w:color="auto"/>
      </w:divBdr>
    </w:div>
    <w:div w:id="1792438944">
      <w:bodyDiv w:val="1"/>
      <w:marLeft w:val="0"/>
      <w:marRight w:val="0"/>
      <w:marTop w:val="0"/>
      <w:marBottom w:val="0"/>
      <w:divBdr>
        <w:top w:val="none" w:sz="0" w:space="0" w:color="auto"/>
        <w:left w:val="none" w:sz="0" w:space="0" w:color="auto"/>
        <w:bottom w:val="none" w:sz="0" w:space="0" w:color="auto"/>
        <w:right w:val="none" w:sz="0" w:space="0" w:color="auto"/>
      </w:divBdr>
    </w:div>
    <w:div w:id="1795758494">
      <w:bodyDiv w:val="1"/>
      <w:marLeft w:val="0"/>
      <w:marRight w:val="0"/>
      <w:marTop w:val="0"/>
      <w:marBottom w:val="0"/>
      <w:divBdr>
        <w:top w:val="none" w:sz="0" w:space="0" w:color="auto"/>
        <w:left w:val="none" w:sz="0" w:space="0" w:color="auto"/>
        <w:bottom w:val="none" w:sz="0" w:space="0" w:color="auto"/>
        <w:right w:val="none" w:sz="0" w:space="0" w:color="auto"/>
      </w:divBdr>
    </w:div>
    <w:div w:id="1800033016">
      <w:bodyDiv w:val="1"/>
      <w:marLeft w:val="0"/>
      <w:marRight w:val="0"/>
      <w:marTop w:val="0"/>
      <w:marBottom w:val="0"/>
      <w:divBdr>
        <w:top w:val="none" w:sz="0" w:space="0" w:color="auto"/>
        <w:left w:val="none" w:sz="0" w:space="0" w:color="auto"/>
        <w:bottom w:val="none" w:sz="0" w:space="0" w:color="auto"/>
        <w:right w:val="none" w:sz="0" w:space="0" w:color="auto"/>
      </w:divBdr>
    </w:div>
    <w:div w:id="1804618506">
      <w:bodyDiv w:val="1"/>
      <w:marLeft w:val="0"/>
      <w:marRight w:val="0"/>
      <w:marTop w:val="0"/>
      <w:marBottom w:val="0"/>
      <w:divBdr>
        <w:top w:val="none" w:sz="0" w:space="0" w:color="auto"/>
        <w:left w:val="none" w:sz="0" w:space="0" w:color="auto"/>
        <w:bottom w:val="none" w:sz="0" w:space="0" w:color="auto"/>
        <w:right w:val="none" w:sz="0" w:space="0" w:color="auto"/>
      </w:divBdr>
    </w:div>
    <w:div w:id="1805999448">
      <w:bodyDiv w:val="1"/>
      <w:marLeft w:val="0"/>
      <w:marRight w:val="0"/>
      <w:marTop w:val="0"/>
      <w:marBottom w:val="0"/>
      <w:divBdr>
        <w:top w:val="none" w:sz="0" w:space="0" w:color="auto"/>
        <w:left w:val="none" w:sz="0" w:space="0" w:color="auto"/>
        <w:bottom w:val="none" w:sz="0" w:space="0" w:color="auto"/>
        <w:right w:val="none" w:sz="0" w:space="0" w:color="auto"/>
      </w:divBdr>
    </w:div>
    <w:div w:id="1808621696">
      <w:bodyDiv w:val="1"/>
      <w:marLeft w:val="0"/>
      <w:marRight w:val="0"/>
      <w:marTop w:val="0"/>
      <w:marBottom w:val="0"/>
      <w:divBdr>
        <w:top w:val="none" w:sz="0" w:space="0" w:color="auto"/>
        <w:left w:val="none" w:sz="0" w:space="0" w:color="auto"/>
        <w:bottom w:val="none" w:sz="0" w:space="0" w:color="auto"/>
        <w:right w:val="none" w:sz="0" w:space="0" w:color="auto"/>
      </w:divBdr>
    </w:div>
    <w:div w:id="1809282887">
      <w:bodyDiv w:val="1"/>
      <w:marLeft w:val="0"/>
      <w:marRight w:val="0"/>
      <w:marTop w:val="0"/>
      <w:marBottom w:val="0"/>
      <w:divBdr>
        <w:top w:val="none" w:sz="0" w:space="0" w:color="auto"/>
        <w:left w:val="none" w:sz="0" w:space="0" w:color="auto"/>
        <w:bottom w:val="none" w:sz="0" w:space="0" w:color="auto"/>
        <w:right w:val="none" w:sz="0" w:space="0" w:color="auto"/>
      </w:divBdr>
    </w:div>
    <w:div w:id="1812401306">
      <w:bodyDiv w:val="1"/>
      <w:marLeft w:val="0"/>
      <w:marRight w:val="0"/>
      <w:marTop w:val="0"/>
      <w:marBottom w:val="0"/>
      <w:divBdr>
        <w:top w:val="none" w:sz="0" w:space="0" w:color="auto"/>
        <w:left w:val="none" w:sz="0" w:space="0" w:color="auto"/>
        <w:bottom w:val="none" w:sz="0" w:space="0" w:color="auto"/>
        <w:right w:val="none" w:sz="0" w:space="0" w:color="auto"/>
      </w:divBdr>
    </w:div>
    <w:div w:id="1821577854">
      <w:bodyDiv w:val="1"/>
      <w:marLeft w:val="0"/>
      <w:marRight w:val="0"/>
      <w:marTop w:val="0"/>
      <w:marBottom w:val="0"/>
      <w:divBdr>
        <w:top w:val="none" w:sz="0" w:space="0" w:color="auto"/>
        <w:left w:val="none" w:sz="0" w:space="0" w:color="auto"/>
        <w:bottom w:val="none" w:sz="0" w:space="0" w:color="auto"/>
        <w:right w:val="none" w:sz="0" w:space="0" w:color="auto"/>
      </w:divBdr>
    </w:div>
    <w:div w:id="1822194424">
      <w:bodyDiv w:val="1"/>
      <w:marLeft w:val="0"/>
      <w:marRight w:val="0"/>
      <w:marTop w:val="0"/>
      <w:marBottom w:val="0"/>
      <w:divBdr>
        <w:top w:val="none" w:sz="0" w:space="0" w:color="auto"/>
        <w:left w:val="none" w:sz="0" w:space="0" w:color="auto"/>
        <w:bottom w:val="none" w:sz="0" w:space="0" w:color="auto"/>
        <w:right w:val="none" w:sz="0" w:space="0" w:color="auto"/>
      </w:divBdr>
    </w:div>
    <w:div w:id="1826357494">
      <w:bodyDiv w:val="1"/>
      <w:marLeft w:val="0"/>
      <w:marRight w:val="0"/>
      <w:marTop w:val="0"/>
      <w:marBottom w:val="0"/>
      <w:divBdr>
        <w:top w:val="none" w:sz="0" w:space="0" w:color="auto"/>
        <w:left w:val="none" w:sz="0" w:space="0" w:color="auto"/>
        <w:bottom w:val="none" w:sz="0" w:space="0" w:color="auto"/>
        <w:right w:val="none" w:sz="0" w:space="0" w:color="auto"/>
      </w:divBdr>
    </w:div>
    <w:div w:id="1832479407">
      <w:bodyDiv w:val="1"/>
      <w:marLeft w:val="0"/>
      <w:marRight w:val="0"/>
      <w:marTop w:val="0"/>
      <w:marBottom w:val="0"/>
      <w:divBdr>
        <w:top w:val="none" w:sz="0" w:space="0" w:color="auto"/>
        <w:left w:val="none" w:sz="0" w:space="0" w:color="auto"/>
        <w:bottom w:val="none" w:sz="0" w:space="0" w:color="auto"/>
        <w:right w:val="none" w:sz="0" w:space="0" w:color="auto"/>
      </w:divBdr>
    </w:div>
    <w:div w:id="1839029839">
      <w:bodyDiv w:val="1"/>
      <w:marLeft w:val="0"/>
      <w:marRight w:val="0"/>
      <w:marTop w:val="0"/>
      <w:marBottom w:val="0"/>
      <w:divBdr>
        <w:top w:val="none" w:sz="0" w:space="0" w:color="auto"/>
        <w:left w:val="none" w:sz="0" w:space="0" w:color="auto"/>
        <w:bottom w:val="none" w:sz="0" w:space="0" w:color="auto"/>
        <w:right w:val="none" w:sz="0" w:space="0" w:color="auto"/>
      </w:divBdr>
    </w:div>
    <w:div w:id="1845320391">
      <w:bodyDiv w:val="1"/>
      <w:marLeft w:val="0"/>
      <w:marRight w:val="0"/>
      <w:marTop w:val="0"/>
      <w:marBottom w:val="0"/>
      <w:divBdr>
        <w:top w:val="none" w:sz="0" w:space="0" w:color="auto"/>
        <w:left w:val="none" w:sz="0" w:space="0" w:color="auto"/>
        <w:bottom w:val="none" w:sz="0" w:space="0" w:color="auto"/>
        <w:right w:val="none" w:sz="0" w:space="0" w:color="auto"/>
      </w:divBdr>
    </w:div>
    <w:div w:id="1856385649">
      <w:bodyDiv w:val="1"/>
      <w:marLeft w:val="0"/>
      <w:marRight w:val="0"/>
      <w:marTop w:val="0"/>
      <w:marBottom w:val="0"/>
      <w:divBdr>
        <w:top w:val="none" w:sz="0" w:space="0" w:color="auto"/>
        <w:left w:val="none" w:sz="0" w:space="0" w:color="auto"/>
        <w:bottom w:val="none" w:sz="0" w:space="0" w:color="auto"/>
        <w:right w:val="none" w:sz="0" w:space="0" w:color="auto"/>
      </w:divBdr>
    </w:div>
    <w:div w:id="1863978944">
      <w:bodyDiv w:val="1"/>
      <w:marLeft w:val="0"/>
      <w:marRight w:val="0"/>
      <w:marTop w:val="0"/>
      <w:marBottom w:val="0"/>
      <w:divBdr>
        <w:top w:val="none" w:sz="0" w:space="0" w:color="auto"/>
        <w:left w:val="none" w:sz="0" w:space="0" w:color="auto"/>
        <w:bottom w:val="none" w:sz="0" w:space="0" w:color="auto"/>
        <w:right w:val="none" w:sz="0" w:space="0" w:color="auto"/>
      </w:divBdr>
    </w:div>
    <w:div w:id="1884368836">
      <w:bodyDiv w:val="1"/>
      <w:marLeft w:val="0"/>
      <w:marRight w:val="0"/>
      <w:marTop w:val="0"/>
      <w:marBottom w:val="0"/>
      <w:divBdr>
        <w:top w:val="none" w:sz="0" w:space="0" w:color="auto"/>
        <w:left w:val="none" w:sz="0" w:space="0" w:color="auto"/>
        <w:bottom w:val="none" w:sz="0" w:space="0" w:color="auto"/>
        <w:right w:val="none" w:sz="0" w:space="0" w:color="auto"/>
      </w:divBdr>
    </w:div>
    <w:div w:id="1886288364">
      <w:bodyDiv w:val="1"/>
      <w:marLeft w:val="0"/>
      <w:marRight w:val="0"/>
      <w:marTop w:val="0"/>
      <w:marBottom w:val="0"/>
      <w:divBdr>
        <w:top w:val="none" w:sz="0" w:space="0" w:color="auto"/>
        <w:left w:val="none" w:sz="0" w:space="0" w:color="auto"/>
        <w:bottom w:val="none" w:sz="0" w:space="0" w:color="auto"/>
        <w:right w:val="none" w:sz="0" w:space="0" w:color="auto"/>
      </w:divBdr>
    </w:div>
    <w:div w:id="1899125384">
      <w:bodyDiv w:val="1"/>
      <w:marLeft w:val="0"/>
      <w:marRight w:val="0"/>
      <w:marTop w:val="0"/>
      <w:marBottom w:val="0"/>
      <w:divBdr>
        <w:top w:val="none" w:sz="0" w:space="0" w:color="auto"/>
        <w:left w:val="none" w:sz="0" w:space="0" w:color="auto"/>
        <w:bottom w:val="none" w:sz="0" w:space="0" w:color="auto"/>
        <w:right w:val="none" w:sz="0" w:space="0" w:color="auto"/>
      </w:divBdr>
    </w:div>
    <w:div w:id="1900628148">
      <w:bodyDiv w:val="1"/>
      <w:marLeft w:val="0"/>
      <w:marRight w:val="0"/>
      <w:marTop w:val="0"/>
      <w:marBottom w:val="0"/>
      <w:divBdr>
        <w:top w:val="none" w:sz="0" w:space="0" w:color="auto"/>
        <w:left w:val="none" w:sz="0" w:space="0" w:color="auto"/>
        <w:bottom w:val="none" w:sz="0" w:space="0" w:color="auto"/>
        <w:right w:val="none" w:sz="0" w:space="0" w:color="auto"/>
      </w:divBdr>
    </w:div>
    <w:div w:id="1911764529">
      <w:bodyDiv w:val="1"/>
      <w:marLeft w:val="0"/>
      <w:marRight w:val="0"/>
      <w:marTop w:val="0"/>
      <w:marBottom w:val="0"/>
      <w:divBdr>
        <w:top w:val="none" w:sz="0" w:space="0" w:color="auto"/>
        <w:left w:val="none" w:sz="0" w:space="0" w:color="auto"/>
        <w:bottom w:val="none" w:sz="0" w:space="0" w:color="auto"/>
        <w:right w:val="none" w:sz="0" w:space="0" w:color="auto"/>
      </w:divBdr>
    </w:div>
    <w:div w:id="1920289182">
      <w:bodyDiv w:val="1"/>
      <w:marLeft w:val="0"/>
      <w:marRight w:val="0"/>
      <w:marTop w:val="0"/>
      <w:marBottom w:val="0"/>
      <w:divBdr>
        <w:top w:val="none" w:sz="0" w:space="0" w:color="auto"/>
        <w:left w:val="none" w:sz="0" w:space="0" w:color="auto"/>
        <w:bottom w:val="none" w:sz="0" w:space="0" w:color="auto"/>
        <w:right w:val="none" w:sz="0" w:space="0" w:color="auto"/>
      </w:divBdr>
    </w:div>
    <w:div w:id="1924682538">
      <w:bodyDiv w:val="1"/>
      <w:marLeft w:val="0"/>
      <w:marRight w:val="0"/>
      <w:marTop w:val="0"/>
      <w:marBottom w:val="0"/>
      <w:divBdr>
        <w:top w:val="none" w:sz="0" w:space="0" w:color="auto"/>
        <w:left w:val="none" w:sz="0" w:space="0" w:color="auto"/>
        <w:bottom w:val="none" w:sz="0" w:space="0" w:color="auto"/>
        <w:right w:val="none" w:sz="0" w:space="0" w:color="auto"/>
      </w:divBdr>
    </w:div>
    <w:div w:id="1927499071">
      <w:bodyDiv w:val="1"/>
      <w:marLeft w:val="0"/>
      <w:marRight w:val="0"/>
      <w:marTop w:val="0"/>
      <w:marBottom w:val="0"/>
      <w:divBdr>
        <w:top w:val="none" w:sz="0" w:space="0" w:color="auto"/>
        <w:left w:val="none" w:sz="0" w:space="0" w:color="auto"/>
        <w:bottom w:val="none" w:sz="0" w:space="0" w:color="auto"/>
        <w:right w:val="none" w:sz="0" w:space="0" w:color="auto"/>
      </w:divBdr>
    </w:div>
    <w:div w:id="1949581084">
      <w:bodyDiv w:val="1"/>
      <w:marLeft w:val="0"/>
      <w:marRight w:val="0"/>
      <w:marTop w:val="0"/>
      <w:marBottom w:val="0"/>
      <w:divBdr>
        <w:top w:val="none" w:sz="0" w:space="0" w:color="auto"/>
        <w:left w:val="none" w:sz="0" w:space="0" w:color="auto"/>
        <w:bottom w:val="none" w:sz="0" w:space="0" w:color="auto"/>
        <w:right w:val="none" w:sz="0" w:space="0" w:color="auto"/>
      </w:divBdr>
    </w:div>
    <w:div w:id="1965622946">
      <w:bodyDiv w:val="1"/>
      <w:marLeft w:val="0"/>
      <w:marRight w:val="0"/>
      <w:marTop w:val="0"/>
      <w:marBottom w:val="0"/>
      <w:divBdr>
        <w:top w:val="none" w:sz="0" w:space="0" w:color="auto"/>
        <w:left w:val="none" w:sz="0" w:space="0" w:color="auto"/>
        <w:bottom w:val="none" w:sz="0" w:space="0" w:color="auto"/>
        <w:right w:val="none" w:sz="0" w:space="0" w:color="auto"/>
      </w:divBdr>
    </w:div>
    <w:div w:id="1966765841">
      <w:bodyDiv w:val="1"/>
      <w:marLeft w:val="0"/>
      <w:marRight w:val="0"/>
      <w:marTop w:val="0"/>
      <w:marBottom w:val="0"/>
      <w:divBdr>
        <w:top w:val="none" w:sz="0" w:space="0" w:color="auto"/>
        <w:left w:val="none" w:sz="0" w:space="0" w:color="auto"/>
        <w:bottom w:val="none" w:sz="0" w:space="0" w:color="auto"/>
        <w:right w:val="none" w:sz="0" w:space="0" w:color="auto"/>
      </w:divBdr>
    </w:div>
    <w:div w:id="1967463631">
      <w:bodyDiv w:val="1"/>
      <w:marLeft w:val="0"/>
      <w:marRight w:val="0"/>
      <w:marTop w:val="0"/>
      <w:marBottom w:val="0"/>
      <w:divBdr>
        <w:top w:val="none" w:sz="0" w:space="0" w:color="auto"/>
        <w:left w:val="none" w:sz="0" w:space="0" w:color="auto"/>
        <w:bottom w:val="none" w:sz="0" w:space="0" w:color="auto"/>
        <w:right w:val="none" w:sz="0" w:space="0" w:color="auto"/>
      </w:divBdr>
    </w:div>
    <w:div w:id="1967855703">
      <w:bodyDiv w:val="1"/>
      <w:marLeft w:val="0"/>
      <w:marRight w:val="0"/>
      <w:marTop w:val="0"/>
      <w:marBottom w:val="0"/>
      <w:divBdr>
        <w:top w:val="none" w:sz="0" w:space="0" w:color="auto"/>
        <w:left w:val="none" w:sz="0" w:space="0" w:color="auto"/>
        <w:bottom w:val="none" w:sz="0" w:space="0" w:color="auto"/>
        <w:right w:val="none" w:sz="0" w:space="0" w:color="auto"/>
      </w:divBdr>
    </w:div>
    <w:div w:id="1980913017">
      <w:bodyDiv w:val="1"/>
      <w:marLeft w:val="0"/>
      <w:marRight w:val="0"/>
      <w:marTop w:val="0"/>
      <w:marBottom w:val="0"/>
      <w:divBdr>
        <w:top w:val="none" w:sz="0" w:space="0" w:color="auto"/>
        <w:left w:val="none" w:sz="0" w:space="0" w:color="auto"/>
        <w:bottom w:val="none" w:sz="0" w:space="0" w:color="auto"/>
        <w:right w:val="none" w:sz="0" w:space="0" w:color="auto"/>
      </w:divBdr>
    </w:div>
    <w:div w:id="1994288148">
      <w:bodyDiv w:val="1"/>
      <w:marLeft w:val="0"/>
      <w:marRight w:val="0"/>
      <w:marTop w:val="0"/>
      <w:marBottom w:val="0"/>
      <w:divBdr>
        <w:top w:val="none" w:sz="0" w:space="0" w:color="auto"/>
        <w:left w:val="none" w:sz="0" w:space="0" w:color="auto"/>
        <w:bottom w:val="none" w:sz="0" w:space="0" w:color="auto"/>
        <w:right w:val="none" w:sz="0" w:space="0" w:color="auto"/>
      </w:divBdr>
    </w:div>
    <w:div w:id="1999654154">
      <w:bodyDiv w:val="1"/>
      <w:marLeft w:val="0"/>
      <w:marRight w:val="0"/>
      <w:marTop w:val="0"/>
      <w:marBottom w:val="0"/>
      <w:divBdr>
        <w:top w:val="none" w:sz="0" w:space="0" w:color="auto"/>
        <w:left w:val="none" w:sz="0" w:space="0" w:color="auto"/>
        <w:bottom w:val="none" w:sz="0" w:space="0" w:color="auto"/>
        <w:right w:val="none" w:sz="0" w:space="0" w:color="auto"/>
      </w:divBdr>
    </w:div>
    <w:div w:id="2005862680">
      <w:bodyDiv w:val="1"/>
      <w:marLeft w:val="0"/>
      <w:marRight w:val="0"/>
      <w:marTop w:val="0"/>
      <w:marBottom w:val="0"/>
      <w:divBdr>
        <w:top w:val="none" w:sz="0" w:space="0" w:color="auto"/>
        <w:left w:val="none" w:sz="0" w:space="0" w:color="auto"/>
        <w:bottom w:val="none" w:sz="0" w:space="0" w:color="auto"/>
        <w:right w:val="none" w:sz="0" w:space="0" w:color="auto"/>
      </w:divBdr>
    </w:div>
    <w:div w:id="2020964395">
      <w:bodyDiv w:val="1"/>
      <w:marLeft w:val="0"/>
      <w:marRight w:val="0"/>
      <w:marTop w:val="0"/>
      <w:marBottom w:val="0"/>
      <w:divBdr>
        <w:top w:val="none" w:sz="0" w:space="0" w:color="auto"/>
        <w:left w:val="none" w:sz="0" w:space="0" w:color="auto"/>
        <w:bottom w:val="none" w:sz="0" w:space="0" w:color="auto"/>
        <w:right w:val="none" w:sz="0" w:space="0" w:color="auto"/>
      </w:divBdr>
    </w:div>
    <w:div w:id="2027293123">
      <w:bodyDiv w:val="1"/>
      <w:marLeft w:val="0"/>
      <w:marRight w:val="0"/>
      <w:marTop w:val="0"/>
      <w:marBottom w:val="0"/>
      <w:divBdr>
        <w:top w:val="none" w:sz="0" w:space="0" w:color="auto"/>
        <w:left w:val="none" w:sz="0" w:space="0" w:color="auto"/>
        <w:bottom w:val="none" w:sz="0" w:space="0" w:color="auto"/>
        <w:right w:val="none" w:sz="0" w:space="0" w:color="auto"/>
      </w:divBdr>
    </w:div>
    <w:div w:id="2027712287">
      <w:bodyDiv w:val="1"/>
      <w:marLeft w:val="0"/>
      <w:marRight w:val="0"/>
      <w:marTop w:val="0"/>
      <w:marBottom w:val="0"/>
      <w:divBdr>
        <w:top w:val="none" w:sz="0" w:space="0" w:color="auto"/>
        <w:left w:val="none" w:sz="0" w:space="0" w:color="auto"/>
        <w:bottom w:val="none" w:sz="0" w:space="0" w:color="auto"/>
        <w:right w:val="none" w:sz="0" w:space="0" w:color="auto"/>
      </w:divBdr>
    </w:div>
    <w:div w:id="2036617110">
      <w:bodyDiv w:val="1"/>
      <w:marLeft w:val="0"/>
      <w:marRight w:val="0"/>
      <w:marTop w:val="0"/>
      <w:marBottom w:val="0"/>
      <w:divBdr>
        <w:top w:val="none" w:sz="0" w:space="0" w:color="auto"/>
        <w:left w:val="none" w:sz="0" w:space="0" w:color="auto"/>
        <w:bottom w:val="none" w:sz="0" w:space="0" w:color="auto"/>
        <w:right w:val="none" w:sz="0" w:space="0" w:color="auto"/>
      </w:divBdr>
    </w:div>
    <w:div w:id="2037346358">
      <w:bodyDiv w:val="1"/>
      <w:marLeft w:val="0"/>
      <w:marRight w:val="0"/>
      <w:marTop w:val="0"/>
      <w:marBottom w:val="0"/>
      <w:divBdr>
        <w:top w:val="none" w:sz="0" w:space="0" w:color="auto"/>
        <w:left w:val="none" w:sz="0" w:space="0" w:color="auto"/>
        <w:bottom w:val="none" w:sz="0" w:space="0" w:color="auto"/>
        <w:right w:val="none" w:sz="0" w:space="0" w:color="auto"/>
      </w:divBdr>
    </w:div>
    <w:div w:id="2039694088">
      <w:bodyDiv w:val="1"/>
      <w:marLeft w:val="0"/>
      <w:marRight w:val="0"/>
      <w:marTop w:val="0"/>
      <w:marBottom w:val="0"/>
      <w:divBdr>
        <w:top w:val="none" w:sz="0" w:space="0" w:color="auto"/>
        <w:left w:val="none" w:sz="0" w:space="0" w:color="auto"/>
        <w:bottom w:val="none" w:sz="0" w:space="0" w:color="auto"/>
        <w:right w:val="none" w:sz="0" w:space="0" w:color="auto"/>
      </w:divBdr>
    </w:div>
    <w:div w:id="2049334577">
      <w:bodyDiv w:val="1"/>
      <w:marLeft w:val="0"/>
      <w:marRight w:val="0"/>
      <w:marTop w:val="0"/>
      <w:marBottom w:val="0"/>
      <w:divBdr>
        <w:top w:val="none" w:sz="0" w:space="0" w:color="auto"/>
        <w:left w:val="none" w:sz="0" w:space="0" w:color="auto"/>
        <w:bottom w:val="none" w:sz="0" w:space="0" w:color="auto"/>
        <w:right w:val="none" w:sz="0" w:space="0" w:color="auto"/>
      </w:divBdr>
    </w:div>
    <w:div w:id="2049641779">
      <w:bodyDiv w:val="1"/>
      <w:marLeft w:val="0"/>
      <w:marRight w:val="0"/>
      <w:marTop w:val="0"/>
      <w:marBottom w:val="0"/>
      <w:divBdr>
        <w:top w:val="none" w:sz="0" w:space="0" w:color="auto"/>
        <w:left w:val="none" w:sz="0" w:space="0" w:color="auto"/>
        <w:bottom w:val="none" w:sz="0" w:space="0" w:color="auto"/>
        <w:right w:val="none" w:sz="0" w:space="0" w:color="auto"/>
      </w:divBdr>
    </w:div>
    <w:div w:id="2068647650">
      <w:bodyDiv w:val="1"/>
      <w:marLeft w:val="0"/>
      <w:marRight w:val="0"/>
      <w:marTop w:val="0"/>
      <w:marBottom w:val="0"/>
      <w:divBdr>
        <w:top w:val="none" w:sz="0" w:space="0" w:color="auto"/>
        <w:left w:val="none" w:sz="0" w:space="0" w:color="auto"/>
        <w:bottom w:val="none" w:sz="0" w:space="0" w:color="auto"/>
        <w:right w:val="none" w:sz="0" w:space="0" w:color="auto"/>
      </w:divBdr>
    </w:div>
    <w:div w:id="2082286883">
      <w:bodyDiv w:val="1"/>
      <w:marLeft w:val="0"/>
      <w:marRight w:val="0"/>
      <w:marTop w:val="0"/>
      <w:marBottom w:val="0"/>
      <w:divBdr>
        <w:top w:val="none" w:sz="0" w:space="0" w:color="auto"/>
        <w:left w:val="none" w:sz="0" w:space="0" w:color="auto"/>
        <w:bottom w:val="none" w:sz="0" w:space="0" w:color="auto"/>
        <w:right w:val="none" w:sz="0" w:space="0" w:color="auto"/>
      </w:divBdr>
    </w:div>
    <w:div w:id="2086150491">
      <w:bodyDiv w:val="1"/>
      <w:marLeft w:val="0"/>
      <w:marRight w:val="0"/>
      <w:marTop w:val="0"/>
      <w:marBottom w:val="0"/>
      <w:divBdr>
        <w:top w:val="none" w:sz="0" w:space="0" w:color="auto"/>
        <w:left w:val="none" w:sz="0" w:space="0" w:color="auto"/>
        <w:bottom w:val="none" w:sz="0" w:space="0" w:color="auto"/>
        <w:right w:val="none" w:sz="0" w:space="0" w:color="auto"/>
      </w:divBdr>
    </w:div>
    <w:div w:id="2086680297">
      <w:bodyDiv w:val="1"/>
      <w:marLeft w:val="0"/>
      <w:marRight w:val="0"/>
      <w:marTop w:val="0"/>
      <w:marBottom w:val="0"/>
      <w:divBdr>
        <w:top w:val="none" w:sz="0" w:space="0" w:color="auto"/>
        <w:left w:val="none" w:sz="0" w:space="0" w:color="auto"/>
        <w:bottom w:val="none" w:sz="0" w:space="0" w:color="auto"/>
        <w:right w:val="none" w:sz="0" w:space="0" w:color="auto"/>
      </w:divBdr>
    </w:div>
    <w:div w:id="2088112619">
      <w:bodyDiv w:val="1"/>
      <w:marLeft w:val="0"/>
      <w:marRight w:val="0"/>
      <w:marTop w:val="0"/>
      <w:marBottom w:val="0"/>
      <w:divBdr>
        <w:top w:val="none" w:sz="0" w:space="0" w:color="auto"/>
        <w:left w:val="none" w:sz="0" w:space="0" w:color="auto"/>
        <w:bottom w:val="none" w:sz="0" w:space="0" w:color="auto"/>
        <w:right w:val="none" w:sz="0" w:space="0" w:color="auto"/>
      </w:divBdr>
    </w:div>
    <w:div w:id="2097365003">
      <w:bodyDiv w:val="1"/>
      <w:marLeft w:val="0"/>
      <w:marRight w:val="0"/>
      <w:marTop w:val="0"/>
      <w:marBottom w:val="0"/>
      <w:divBdr>
        <w:top w:val="none" w:sz="0" w:space="0" w:color="auto"/>
        <w:left w:val="none" w:sz="0" w:space="0" w:color="auto"/>
        <w:bottom w:val="none" w:sz="0" w:space="0" w:color="auto"/>
        <w:right w:val="none" w:sz="0" w:space="0" w:color="auto"/>
      </w:divBdr>
    </w:div>
    <w:div w:id="2103524267">
      <w:bodyDiv w:val="1"/>
      <w:marLeft w:val="0"/>
      <w:marRight w:val="0"/>
      <w:marTop w:val="0"/>
      <w:marBottom w:val="0"/>
      <w:divBdr>
        <w:top w:val="none" w:sz="0" w:space="0" w:color="auto"/>
        <w:left w:val="none" w:sz="0" w:space="0" w:color="auto"/>
        <w:bottom w:val="none" w:sz="0" w:space="0" w:color="auto"/>
        <w:right w:val="none" w:sz="0" w:space="0" w:color="auto"/>
      </w:divBdr>
    </w:div>
    <w:div w:id="2121795680">
      <w:bodyDiv w:val="1"/>
      <w:marLeft w:val="0"/>
      <w:marRight w:val="0"/>
      <w:marTop w:val="0"/>
      <w:marBottom w:val="0"/>
      <w:divBdr>
        <w:top w:val="none" w:sz="0" w:space="0" w:color="auto"/>
        <w:left w:val="none" w:sz="0" w:space="0" w:color="auto"/>
        <w:bottom w:val="none" w:sz="0" w:space="0" w:color="auto"/>
        <w:right w:val="none" w:sz="0" w:space="0" w:color="auto"/>
      </w:divBdr>
    </w:div>
    <w:div w:id="2125686831">
      <w:bodyDiv w:val="1"/>
      <w:marLeft w:val="0"/>
      <w:marRight w:val="0"/>
      <w:marTop w:val="0"/>
      <w:marBottom w:val="0"/>
      <w:divBdr>
        <w:top w:val="none" w:sz="0" w:space="0" w:color="auto"/>
        <w:left w:val="none" w:sz="0" w:space="0" w:color="auto"/>
        <w:bottom w:val="none" w:sz="0" w:space="0" w:color="auto"/>
        <w:right w:val="none" w:sz="0" w:space="0" w:color="auto"/>
      </w:divBdr>
    </w:div>
    <w:div w:id="2125810736">
      <w:bodyDiv w:val="1"/>
      <w:marLeft w:val="0"/>
      <w:marRight w:val="0"/>
      <w:marTop w:val="0"/>
      <w:marBottom w:val="0"/>
      <w:divBdr>
        <w:top w:val="none" w:sz="0" w:space="0" w:color="auto"/>
        <w:left w:val="none" w:sz="0" w:space="0" w:color="auto"/>
        <w:bottom w:val="none" w:sz="0" w:space="0" w:color="auto"/>
        <w:right w:val="none" w:sz="0" w:space="0" w:color="auto"/>
      </w:divBdr>
    </w:div>
    <w:div w:id="2139835798">
      <w:bodyDiv w:val="1"/>
      <w:marLeft w:val="0"/>
      <w:marRight w:val="0"/>
      <w:marTop w:val="0"/>
      <w:marBottom w:val="0"/>
      <w:divBdr>
        <w:top w:val="none" w:sz="0" w:space="0" w:color="auto"/>
        <w:left w:val="none" w:sz="0" w:space="0" w:color="auto"/>
        <w:bottom w:val="none" w:sz="0" w:space="0" w:color="auto"/>
        <w:right w:val="none" w:sz="0" w:space="0" w:color="auto"/>
      </w:divBdr>
    </w:div>
    <w:div w:id="2140996591">
      <w:bodyDiv w:val="1"/>
      <w:marLeft w:val="0"/>
      <w:marRight w:val="0"/>
      <w:marTop w:val="0"/>
      <w:marBottom w:val="0"/>
      <w:divBdr>
        <w:top w:val="none" w:sz="0" w:space="0" w:color="auto"/>
        <w:left w:val="none" w:sz="0" w:space="0" w:color="auto"/>
        <w:bottom w:val="none" w:sz="0" w:space="0" w:color="auto"/>
        <w:right w:val="none" w:sz="0" w:space="0" w:color="auto"/>
      </w:divBdr>
    </w:div>
    <w:div w:id="2142646304">
      <w:bodyDiv w:val="1"/>
      <w:marLeft w:val="0"/>
      <w:marRight w:val="0"/>
      <w:marTop w:val="0"/>
      <w:marBottom w:val="0"/>
      <w:divBdr>
        <w:top w:val="none" w:sz="0" w:space="0" w:color="auto"/>
        <w:left w:val="none" w:sz="0" w:space="0" w:color="auto"/>
        <w:bottom w:val="none" w:sz="0" w:space="0" w:color="auto"/>
        <w:right w:val="none" w:sz="0" w:space="0" w:color="auto"/>
      </w:divBdr>
    </w:div>
    <w:div w:id="214658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4.emf"/></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b073d31c-af62-4ecf-88a2-6fa5f3a137f9">
      <Terms xmlns="http://schemas.microsoft.com/office/infopath/2007/PartnerControls">
        <TermInfo xmlns="http://schemas.microsoft.com/office/infopath/2007/PartnerControls">
          <TermName xmlns="http://schemas.microsoft.com/office/infopath/2007/PartnerControls">Budgeting</TermName>
          <TermId xmlns="http://schemas.microsoft.com/office/infopath/2007/PartnerControls">11ec2030-3228-4aab-ab35-b2a9e90081ab</TermId>
        </TermInfo>
      </Terms>
    </i0f84bba906045b4af568ee102a52dcb>
    <TaxCatchAll xmlns="b073d31c-af62-4ecf-88a2-6fa5f3a137f9">
      <Value>22</Value>
    </TaxCatchAll>
    <_dlc_DocId xmlns="b073d31c-af62-4ecf-88a2-6fa5f3a137f9">DOCID-1903038801-22815</_dlc_DocId>
    <_dlc_DocIdUrl xmlns="b073d31c-af62-4ecf-88a2-6fa5f3a137f9">
      <Url>https://cardiniavicgovau.sharepoint.com/sites/FinancialManagement/_layouts/15/DocIdRedir.aspx?ID=DOCID-1903038801-22815</Url>
      <Description>DOCID-1903038801-22815</Description>
    </_dlc_DocIdUrl>
    <lcf76f155ced4ddcb4097134ff3c332f xmlns="41cd94a5-0ed9-402d-8986-6282dab237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3370E9E6F7914384F533E0F23F9F96" ma:contentTypeVersion="962" ma:contentTypeDescription="Create a new document." ma:contentTypeScope="" ma:versionID="1e38a352056322135c51e3abbc05f495">
  <xsd:schema xmlns:xsd="http://www.w3.org/2001/XMLSchema" xmlns:xs="http://www.w3.org/2001/XMLSchema" xmlns:p="http://schemas.microsoft.com/office/2006/metadata/properties" xmlns:ns2="b073d31c-af62-4ecf-88a2-6fa5f3a137f9" xmlns:ns3="41cd94a5-0ed9-402d-8986-6282dab2373b" targetNamespace="http://schemas.microsoft.com/office/2006/metadata/properties" ma:root="true" ma:fieldsID="e785acb42da2bafb0fa697517dcbda1a" ns2:_="" ns3:_="">
    <xsd:import namespace="b073d31c-af62-4ecf-88a2-6fa5f3a137f9"/>
    <xsd:import namespace="41cd94a5-0ed9-402d-8986-6282dab2373b"/>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i0f84bba906045b4af568ee102a52dcb"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31c-af62-4ecf-88a2-6fa5f3a137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12" ma:taxonomy="true" ma:internalName="i0f84bba906045b4af568ee102a52dcb" ma:taxonomyFieldName="RevIMBCS" ma:displayName="Records Class" ma:indexed="true" ma:default="22;#Budgeting|11ec2030-3228-4aab-ab35-b2a9e90081ab" ma:fieldId="{20f84bba-9060-45b4-af56-8ee102a52dcb}" ma:sspId="f1f653eb-fb98-481f-b5fd-5f85c7eda6bb" ma:termSetId="706c9149-9965-4f9a-81b2-af17d6a41aed" ma:anchorId="408ec1df-fcc6-4e1f-8e7c-4bb21bd9627b" ma:open="false" ma:isKeyword="false">
      <xsd:complexType>
        <xsd:sequence>
          <xsd:element ref="pc:Terms" minOccurs="0" maxOccurs="1"/>
        </xsd:sequence>
      </xsd:complexType>
    </xsd:element>
    <xsd:element name="TaxCatchAll" ma:index="13" nillable="true" ma:displayName="Taxonomy Catch All Column" ma:hidden="true" ma:list="{6ee41fd9-9571-448a-a68b-2c4ecf05245b}" ma:internalName="TaxCatchAll" ma:showField="CatchAllData" ma:web="b073d31c-af62-4ecf-88a2-6fa5f3a137f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ee41fd9-9571-448a-a68b-2c4ecf05245b}" ma:internalName="TaxCatchAllLabel" ma:readOnly="true" ma:showField="CatchAllDataLabel" ma:web="b073d31c-af62-4ecf-88a2-6fa5f3a137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cd94a5-0ed9-402d-8986-6282dab2373b"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223C60-2C5E-4C9D-B385-C89743E8AB59}">
  <ds:schemaRefs>
    <ds:schemaRef ds:uri="http://schemas.microsoft.com/office/2006/metadata/properties"/>
    <ds:schemaRef ds:uri="http://schemas.microsoft.com/office/infopath/2007/PartnerControls"/>
    <ds:schemaRef ds:uri="b073d31c-af62-4ecf-88a2-6fa5f3a137f9"/>
    <ds:schemaRef ds:uri="41cd94a5-0ed9-402d-8986-6282dab2373b"/>
  </ds:schemaRefs>
</ds:datastoreItem>
</file>

<file path=customXml/itemProps3.xml><?xml version="1.0" encoding="utf-8"?>
<ds:datastoreItem xmlns:ds="http://schemas.openxmlformats.org/officeDocument/2006/customXml" ds:itemID="{A52428DD-6B79-46E1-AB87-14F8BF31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3d31c-af62-4ecf-88a2-6fa5f3a137f9"/>
    <ds:schemaRef ds:uri="41cd94a5-0ed9-402d-8986-6282dab23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5204D-58D5-43EB-9D13-4D207C6AAA66}">
  <ds:schemaRefs>
    <ds:schemaRef ds:uri="http://schemas.microsoft.com/sharepoint/events"/>
  </ds:schemaRefs>
</ds:datastoreItem>
</file>

<file path=customXml/itemProps5.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customXml/itemProps6.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7.xml><?xml version="1.0" encoding="utf-8"?>
<ds:datastoreItem xmlns:ds="http://schemas.openxmlformats.org/officeDocument/2006/customXml" ds:itemID="{75CD16E0-B956-4764-B58B-64DD46E24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1802</TotalTime>
  <Pages>39</Pages>
  <Words>10586</Words>
  <Characters>58965</Characters>
  <Application>Microsoft Office Word</Application>
  <DocSecurity>0</DocSecurity>
  <Lines>6551</Lines>
  <Paragraphs>4636</Paragraphs>
  <ScaleCrop>false</ScaleCrop>
  <HeadingPairs>
    <vt:vector size="2" baseType="variant">
      <vt:variant>
        <vt:lpstr>Title</vt:lpstr>
      </vt:variant>
      <vt:variant>
        <vt:i4>1</vt:i4>
      </vt:variant>
    </vt:vector>
  </HeadingPairs>
  <TitlesOfParts>
    <vt:vector size="1" baseType="lpstr">
      <vt:lpstr>Financial Plan 2025/26 – 2034/35</vt:lpstr>
    </vt:vector>
  </TitlesOfParts>
  <Company/>
  <LinksUpToDate>false</LinksUpToDate>
  <CharactersWithSpaces>64915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Plan 2025/26 – 2034/35</dc:title>
  <dc:subject/>
  <dc:creator>Allison Southwell</dc:creator>
  <cp:keywords/>
  <dc:description/>
  <cp:lastModifiedBy>Bec Skilton</cp:lastModifiedBy>
  <cp:revision>35</cp:revision>
  <cp:lastPrinted>2025-10-01T00:24:00Z</cp:lastPrinted>
  <dcterms:created xsi:type="dcterms:W3CDTF">2025-09-29T04:19:00Z</dcterms:created>
  <dcterms:modified xsi:type="dcterms:W3CDTF">2025-10-20T06:55:00Z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0x010100AB3370E9E6F7914384F533E0F23F9F96</vt:lpwstr>
  </property>
  <property fmtid="{D5CDD505-2E9C-101B-9397-08002B2CF9AE}" pid="3" name="MediaServiceImageTags">
    <vt:lpwstr/>
  </property>
  <property fmtid="{D5CDD505-2E9C-101B-9397-08002B2CF9AE}" pid="4" name="RevIMBCS">
    <vt:lpwstr>22;#Budgeting|11ec2030-3228-4aab-ab35-b2a9e90081ab</vt:lpwstr>
  </property>
  <property fmtid="{D5CDD505-2E9C-101B-9397-08002B2CF9AE}" pid="5" name="SharedWithUsers">
    <vt:lpwstr>174;#Lalu Thomas;#2200;#Dhammika Weerasinghe;#172;#Di Hempel;#2176;#Allison Southwell;#331;#Peter Benazic;#232;#Carol Jeffs;#60;#Debbie Tyson;#1294;#Lili Rosic;#2086;#Wayne Mack;#2109;#Dana Harding;#2125;#Emma Wilkinson</vt:lpwstr>
  </property>
  <property fmtid="{D5CDD505-2E9C-101B-9397-08002B2CF9AE}" pid="6" name="ClassificationContentMarkingHeaderShapeIds">
    <vt:lpwstr>3d7a0bc,29527348,7120953b,1ca198f6,4c3165f6,6190e0d5,28a2b7c8,61cc93c3,69dac849,5423b2f7,464fe8e1,4c96b48a,70511e81,51157c29,6088e1f5,3649a056,64060435,2038eb5c</vt:lpwstr>
  </property>
  <property fmtid="{D5CDD505-2E9C-101B-9397-08002B2CF9AE}" pid="7" name="ClassificationContentMarkingHeaderFontProps">
    <vt:lpwstr>#000000,8,Calibri</vt:lpwstr>
  </property>
  <property fmtid="{D5CDD505-2E9C-101B-9397-08002B2CF9AE}" pid="8" name="ClassificationContentMarkingHeaderText">
    <vt:lpwstr>OFFICIAL - This document is a record of a Council decision or action and MUST be stored to SharePoint or a Corporate system.</vt:lpwstr>
  </property>
  <property fmtid="{D5CDD505-2E9C-101B-9397-08002B2CF9AE}" pid="9" name="MSIP_Label_77ecc8cc-c3ef-4ffe-9466-9810b37ff9b5_Enabled">
    <vt:lpwstr>true</vt:lpwstr>
  </property>
  <property fmtid="{D5CDD505-2E9C-101B-9397-08002B2CF9AE}" pid="10" name="MSIP_Label_77ecc8cc-c3ef-4ffe-9466-9810b37ff9b5_SetDate">
    <vt:lpwstr>2024-11-18T01:01:11Z</vt:lpwstr>
  </property>
  <property fmtid="{D5CDD505-2E9C-101B-9397-08002B2CF9AE}" pid="11" name="MSIP_Label_77ecc8cc-c3ef-4ffe-9466-9810b37ff9b5_Method">
    <vt:lpwstr>Standard</vt:lpwstr>
  </property>
  <property fmtid="{D5CDD505-2E9C-101B-9397-08002B2CF9AE}" pid="12" name="MSIP_Label_77ecc8cc-c3ef-4ffe-9466-9810b37ff9b5_Name">
    <vt:lpwstr>Official</vt:lpwstr>
  </property>
  <property fmtid="{D5CDD505-2E9C-101B-9397-08002B2CF9AE}" pid="13" name="MSIP_Label_77ecc8cc-c3ef-4ffe-9466-9810b37ff9b5_SiteId">
    <vt:lpwstr>0aa45401-4bca-4d36-a5ef-7bfbd36cf092</vt:lpwstr>
  </property>
  <property fmtid="{D5CDD505-2E9C-101B-9397-08002B2CF9AE}" pid="14" name="MSIP_Label_77ecc8cc-c3ef-4ffe-9466-9810b37ff9b5_ActionId">
    <vt:lpwstr>f35a4225-2570-431a-85e0-124cbda483b2</vt:lpwstr>
  </property>
  <property fmtid="{D5CDD505-2E9C-101B-9397-08002B2CF9AE}" pid="15" name="MSIP_Label_77ecc8cc-c3ef-4ffe-9466-9810b37ff9b5_ContentBits">
    <vt:lpwstr>1</vt:lpwstr>
  </property>
  <property fmtid="{D5CDD505-2E9C-101B-9397-08002B2CF9AE}" pid="16" name="_dlc_DocIdItemGuid">
    <vt:lpwstr>17e420cf-01cb-4263-9412-52eb56b15773</vt:lpwstr>
  </property>
</Properties>
</file>