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8744" w14:textId="29BB201F" w:rsidR="008A325F" w:rsidRDefault="00BE1E0B" w:rsidP="008A325F">
      <w:pPr>
        <w:rPr>
          <w:color w:val="FFFFFF" w:themeColor="background1"/>
          <w:sz w:val="32"/>
          <w:szCs w:val="32"/>
        </w:rPr>
      </w:pPr>
      <w:r>
        <w:rPr>
          <w:noProof/>
          <w:color w:val="FFFFFF" w:themeColor="background1"/>
          <w:sz w:val="32"/>
          <w:szCs w:val="32"/>
        </w:rPr>
        <w:drawing>
          <wp:anchor distT="0" distB="0" distL="114300" distR="114300" simplePos="0" relativeHeight="251655168" behindDoc="1" locked="0" layoutInCell="0" allowOverlap="1" wp14:anchorId="5FF28CC0" wp14:editId="0ACC2194">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3">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325F" w:rsidRPr="00DF7A15">
        <w:rPr>
          <w:noProof/>
        </w:rPr>
        <w:drawing>
          <wp:anchor distT="0" distB="0" distL="114300" distR="114300" simplePos="0" relativeHeight="251659264" behindDoc="0" locked="0" layoutInCell="1" allowOverlap="1" wp14:anchorId="7453D82E" wp14:editId="4F995173">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4">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8A325F">
        <w:rPr>
          <w:color w:val="FFFFFF" w:themeColor="background1"/>
          <w:sz w:val="32"/>
          <w:szCs w:val="32"/>
        </w:rPr>
        <w:t>Cardinia Shire Council</w:t>
      </w:r>
    </w:p>
    <w:p w14:paraId="42A5F925" w14:textId="53500CF3" w:rsidR="008A325F" w:rsidRDefault="008A325F" w:rsidP="008A325F">
      <w:pPr>
        <w:pStyle w:val="Title"/>
        <w:tabs>
          <w:tab w:val="left" w:pos="2184"/>
        </w:tabs>
      </w:pPr>
      <w:r>
        <w:rPr>
          <w:noProof/>
        </w:rPr>
        <w:drawing>
          <wp:anchor distT="0" distB="0" distL="114300" distR="114300" simplePos="0" relativeHeight="251657216" behindDoc="1" locked="0" layoutInCell="1" allowOverlap="1" wp14:anchorId="47D6829E" wp14:editId="227025C8">
            <wp:simplePos x="0" y="0"/>
            <wp:positionH relativeFrom="margin">
              <wp:posOffset>5080</wp:posOffset>
            </wp:positionH>
            <wp:positionV relativeFrom="margin">
              <wp:posOffset>302895</wp:posOffset>
            </wp:positionV>
            <wp:extent cx="537845" cy="426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845" cy="426085"/>
                    </a:xfrm>
                    <a:prstGeom prst="rect">
                      <a:avLst/>
                    </a:prstGeom>
                  </pic:spPr>
                </pic:pic>
              </a:graphicData>
            </a:graphic>
            <wp14:sizeRelH relativeFrom="margin">
              <wp14:pctWidth>0</wp14:pctWidth>
            </wp14:sizeRelH>
            <wp14:sizeRelV relativeFrom="margin">
              <wp14:pctHeight>0</wp14:pctHeight>
            </wp14:sizeRelV>
          </wp:anchor>
        </w:drawing>
      </w:r>
      <w:r w:rsidR="000B7D1E">
        <w:t>Open spaces and places</w:t>
      </w:r>
      <w:r>
        <w:tab/>
      </w:r>
    </w:p>
    <w:p w14:paraId="39B6F18F" w14:textId="77777777" w:rsidR="005403B2" w:rsidRDefault="005403B2" w:rsidP="00284B54">
      <w:pPr>
        <w:rPr>
          <w:noProof/>
        </w:rPr>
      </w:pPr>
    </w:p>
    <w:p w14:paraId="3AA832DA" w14:textId="77777777" w:rsidR="005403B2" w:rsidRDefault="005403B2" w:rsidP="009A0937">
      <w:pPr>
        <w:rPr>
          <w:noProof/>
        </w:rPr>
      </w:pPr>
    </w:p>
    <w:p w14:paraId="43E48E3D" w14:textId="77777777" w:rsidR="005403B2" w:rsidRDefault="005403B2" w:rsidP="009A0937">
      <w:pPr>
        <w:rPr>
          <w:noProof/>
        </w:rPr>
      </w:pPr>
    </w:p>
    <w:p w14:paraId="2ACD6F3A" w14:textId="77777777" w:rsidR="00284B54" w:rsidRDefault="00284B54" w:rsidP="009A0937">
      <w:pPr>
        <w:rPr>
          <w:noProof/>
        </w:rPr>
      </w:pPr>
    </w:p>
    <w:p w14:paraId="30EFD54B" w14:textId="7752917B" w:rsidR="009A0937" w:rsidRDefault="009A0937" w:rsidP="00EE7349">
      <w:pPr>
        <w:rPr>
          <w:noProof/>
        </w:rPr>
      </w:pPr>
    </w:p>
    <w:p w14:paraId="35A417FE" w14:textId="77777777" w:rsidR="00EE7349" w:rsidRDefault="00EE7349" w:rsidP="00EE7349">
      <w:pPr>
        <w:rPr>
          <w:noProof/>
        </w:rPr>
      </w:pPr>
    </w:p>
    <w:p w14:paraId="06CF0D8C" w14:textId="11CE4312" w:rsidR="00064A68" w:rsidRDefault="004C7213" w:rsidP="008C33B6">
      <w:pPr>
        <w:pStyle w:val="Heading1"/>
        <w:rPr>
          <w:noProof/>
          <w:lang w:eastAsia="en-AU"/>
        </w:rPr>
      </w:pPr>
      <w:r>
        <w:rPr>
          <w:noProof/>
          <w:lang w:eastAsia="en-AU"/>
        </w:rPr>
        <w:t>Domain overview</w:t>
      </w:r>
    </w:p>
    <w:p w14:paraId="4E4569C5" w14:textId="5F47F818" w:rsidR="00226E5A" w:rsidRPr="00226E5A" w:rsidRDefault="00226E5A" w:rsidP="00226E5A">
      <w:bookmarkStart w:id="0" w:name="_GoBack"/>
      <w:r>
        <w:t xml:space="preserve">Cardinia Shire is located on the traditional lands of the </w:t>
      </w:r>
      <w:proofErr w:type="spellStart"/>
      <w:r>
        <w:t>Bunurong</w:t>
      </w:r>
      <w:proofErr w:type="spellEnd"/>
      <w:r>
        <w:t xml:space="preserve">, Boon Wurrung and Wurundjeri People of the Kulin Nation. Cardinia Shire’s public open spaces and places provide highly valued biodiversity, recreational corridors and community meeting places. The </w:t>
      </w:r>
      <w:r w:rsidR="57F5BA71">
        <w:t>s</w:t>
      </w:r>
      <w:r>
        <w:t xml:space="preserve">hire’s parks, playgrounds and nature reserves also contribute to the mental and physical wellbeing of our community by providing local destinations for people to enjoy nature and walk, cycle, be active and relax. They provide places for social interaction, critical to creating and maintaining community connections and building a sense of belonging. </w:t>
      </w:r>
    </w:p>
    <w:bookmarkEnd w:id="0"/>
    <w:p w14:paraId="653B341C" w14:textId="687CA447" w:rsidR="00CC459B" w:rsidRDefault="00CC459B" w:rsidP="00CC459B">
      <w:pPr>
        <w:pStyle w:val="Heading2"/>
      </w:pPr>
      <w:r>
        <w:t xml:space="preserve">Strategic </w:t>
      </w:r>
      <w:r w:rsidR="005544CE">
        <w:t>o</w:t>
      </w:r>
      <w:r>
        <w:t>bjective</w:t>
      </w:r>
    </w:p>
    <w:p w14:paraId="10B71B3A" w14:textId="579454C8" w:rsidR="00982E89" w:rsidRPr="00982E89" w:rsidRDefault="00982E89" w:rsidP="00982E89">
      <w:pPr>
        <w:rPr>
          <w:lang w:eastAsia="en-US"/>
        </w:rPr>
      </w:pPr>
      <w:r w:rsidRPr="2949C570">
        <w:rPr>
          <w:lang w:eastAsia="en-US"/>
        </w:rPr>
        <w:t xml:space="preserve">Increased participation in open spaces and places </w:t>
      </w:r>
    </w:p>
    <w:p w14:paraId="575156BD" w14:textId="578BA5A1" w:rsidR="00CC459B" w:rsidRDefault="00CC459B" w:rsidP="00CC459B">
      <w:pPr>
        <w:pStyle w:val="Heading2"/>
      </w:pPr>
      <w:r w:rsidRPr="00CC459B">
        <w:t xml:space="preserve">Links to Council Plan </w:t>
      </w:r>
      <w:r w:rsidRPr="758BB75F">
        <w:t xml:space="preserve"> </w:t>
      </w:r>
    </w:p>
    <w:p w14:paraId="6641D9DD" w14:textId="77777777" w:rsidR="003A2160" w:rsidRDefault="003A2160" w:rsidP="003A2160">
      <w:r>
        <w:t>1.2 Enrich local identity and opportunities for the community to connect through art, history and cultural expression.</w:t>
      </w:r>
    </w:p>
    <w:p w14:paraId="074FF092" w14:textId="77777777" w:rsidR="003A2160" w:rsidRDefault="003A2160" w:rsidP="003A2160">
      <w:r>
        <w:t>2.1 Advocate, plan for and deliver accessible community infrastructure and services that address community need.</w:t>
      </w:r>
    </w:p>
    <w:p w14:paraId="20CCB921" w14:textId="77777777" w:rsidR="003A2160" w:rsidRDefault="003A2160" w:rsidP="003A2160">
      <w:r>
        <w:t>2.2 Plan and maintain safe, inclusive and connected open spaces, places and active travel routes.</w:t>
      </w:r>
    </w:p>
    <w:p w14:paraId="68E6E148" w14:textId="77777777" w:rsidR="003A2160" w:rsidRDefault="003A2160" w:rsidP="003A2160">
      <w:r>
        <w:t xml:space="preserve">3.1 Partner with community, business and industry to </w:t>
      </w:r>
      <w:proofErr w:type="gramStart"/>
      <w:r>
        <w:t>take action</w:t>
      </w:r>
      <w:proofErr w:type="gramEnd"/>
      <w:r>
        <w:t xml:space="preserve"> on, and adapt to, climate change.</w:t>
      </w:r>
    </w:p>
    <w:p w14:paraId="7C5D6D21" w14:textId="77777777" w:rsidR="003A2160" w:rsidRDefault="003A2160" w:rsidP="003A2160">
      <w:r>
        <w:t xml:space="preserve">3.3 Work with community to improve and manage our natural assets, biodiversity and cultural heritage. </w:t>
      </w:r>
    </w:p>
    <w:p w14:paraId="235DF30C" w14:textId="4A9B6319" w:rsidR="003A2160" w:rsidRPr="003A2160" w:rsidRDefault="003A2160" w:rsidP="003A2160">
      <w:r>
        <w:t>3.4 Plan and advocate for better water cycle planning and management to reduce environmental impacts</w:t>
      </w:r>
      <w:r w:rsidR="6B55F3C8">
        <w:t>.</w:t>
      </w:r>
    </w:p>
    <w:p w14:paraId="7FF37908" w14:textId="186BC43B" w:rsidR="00A77077" w:rsidRDefault="00A77077" w:rsidP="005E2F42">
      <w:pPr>
        <w:pStyle w:val="Heading2"/>
      </w:pPr>
      <w:bookmarkStart w:id="1" w:name="_Hlk79493450"/>
      <w:r w:rsidRPr="00A77077">
        <w:t xml:space="preserve">About </w:t>
      </w:r>
      <w:r w:rsidR="000758CE">
        <w:t>o</w:t>
      </w:r>
      <w:r w:rsidRPr="00A77077">
        <w:t xml:space="preserve">pen </w:t>
      </w:r>
      <w:r w:rsidR="000758CE">
        <w:t>s</w:t>
      </w:r>
      <w:r w:rsidRPr="00A77077">
        <w:t xml:space="preserve">paces and </w:t>
      </w:r>
      <w:r w:rsidR="000758CE">
        <w:t>p</w:t>
      </w:r>
      <w:r w:rsidRPr="00A77077">
        <w:t xml:space="preserve">laces </w:t>
      </w:r>
    </w:p>
    <w:p w14:paraId="191A2A04" w14:textId="77777777" w:rsidR="009A0937" w:rsidRDefault="009A0937" w:rsidP="009A0937">
      <w:pPr>
        <w:rPr>
          <w:rStyle w:val="eop"/>
          <w:rFonts w:eastAsiaTheme="majorEastAsia"/>
          <w:color w:val="000000"/>
          <w:shd w:val="clear" w:color="auto" w:fill="FFFFFF"/>
        </w:rPr>
      </w:pPr>
      <w:r>
        <w:rPr>
          <w:rStyle w:val="normaltextrun"/>
          <w:rFonts w:eastAsiaTheme="majorEastAsia"/>
          <w:color w:val="000000"/>
          <w:shd w:val="clear" w:color="auto" w:fill="FFFFFF"/>
        </w:rPr>
        <w:t>Data about open spaces and places in Cardinia Shire identifies:</w:t>
      </w:r>
      <w:r>
        <w:rPr>
          <w:rStyle w:val="eop"/>
          <w:rFonts w:eastAsiaTheme="majorEastAsia"/>
          <w:color w:val="000000"/>
          <w:shd w:val="clear" w:color="auto" w:fill="FFFFFF"/>
        </w:rPr>
        <w:t> </w:t>
      </w:r>
    </w:p>
    <w:p w14:paraId="1BCA99F2" w14:textId="14D58AAA" w:rsidR="009A0937" w:rsidRDefault="009A0937" w:rsidP="009A0937">
      <w:pPr>
        <w:pStyle w:val="Bulletlistmultilevel"/>
        <w:rPr>
          <w:lang w:eastAsia="en-US"/>
        </w:rPr>
      </w:pPr>
      <w:r w:rsidRPr="13AAD4EE">
        <w:rPr>
          <w:lang w:eastAsia="en-US"/>
        </w:rPr>
        <w:t>156 ha of linear reserve connections</w:t>
      </w:r>
      <w:r w:rsidR="633A5BAD" w:rsidRPr="13AAD4EE">
        <w:rPr>
          <w:lang w:eastAsia="en-US"/>
        </w:rPr>
        <w:t>.</w:t>
      </w:r>
      <w:r w:rsidRPr="13AAD4EE">
        <w:rPr>
          <w:lang w:eastAsia="en-US"/>
        </w:rPr>
        <w:t xml:space="preserve"> </w:t>
      </w:r>
    </w:p>
    <w:p w14:paraId="46809F1F" w14:textId="2F16B133" w:rsidR="009A0937" w:rsidRDefault="009A0937" w:rsidP="009A0937">
      <w:pPr>
        <w:pStyle w:val="Bulletlistmultilevel"/>
        <w:rPr>
          <w:lang w:eastAsia="en-US"/>
        </w:rPr>
      </w:pPr>
      <w:r w:rsidRPr="13AAD4EE">
        <w:rPr>
          <w:lang w:eastAsia="en-US"/>
        </w:rPr>
        <w:t>740</w:t>
      </w:r>
      <w:r w:rsidR="00A91283" w:rsidRPr="13AAD4EE">
        <w:rPr>
          <w:lang w:eastAsia="en-US"/>
        </w:rPr>
        <w:t xml:space="preserve"> </w:t>
      </w:r>
      <w:r w:rsidRPr="13AAD4EE">
        <w:rPr>
          <w:lang w:eastAsia="en-US"/>
        </w:rPr>
        <w:t>ha natural resources (including retarding basins)</w:t>
      </w:r>
      <w:r w:rsidR="58898900" w:rsidRPr="13AAD4EE">
        <w:rPr>
          <w:lang w:eastAsia="en-US"/>
        </w:rPr>
        <w:t>.</w:t>
      </w:r>
      <w:r w:rsidRPr="13AAD4EE">
        <w:rPr>
          <w:lang w:eastAsia="en-US"/>
        </w:rPr>
        <w:t xml:space="preserve"> </w:t>
      </w:r>
    </w:p>
    <w:p w14:paraId="4F6549AB" w14:textId="67059F16" w:rsidR="009A0937" w:rsidRDefault="009A0937" w:rsidP="009A0937">
      <w:pPr>
        <w:pStyle w:val="Bulletlistmultilevel"/>
        <w:rPr>
          <w:lang w:eastAsia="en-US"/>
        </w:rPr>
      </w:pPr>
      <w:r w:rsidRPr="13AAD4EE">
        <w:rPr>
          <w:lang w:eastAsia="en-US"/>
        </w:rPr>
        <w:t>403 ha across 247 passive recreation sites</w:t>
      </w:r>
      <w:r w:rsidR="39A8A444" w:rsidRPr="13AAD4EE">
        <w:rPr>
          <w:lang w:eastAsia="en-US"/>
        </w:rPr>
        <w:t>.</w:t>
      </w:r>
      <w:r w:rsidRPr="13AAD4EE">
        <w:rPr>
          <w:lang w:eastAsia="en-US"/>
        </w:rPr>
        <w:t xml:space="preserve"> </w:t>
      </w:r>
    </w:p>
    <w:p w14:paraId="7BC8040D" w14:textId="69E1E3E6" w:rsidR="009A0937" w:rsidRDefault="009A0937" w:rsidP="009A0937">
      <w:pPr>
        <w:pStyle w:val="Bulletlistmultilevel"/>
        <w:rPr>
          <w:lang w:eastAsia="en-US"/>
        </w:rPr>
      </w:pPr>
      <w:r w:rsidRPr="13AAD4EE">
        <w:rPr>
          <w:lang w:eastAsia="en-US"/>
        </w:rPr>
        <w:t>306 ha across 40 active recreation sites</w:t>
      </w:r>
      <w:r w:rsidR="47A82AAC" w:rsidRPr="13AAD4EE">
        <w:rPr>
          <w:lang w:eastAsia="en-US"/>
        </w:rPr>
        <w:t>.</w:t>
      </w:r>
      <w:r w:rsidRPr="13AAD4EE">
        <w:rPr>
          <w:lang w:eastAsia="en-US"/>
        </w:rPr>
        <w:t xml:space="preserve"> </w:t>
      </w:r>
    </w:p>
    <w:p w14:paraId="43506C3F" w14:textId="5FFE07A4" w:rsidR="009A0937" w:rsidRDefault="009A0937" w:rsidP="009A0937">
      <w:pPr>
        <w:pStyle w:val="Bulletlistmultilevel"/>
        <w:rPr>
          <w:lang w:eastAsia="en-US"/>
        </w:rPr>
      </w:pPr>
      <w:r w:rsidRPr="13AAD4EE">
        <w:rPr>
          <w:lang w:eastAsia="en-US"/>
        </w:rPr>
        <w:t>198 playgrounds</w:t>
      </w:r>
      <w:r w:rsidR="7B1EAECA" w:rsidRPr="13AAD4EE">
        <w:rPr>
          <w:lang w:eastAsia="en-US"/>
        </w:rPr>
        <w:t>.</w:t>
      </w:r>
      <w:r w:rsidRPr="13AAD4EE">
        <w:rPr>
          <w:lang w:eastAsia="en-US"/>
        </w:rPr>
        <w:t xml:space="preserve"> </w:t>
      </w:r>
    </w:p>
    <w:p w14:paraId="7F557ABC" w14:textId="61F101E6" w:rsidR="009A0937" w:rsidRDefault="009A0937" w:rsidP="009A0937">
      <w:pPr>
        <w:pStyle w:val="Bulletlistmultilevel"/>
        <w:rPr>
          <w:lang w:eastAsia="en-US"/>
        </w:rPr>
      </w:pPr>
      <w:r w:rsidRPr="13AAD4EE">
        <w:rPr>
          <w:lang w:eastAsia="en-US"/>
        </w:rPr>
        <w:t>1 cultural centre</w:t>
      </w:r>
      <w:r w:rsidR="1461D4E2" w:rsidRPr="13AAD4EE">
        <w:rPr>
          <w:lang w:eastAsia="en-US"/>
        </w:rPr>
        <w:t>.</w:t>
      </w:r>
    </w:p>
    <w:p w14:paraId="0600264E" w14:textId="4C474725" w:rsidR="00A77077" w:rsidRDefault="009A0937" w:rsidP="005E2F42">
      <w:pPr>
        <w:pStyle w:val="Bulletlistmultilevel"/>
        <w:rPr>
          <w:lang w:eastAsia="en-US"/>
        </w:rPr>
      </w:pPr>
      <w:r w:rsidRPr="13AAD4EE">
        <w:rPr>
          <w:lang w:eastAsia="en-US"/>
        </w:rPr>
        <w:t>6 community gardens</w:t>
      </w:r>
      <w:r w:rsidR="207B32B2" w:rsidRPr="13AAD4EE">
        <w:rPr>
          <w:lang w:eastAsia="en-US"/>
        </w:rPr>
        <w:t>.</w:t>
      </w:r>
      <w:r w:rsidRPr="13AAD4EE">
        <w:rPr>
          <w:lang w:eastAsia="en-US"/>
        </w:rPr>
        <w:t xml:space="preserve"> </w:t>
      </w:r>
    </w:p>
    <w:p w14:paraId="210AB8CA" w14:textId="77777777" w:rsidR="008B2971" w:rsidRDefault="008B2971" w:rsidP="008B2971">
      <w:pPr>
        <w:pStyle w:val="Bulletlistmultilevel"/>
        <w:numPr>
          <w:ilvl w:val="0"/>
          <w:numId w:val="0"/>
        </w:numPr>
        <w:ind w:left="357"/>
        <w:rPr>
          <w:lang w:eastAsia="en-US"/>
        </w:rPr>
      </w:pPr>
    </w:p>
    <w:p w14:paraId="62DB4AB7" w14:textId="7263E856" w:rsidR="009A0937" w:rsidRDefault="008B2971" w:rsidP="009A0937">
      <w:pPr>
        <w:rPr>
          <w:rFonts w:ascii="Franklin Gothic Demi" w:eastAsiaTheme="majorEastAsia" w:hAnsi="Franklin Gothic Demi" w:cstheme="majorBidi"/>
          <w:color w:val="00559B" w:themeColor="accent6" w:themeShade="BF"/>
          <w:sz w:val="28"/>
          <w:szCs w:val="26"/>
          <w:lang w:eastAsia="en-US"/>
        </w:rPr>
      </w:pPr>
      <w:r w:rsidRPr="008B2971">
        <w:rPr>
          <w:rFonts w:ascii="Franklin Gothic Demi" w:eastAsiaTheme="majorEastAsia" w:hAnsi="Franklin Gothic Demi" w:cstheme="majorBidi"/>
          <w:color w:val="00559B" w:themeColor="accent6" w:themeShade="BF"/>
          <w:sz w:val="28"/>
          <w:szCs w:val="26"/>
          <w:lang w:eastAsia="en-US"/>
        </w:rPr>
        <w:t xml:space="preserve">Open </w:t>
      </w:r>
      <w:r w:rsidR="000758CE">
        <w:rPr>
          <w:rFonts w:ascii="Franklin Gothic Demi" w:eastAsiaTheme="majorEastAsia" w:hAnsi="Franklin Gothic Demi" w:cstheme="majorBidi"/>
          <w:color w:val="00559B" w:themeColor="accent6" w:themeShade="BF"/>
          <w:sz w:val="28"/>
          <w:szCs w:val="26"/>
          <w:lang w:eastAsia="en-US"/>
        </w:rPr>
        <w:t>s</w:t>
      </w:r>
      <w:r w:rsidRPr="008B2971">
        <w:rPr>
          <w:rFonts w:ascii="Franklin Gothic Demi" w:eastAsiaTheme="majorEastAsia" w:hAnsi="Franklin Gothic Demi" w:cstheme="majorBidi"/>
          <w:color w:val="00559B" w:themeColor="accent6" w:themeShade="BF"/>
          <w:sz w:val="28"/>
          <w:szCs w:val="26"/>
          <w:lang w:eastAsia="en-US"/>
        </w:rPr>
        <w:t xml:space="preserve">paces and </w:t>
      </w:r>
      <w:r w:rsidR="000758CE">
        <w:rPr>
          <w:rFonts w:ascii="Franklin Gothic Demi" w:eastAsiaTheme="majorEastAsia" w:hAnsi="Franklin Gothic Demi" w:cstheme="majorBidi"/>
          <w:color w:val="00559B" w:themeColor="accent6" w:themeShade="BF"/>
          <w:sz w:val="28"/>
          <w:szCs w:val="26"/>
          <w:lang w:eastAsia="en-US"/>
        </w:rPr>
        <w:t>p</w:t>
      </w:r>
      <w:r w:rsidRPr="008B2971">
        <w:rPr>
          <w:rFonts w:ascii="Franklin Gothic Demi" w:eastAsiaTheme="majorEastAsia" w:hAnsi="Franklin Gothic Demi" w:cstheme="majorBidi"/>
          <w:color w:val="00559B" w:themeColor="accent6" w:themeShade="BF"/>
          <w:sz w:val="28"/>
          <w:szCs w:val="26"/>
          <w:lang w:eastAsia="en-US"/>
        </w:rPr>
        <w:t xml:space="preserve">laces </w:t>
      </w:r>
      <w:r w:rsidR="000758CE">
        <w:rPr>
          <w:rFonts w:ascii="Franklin Gothic Demi" w:eastAsiaTheme="majorEastAsia" w:hAnsi="Franklin Gothic Demi" w:cstheme="majorBidi"/>
          <w:color w:val="00559B" w:themeColor="accent6" w:themeShade="BF"/>
          <w:sz w:val="28"/>
          <w:szCs w:val="26"/>
          <w:lang w:eastAsia="en-US"/>
        </w:rPr>
        <w:t>l</w:t>
      </w:r>
      <w:r w:rsidRPr="008B2971">
        <w:rPr>
          <w:rFonts w:ascii="Franklin Gothic Demi" w:eastAsiaTheme="majorEastAsia" w:hAnsi="Franklin Gothic Demi" w:cstheme="majorBidi"/>
          <w:color w:val="00559B" w:themeColor="accent6" w:themeShade="BF"/>
          <w:sz w:val="28"/>
          <w:szCs w:val="26"/>
          <w:lang w:eastAsia="en-US"/>
        </w:rPr>
        <w:t xml:space="preserve">iveability </w:t>
      </w:r>
      <w:r w:rsidR="000758CE">
        <w:rPr>
          <w:rFonts w:ascii="Franklin Gothic Demi" w:eastAsiaTheme="majorEastAsia" w:hAnsi="Franklin Gothic Demi" w:cstheme="majorBidi"/>
          <w:color w:val="00559B" w:themeColor="accent6" w:themeShade="BF"/>
          <w:sz w:val="28"/>
          <w:szCs w:val="26"/>
          <w:lang w:eastAsia="en-US"/>
        </w:rPr>
        <w:t>i</w:t>
      </w:r>
      <w:r w:rsidRPr="008B2971">
        <w:rPr>
          <w:rFonts w:ascii="Franklin Gothic Demi" w:eastAsiaTheme="majorEastAsia" w:hAnsi="Franklin Gothic Demi" w:cstheme="majorBidi"/>
          <w:color w:val="00559B" w:themeColor="accent6" w:themeShade="BF"/>
          <w:sz w:val="28"/>
          <w:szCs w:val="26"/>
          <w:lang w:eastAsia="en-US"/>
        </w:rPr>
        <w:t>ndicators</w:t>
      </w:r>
    </w:p>
    <w:p w14:paraId="25D61242" w14:textId="77777777" w:rsidR="005D5ED5" w:rsidRPr="009E2DE7" w:rsidRDefault="005D5ED5" w:rsidP="005D5ED5">
      <w:pPr>
        <w:pStyle w:val="Bulletlistmultilevel"/>
        <w:rPr>
          <w:rFonts w:eastAsiaTheme="majorEastAsia"/>
          <w:lang w:eastAsia="en-US"/>
        </w:rPr>
      </w:pPr>
      <w:r w:rsidRPr="13AAD4EE">
        <w:rPr>
          <w:lang w:eastAsia="en-US"/>
        </w:rPr>
        <w:t>Average distance to closest public open space.</w:t>
      </w:r>
    </w:p>
    <w:p w14:paraId="20874425" w14:textId="6601D478" w:rsidR="005D5ED5" w:rsidRPr="009E2DE7" w:rsidRDefault="005D5ED5" w:rsidP="005D5ED5">
      <w:pPr>
        <w:pStyle w:val="Bulletlistmultilevel"/>
        <w:rPr>
          <w:rFonts w:eastAsiaTheme="majorEastAsia"/>
          <w:lang w:eastAsia="en-US"/>
        </w:rPr>
      </w:pPr>
      <w:r w:rsidRPr="13AAD4EE">
        <w:rPr>
          <w:lang w:eastAsia="en-US"/>
        </w:rPr>
        <w:t>Percentage (%) of dwellings within 400m or less distance of public open space.</w:t>
      </w:r>
    </w:p>
    <w:p w14:paraId="004E14F0" w14:textId="77777777" w:rsidR="005D5ED5" w:rsidRPr="009E2DE7" w:rsidRDefault="005D5ED5" w:rsidP="005D5ED5">
      <w:pPr>
        <w:pStyle w:val="Bulletlistmultilevel"/>
        <w:rPr>
          <w:rFonts w:eastAsiaTheme="majorEastAsia"/>
          <w:lang w:eastAsia="en-US"/>
        </w:rPr>
      </w:pPr>
      <w:r w:rsidRPr="13AAD4EE">
        <w:rPr>
          <w:lang w:eastAsia="en-US"/>
        </w:rPr>
        <w:t>Average distance to closest public open space larger than 1.5 hectares.</w:t>
      </w:r>
    </w:p>
    <w:p w14:paraId="4E85F854" w14:textId="77777777" w:rsidR="005D5ED5" w:rsidRPr="009E2DE7" w:rsidRDefault="005D5ED5" w:rsidP="005D5ED5">
      <w:pPr>
        <w:pStyle w:val="Bulletlistmultilevel"/>
        <w:rPr>
          <w:rFonts w:eastAsiaTheme="majorEastAsia"/>
          <w:lang w:eastAsia="en-US"/>
        </w:rPr>
      </w:pPr>
      <w:r w:rsidRPr="13AAD4EE">
        <w:rPr>
          <w:lang w:eastAsia="en-US"/>
        </w:rPr>
        <w:t>Percentage (%) of dwellings within 400m of public open space less than 1.5 hectares.</w:t>
      </w:r>
    </w:p>
    <w:p w14:paraId="049490C1" w14:textId="77777777" w:rsidR="005D5ED5" w:rsidRPr="009E2DE7" w:rsidRDefault="005D5ED5" w:rsidP="005D5ED5">
      <w:pPr>
        <w:pStyle w:val="Bulletlistmultilevel"/>
        <w:rPr>
          <w:rFonts w:eastAsiaTheme="majorEastAsia"/>
          <w:lang w:eastAsia="en-US"/>
        </w:rPr>
      </w:pPr>
      <w:r w:rsidRPr="13AAD4EE">
        <w:rPr>
          <w:lang w:eastAsia="en-US"/>
        </w:rPr>
        <w:t>Percentage (%) of dwellings within 400m or less distance of any local park (&gt;0.4 to &lt;=1ha).</w:t>
      </w:r>
    </w:p>
    <w:p w14:paraId="5281DCA2" w14:textId="07667934" w:rsidR="005D5ED5" w:rsidRPr="009E2DE7" w:rsidRDefault="005D5ED5" w:rsidP="13AAD4EE">
      <w:pPr>
        <w:pStyle w:val="Bulletlistmultilevel"/>
        <w:rPr>
          <w:rFonts w:eastAsiaTheme="majorEastAsia"/>
          <w:lang w:eastAsia="en-US"/>
        </w:rPr>
      </w:pPr>
      <w:r w:rsidRPr="13AAD4EE">
        <w:rPr>
          <w:lang w:eastAsia="en-US"/>
        </w:rPr>
        <w:t>Percentage (%) of dwellings within 800m or less distance of any neighbourhood park (&gt;1ha to &lt;=5ha)</w:t>
      </w:r>
      <w:r w:rsidR="2B6FE70E" w:rsidRPr="13AAD4EE">
        <w:rPr>
          <w:lang w:eastAsia="en-US"/>
        </w:rPr>
        <w:t>.</w:t>
      </w:r>
    </w:p>
    <w:p w14:paraId="5AFA063F" w14:textId="7793617A" w:rsidR="005D5ED5" w:rsidRPr="009E2DE7" w:rsidRDefault="005D5ED5" w:rsidP="003047D6">
      <w:pPr>
        <w:pStyle w:val="Bulletlistmultilevel"/>
        <w:spacing w:line="259" w:lineRule="auto"/>
      </w:pPr>
      <w:r w:rsidRPr="13AAD4EE">
        <w:rPr>
          <w:lang w:eastAsia="en-US"/>
        </w:rPr>
        <w:t>Percentage (%) of dwellings within 400m or less distance of a neighbourhood recreation park (&gt;0.5ha)</w:t>
      </w:r>
      <w:r w:rsidR="6E8FC6F7" w:rsidRPr="13AAD4EE">
        <w:rPr>
          <w:lang w:eastAsia="en-US"/>
        </w:rPr>
        <w:t>.</w:t>
      </w:r>
    </w:p>
    <w:p w14:paraId="44CE7F18" w14:textId="77777777" w:rsidR="005D5ED5" w:rsidRPr="00542E15" w:rsidRDefault="005D5ED5" w:rsidP="005D5ED5">
      <w:pPr>
        <w:pStyle w:val="Bulletlistmultilevel"/>
        <w:rPr>
          <w:lang w:eastAsia="en-US"/>
        </w:rPr>
      </w:pPr>
      <w:r w:rsidRPr="13AAD4EE">
        <w:rPr>
          <w:lang w:eastAsia="en-US"/>
        </w:rPr>
        <w:t>Average distance to closest public open space with a nearby public toilet (within 100m).</w:t>
      </w:r>
    </w:p>
    <w:p w14:paraId="276FF66A" w14:textId="77777777" w:rsidR="008B2971" w:rsidRPr="009A0937" w:rsidRDefault="008B2971" w:rsidP="009A0937">
      <w:pPr>
        <w:rPr>
          <w:lang w:eastAsia="en-US"/>
        </w:rPr>
      </w:pPr>
    </w:p>
    <w:bookmarkEnd w:id="1"/>
    <w:p w14:paraId="1021D594" w14:textId="59BABF1B" w:rsidR="0053593A" w:rsidRDefault="0053593A" w:rsidP="00ED1DF8">
      <w:pPr>
        <w:pStyle w:val="Heading2"/>
      </w:pPr>
      <w:r w:rsidRPr="0053593A">
        <w:lastRenderedPageBreak/>
        <w:t xml:space="preserve">The role of </w:t>
      </w:r>
      <w:r w:rsidR="000C3E2D">
        <w:t>o</w:t>
      </w:r>
      <w:r w:rsidRPr="0053593A">
        <w:t xml:space="preserve">pen </w:t>
      </w:r>
      <w:r w:rsidR="000C3E2D">
        <w:t>s</w:t>
      </w:r>
      <w:r w:rsidRPr="0053593A">
        <w:t xml:space="preserve">paces and </w:t>
      </w:r>
      <w:r w:rsidR="000C3E2D">
        <w:t>p</w:t>
      </w:r>
      <w:r w:rsidRPr="0053593A">
        <w:t xml:space="preserve">laces in our COVID-19 </w:t>
      </w:r>
      <w:r w:rsidR="000C3E2D">
        <w:t>r</w:t>
      </w:r>
      <w:r w:rsidRPr="0053593A">
        <w:t xml:space="preserve">ecovery </w:t>
      </w:r>
    </w:p>
    <w:p w14:paraId="38AE03EA" w14:textId="09483992" w:rsidR="008461F2" w:rsidRDefault="008461F2" w:rsidP="008461F2">
      <w:r>
        <w:t xml:space="preserve">Parks and green spaces were of </w:t>
      </w:r>
      <w:r w:rsidR="311BDA69">
        <w:t>great</w:t>
      </w:r>
      <w:r>
        <w:t xml:space="preserve"> importance during COVID-19 restrictions, with exercise being one of the </w:t>
      </w:r>
      <w:r w:rsidR="63AE35DB">
        <w:t>4</w:t>
      </w:r>
      <w:r>
        <w:t xml:space="preserve"> permitted reasons to leave home for much of 202</w:t>
      </w:r>
      <w:r w:rsidR="00CC3E5E">
        <w:t>0</w:t>
      </w:r>
      <w:r>
        <w:t xml:space="preserve">, and an increased number of people working from home. Research indicates that access to parks and green spaces is more critical than ever in supporting our community’s health and wellbeing. With eased restrictions, demand on parks and gardens increased along with competing uses, which require planning and management. </w:t>
      </w:r>
    </w:p>
    <w:p w14:paraId="37828D75" w14:textId="77777777" w:rsidR="0053593A" w:rsidRDefault="0053593A" w:rsidP="0053593A"/>
    <w:p w14:paraId="4A69ABE9" w14:textId="5CA3F8FC" w:rsidR="004A6908" w:rsidRDefault="004A6908" w:rsidP="005473A4">
      <w:pPr>
        <w:pStyle w:val="Heading2"/>
      </w:pPr>
      <w:r w:rsidRPr="004A6908">
        <w:t xml:space="preserve">The role of </w:t>
      </w:r>
      <w:r w:rsidR="000C3E2D">
        <w:t>o</w:t>
      </w:r>
      <w:r w:rsidRPr="004A6908">
        <w:t xml:space="preserve">pen </w:t>
      </w:r>
      <w:r w:rsidR="000C3E2D">
        <w:t>s</w:t>
      </w:r>
      <w:r w:rsidRPr="004A6908">
        <w:t xml:space="preserve">paces and </w:t>
      </w:r>
      <w:r w:rsidR="000C3E2D">
        <w:t>p</w:t>
      </w:r>
      <w:r w:rsidRPr="004A6908">
        <w:t xml:space="preserve">laces in addressing </w:t>
      </w:r>
      <w:r>
        <w:t>c</w:t>
      </w:r>
      <w:r w:rsidRPr="004A6908">
        <w:t xml:space="preserve">limate </w:t>
      </w:r>
      <w:r>
        <w:t>c</w:t>
      </w:r>
      <w:r w:rsidRPr="004A6908">
        <w:t>hange</w:t>
      </w:r>
    </w:p>
    <w:p w14:paraId="4C22AAC2" w14:textId="32D54E89" w:rsidR="00B65EC0" w:rsidRPr="008D47D6" w:rsidRDefault="00B65EC0" w:rsidP="00B65EC0">
      <w:pPr>
        <w:rPr>
          <w:lang w:eastAsia="en-US"/>
        </w:rPr>
      </w:pPr>
      <w:r w:rsidRPr="13AAD4EE">
        <w:rPr>
          <w:lang w:eastAsia="en-US"/>
        </w:rPr>
        <w:t xml:space="preserve">Open spaces and </w:t>
      </w:r>
      <w:r w:rsidR="00CC3E5E" w:rsidRPr="13AAD4EE">
        <w:rPr>
          <w:lang w:eastAsia="en-US"/>
        </w:rPr>
        <w:t>p</w:t>
      </w:r>
      <w:r w:rsidRPr="13AAD4EE">
        <w:rPr>
          <w:lang w:eastAsia="en-US"/>
        </w:rPr>
        <w:t>laces support key functions in addressing climate change by protecting and preserving the many benefits these lands provide to humans, wildlife and vegetation. Some benefits include reducing atmospheric carbon emissions, strengthening the resilience of habitats for native biodiversity, as well as providing activated spaces for community enrichment and recreation. The trees and plants within parklands and open spaces remove carbon emissions and provide opportunities for native biodiversity to adapt to the adverse effects of climate change.</w:t>
      </w:r>
    </w:p>
    <w:p w14:paraId="15919733" w14:textId="77777777" w:rsidR="004A6908" w:rsidRDefault="004A6908" w:rsidP="004A6908"/>
    <w:p w14:paraId="5127A748" w14:textId="08862C90" w:rsidR="002F0876" w:rsidRPr="002F0876" w:rsidRDefault="002F0876" w:rsidP="002F0876">
      <w:pPr>
        <w:rPr>
          <w:rFonts w:ascii="Franklin Gothic Demi" w:eastAsiaTheme="majorEastAsia" w:hAnsi="Franklin Gothic Demi" w:cstheme="majorBidi"/>
          <w:color w:val="00559B" w:themeColor="accent6" w:themeShade="BF"/>
          <w:sz w:val="28"/>
          <w:szCs w:val="26"/>
          <w:lang w:eastAsia="en-US"/>
        </w:rPr>
      </w:pPr>
      <w:r w:rsidRPr="002F0876">
        <w:rPr>
          <w:rFonts w:ascii="Franklin Gothic Demi" w:eastAsiaTheme="majorEastAsia" w:hAnsi="Franklin Gothic Demi" w:cstheme="majorBidi"/>
          <w:color w:val="00559B" w:themeColor="accent6" w:themeShade="BF"/>
          <w:sz w:val="28"/>
          <w:szCs w:val="26"/>
          <w:lang w:eastAsia="en-US"/>
        </w:rPr>
        <w:t xml:space="preserve">When thinking about the future of </w:t>
      </w:r>
      <w:r w:rsidR="000C3E2D">
        <w:rPr>
          <w:rFonts w:ascii="Franklin Gothic Demi" w:eastAsiaTheme="majorEastAsia" w:hAnsi="Franklin Gothic Demi" w:cstheme="majorBidi"/>
          <w:color w:val="00559B" w:themeColor="accent6" w:themeShade="BF"/>
          <w:sz w:val="28"/>
          <w:szCs w:val="26"/>
          <w:lang w:eastAsia="en-US"/>
        </w:rPr>
        <w:t>o</w:t>
      </w:r>
      <w:r w:rsidRPr="002F0876">
        <w:rPr>
          <w:rFonts w:ascii="Franklin Gothic Demi" w:eastAsiaTheme="majorEastAsia" w:hAnsi="Franklin Gothic Demi" w:cstheme="majorBidi"/>
          <w:color w:val="00559B" w:themeColor="accent6" w:themeShade="BF"/>
          <w:sz w:val="28"/>
          <w:szCs w:val="26"/>
          <w:lang w:eastAsia="en-US"/>
        </w:rPr>
        <w:t xml:space="preserve">pen </w:t>
      </w:r>
      <w:r w:rsidR="000C3E2D">
        <w:rPr>
          <w:rFonts w:ascii="Franklin Gothic Demi" w:eastAsiaTheme="majorEastAsia" w:hAnsi="Franklin Gothic Demi" w:cstheme="majorBidi"/>
          <w:color w:val="00559B" w:themeColor="accent6" w:themeShade="BF"/>
          <w:sz w:val="28"/>
          <w:szCs w:val="26"/>
          <w:lang w:eastAsia="en-US"/>
        </w:rPr>
        <w:t>s</w:t>
      </w:r>
      <w:r w:rsidRPr="002F0876">
        <w:rPr>
          <w:rFonts w:ascii="Franklin Gothic Demi" w:eastAsiaTheme="majorEastAsia" w:hAnsi="Franklin Gothic Demi" w:cstheme="majorBidi"/>
          <w:color w:val="00559B" w:themeColor="accent6" w:themeShade="BF"/>
          <w:sz w:val="28"/>
          <w:szCs w:val="26"/>
          <w:lang w:eastAsia="en-US"/>
        </w:rPr>
        <w:t xml:space="preserve">paces and </w:t>
      </w:r>
      <w:r w:rsidR="000C3E2D">
        <w:rPr>
          <w:rFonts w:ascii="Franklin Gothic Demi" w:eastAsiaTheme="majorEastAsia" w:hAnsi="Franklin Gothic Demi" w:cstheme="majorBidi"/>
          <w:color w:val="00559B" w:themeColor="accent6" w:themeShade="BF"/>
          <w:sz w:val="28"/>
          <w:szCs w:val="26"/>
          <w:lang w:eastAsia="en-US"/>
        </w:rPr>
        <w:t>p</w:t>
      </w:r>
      <w:r w:rsidRPr="002F0876">
        <w:rPr>
          <w:rFonts w:ascii="Franklin Gothic Demi" w:eastAsiaTheme="majorEastAsia" w:hAnsi="Franklin Gothic Demi" w:cstheme="majorBidi"/>
          <w:color w:val="00559B" w:themeColor="accent6" w:themeShade="BF"/>
          <w:sz w:val="28"/>
          <w:szCs w:val="26"/>
          <w:lang w:eastAsia="en-US"/>
        </w:rPr>
        <w:t xml:space="preserve">laces, the following issues are relevant: </w:t>
      </w:r>
    </w:p>
    <w:p w14:paraId="08CC12E0" w14:textId="368C8582" w:rsidR="00225BB5" w:rsidRDefault="00225BB5" w:rsidP="00225BB5">
      <w:pPr>
        <w:pStyle w:val="Bulletlistmultilevel"/>
      </w:pPr>
      <w:r>
        <w:t>A hotter and drier climate and sustainable water management</w:t>
      </w:r>
      <w:r w:rsidR="765DC6E5">
        <w:t>.</w:t>
      </w:r>
      <w:r>
        <w:t xml:space="preserve"> </w:t>
      </w:r>
    </w:p>
    <w:p w14:paraId="17FCC88F" w14:textId="75978794" w:rsidR="00225BB5" w:rsidRDefault="00225BB5" w:rsidP="00225BB5">
      <w:pPr>
        <w:pStyle w:val="Bulletlistmultilevel"/>
      </w:pPr>
      <w:r>
        <w:t>Reducing the urban heat island effect</w:t>
      </w:r>
      <w:r w:rsidR="492B209D">
        <w:t>.</w:t>
      </w:r>
    </w:p>
    <w:p w14:paraId="57A6DDBB" w14:textId="6A191FB6" w:rsidR="00225BB5" w:rsidRDefault="00225BB5" w:rsidP="00225BB5">
      <w:pPr>
        <w:pStyle w:val="Bulletlistmultilevel"/>
      </w:pPr>
      <w:r>
        <w:t>Increased competition for open space and sport / recreation facilities, due to population growth</w:t>
      </w:r>
      <w:r w:rsidR="37A8D7F0">
        <w:t>.</w:t>
      </w:r>
    </w:p>
    <w:p w14:paraId="37952939" w14:textId="27937B23" w:rsidR="00225BB5" w:rsidRDefault="00225BB5" w:rsidP="00225BB5">
      <w:pPr>
        <w:pStyle w:val="Bulletlistmultilevel"/>
      </w:pPr>
      <w:r>
        <w:t>The increasing cost of land that limits opportunities to buy new land for public open space</w:t>
      </w:r>
      <w:r w:rsidR="6B73641D">
        <w:t>.</w:t>
      </w:r>
    </w:p>
    <w:p w14:paraId="705B44D3" w14:textId="1189ACF9" w:rsidR="00225BB5" w:rsidRDefault="00225BB5" w:rsidP="003047D6">
      <w:pPr>
        <w:pStyle w:val="Bulletlistmultilevel"/>
        <w:spacing w:line="259" w:lineRule="auto"/>
      </w:pPr>
      <w:r>
        <w:t>An increasing housing and population density that puts pressure on our open spaces</w:t>
      </w:r>
      <w:r w:rsidR="43D992E2">
        <w:t>.</w:t>
      </w:r>
    </w:p>
    <w:p w14:paraId="786C39AD" w14:textId="4124F72B" w:rsidR="00225BB5" w:rsidRDefault="00225BB5" w:rsidP="00225BB5">
      <w:pPr>
        <w:pStyle w:val="Bulletlistmultilevel"/>
      </w:pPr>
      <w:r>
        <w:t>Growing importance of ‘nature play’ opportunities that encourage children to learn about the natural world</w:t>
      </w:r>
      <w:r w:rsidR="370B561A">
        <w:t>.</w:t>
      </w:r>
    </w:p>
    <w:p w14:paraId="6AED98C2" w14:textId="460FD6A8" w:rsidR="00225BB5" w:rsidRDefault="00225BB5" w:rsidP="00225BB5">
      <w:pPr>
        <w:pStyle w:val="Bulletlistmultilevel"/>
      </w:pPr>
      <w:r>
        <w:t>The increasing usage</w:t>
      </w:r>
      <w:r w:rsidR="4D7F37EB">
        <w:t>,</w:t>
      </w:r>
      <w:r>
        <w:t xml:space="preserve"> and at times competing views</w:t>
      </w:r>
      <w:r w:rsidR="4584D727">
        <w:t>,</w:t>
      </w:r>
      <w:r>
        <w:t xml:space="preserve"> of how open spaces are used</w:t>
      </w:r>
      <w:r w:rsidR="49C883DB">
        <w:t>.</w:t>
      </w:r>
      <w:r>
        <w:t xml:space="preserve"> </w:t>
      </w:r>
    </w:p>
    <w:p w14:paraId="380A2E82" w14:textId="10115AE8" w:rsidR="00225BB5" w:rsidRDefault="00225BB5" w:rsidP="00225BB5">
      <w:pPr>
        <w:pStyle w:val="Bulletlistmultilevel"/>
      </w:pPr>
      <w:r>
        <w:t xml:space="preserve">The role of streets and public realm as spaces where community interactions and events happen, and where people choose to spend time. </w:t>
      </w:r>
    </w:p>
    <w:p w14:paraId="79A6F795" w14:textId="1D9EE10F" w:rsidR="00225BB5" w:rsidRDefault="00225BB5" w:rsidP="00225BB5">
      <w:pPr>
        <w:pStyle w:val="Bulletlistmultilevel"/>
      </w:pPr>
      <w:r>
        <w:t>Increased use of public open spaces and the need for lighting for safety and amenities such as drink fountains and seating.</w:t>
      </w:r>
    </w:p>
    <w:p w14:paraId="1574FE7A" w14:textId="1859BB40" w:rsidR="00225BB5" w:rsidRDefault="00225BB5" w:rsidP="00225BB5">
      <w:pPr>
        <w:pStyle w:val="Bulletlistmultilevel"/>
      </w:pPr>
      <w:r>
        <w:t xml:space="preserve">Balancing community expectations for investment in community facilities in a rate capped environment. </w:t>
      </w:r>
    </w:p>
    <w:p w14:paraId="44533ECD" w14:textId="56EDBBF1" w:rsidR="00225BB5" w:rsidRDefault="00225BB5" w:rsidP="00225BB5">
      <w:pPr>
        <w:pStyle w:val="Bulletlistmultilevel"/>
      </w:pPr>
      <w:r>
        <w:t>Increasing expectations on the standard of public open space and amenities</w:t>
      </w:r>
      <w:r w:rsidR="01A58DA6">
        <w:t>.</w:t>
      </w:r>
      <w:r>
        <w:t xml:space="preserve"> </w:t>
      </w:r>
    </w:p>
    <w:p w14:paraId="489D05F4" w14:textId="41E3D4C2" w:rsidR="00225BB5" w:rsidRDefault="00225BB5" w:rsidP="00225BB5">
      <w:pPr>
        <w:pStyle w:val="Bulletlistmultilevel"/>
      </w:pPr>
      <w:r>
        <w:t>Community desire for quality open spaces close to home</w:t>
      </w:r>
      <w:r w:rsidR="10224ED1">
        <w:t>.</w:t>
      </w:r>
      <w:r>
        <w:t xml:space="preserve"> </w:t>
      </w:r>
    </w:p>
    <w:p w14:paraId="4AFA466B" w14:textId="09D02A90" w:rsidR="00225BB5" w:rsidRDefault="00225BB5" w:rsidP="00225BB5">
      <w:pPr>
        <w:pStyle w:val="Bulletlistmultilevel"/>
      </w:pPr>
      <w:r>
        <w:t>Renewing and increasing our street and park tree population</w:t>
      </w:r>
      <w:r w:rsidR="55755403">
        <w:t>.</w:t>
      </w:r>
      <w:r>
        <w:t xml:space="preserve"> </w:t>
      </w:r>
    </w:p>
    <w:p w14:paraId="7E6C5C78" w14:textId="5058BBD5" w:rsidR="00225BB5" w:rsidRDefault="00225BB5" w:rsidP="00225BB5">
      <w:pPr>
        <w:pStyle w:val="Bulletlistmultilevel"/>
      </w:pPr>
      <w:r>
        <w:t>Increase in the number of older residents and the retirement of ‘baby boomers’</w:t>
      </w:r>
      <w:r w:rsidR="2513AF4F">
        <w:t>,</w:t>
      </w:r>
      <w:r>
        <w:t xml:space="preserve"> including how they will spend their leisure time.</w:t>
      </w:r>
    </w:p>
    <w:p w14:paraId="1E24737D" w14:textId="6429703B" w:rsidR="00225BB5" w:rsidRDefault="00225BB5" w:rsidP="00225BB5">
      <w:pPr>
        <w:pStyle w:val="Bulletlistmultilevel"/>
      </w:pPr>
      <w:r>
        <w:t xml:space="preserve">An increasing need for community facilities to be flexible and adapt to changing needs, including being used by people to experience a sense of connection/inclusion. </w:t>
      </w:r>
    </w:p>
    <w:p w14:paraId="776F3AAE" w14:textId="7B7F5229" w:rsidR="00225BB5" w:rsidRDefault="00225BB5" w:rsidP="00225BB5">
      <w:pPr>
        <w:pStyle w:val="Bulletlistmultilevel"/>
      </w:pPr>
      <w:r>
        <w:t xml:space="preserve">Increasing loneliness and social isolation, which was amplified by COVID-19 restrictions. </w:t>
      </w:r>
    </w:p>
    <w:p w14:paraId="078C4CD2" w14:textId="20262C60" w:rsidR="00AC07E0" w:rsidRPr="00AC07E0" w:rsidRDefault="00225BB5" w:rsidP="00225BB5">
      <w:pPr>
        <w:pStyle w:val="Bulletlistmultilevel"/>
      </w:pPr>
      <w:r>
        <w:t>Improving access to open space for community enjoyment</w:t>
      </w:r>
      <w:r w:rsidR="2BAAB452">
        <w:t>.</w:t>
      </w:r>
      <w:r>
        <w:t xml:space="preserve">  </w:t>
      </w:r>
    </w:p>
    <w:sectPr w:rsidR="00AC07E0" w:rsidRPr="00AC07E0" w:rsidSect="008128EA">
      <w:footerReference w:type="default" r:id="rId16"/>
      <w:pgSz w:w="11906" w:h="16838" w:code="9"/>
      <w:pgMar w:top="851"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8F1A" w14:textId="77777777" w:rsidR="001762C5" w:rsidRDefault="001762C5" w:rsidP="00756052">
      <w:r>
        <w:separator/>
      </w:r>
    </w:p>
    <w:p w14:paraId="7AEADF50" w14:textId="77777777" w:rsidR="001762C5" w:rsidRDefault="001762C5"/>
  </w:endnote>
  <w:endnote w:type="continuationSeparator" w:id="0">
    <w:p w14:paraId="7280058D" w14:textId="77777777" w:rsidR="001762C5" w:rsidRDefault="001762C5" w:rsidP="00756052">
      <w:r>
        <w:continuationSeparator/>
      </w:r>
    </w:p>
    <w:p w14:paraId="3461E8C3" w14:textId="77777777" w:rsidR="001762C5" w:rsidRDefault="001762C5"/>
  </w:endnote>
  <w:endnote w:type="continuationNotice" w:id="1">
    <w:p w14:paraId="3593C14D" w14:textId="77777777" w:rsidR="001762C5" w:rsidRDefault="00176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p w14:paraId="1F15CF10" w14:textId="77777777" w:rsidR="00CC2557" w:rsidRDefault="00CC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C648" w14:textId="77777777" w:rsidR="001762C5" w:rsidRDefault="001762C5" w:rsidP="00756052">
      <w:r>
        <w:separator/>
      </w:r>
    </w:p>
    <w:p w14:paraId="1DD4B73D" w14:textId="77777777" w:rsidR="001762C5" w:rsidRDefault="001762C5"/>
  </w:footnote>
  <w:footnote w:type="continuationSeparator" w:id="0">
    <w:p w14:paraId="307904C0" w14:textId="77777777" w:rsidR="001762C5" w:rsidRDefault="001762C5" w:rsidP="00756052">
      <w:r>
        <w:continuationSeparator/>
      </w:r>
    </w:p>
    <w:p w14:paraId="2DB8025B" w14:textId="77777777" w:rsidR="001762C5" w:rsidRDefault="001762C5"/>
  </w:footnote>
  <w:footnote w:type="continuationNotice" w:id="1">
    <w:p w14:paraId="1F384695" w14:textId="77777777" w:rsidR="001762C5" w:rsidRDefault="001762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15262"/>
    <w:multiLevelType w:val="hybridMultilevel"/>
    <w:tmpl w:val="B00A0980"/>
    <w:lvl w:ilvl="0" w:tplc="13D8BAE0">
      <w:start w:val="3"/>
      <w:numFmt w:val="bullet"/>
      <w:lvlText w:val=""/>
      <w:lvlJc w:val="left"/>
      <w:pPr>
        <w:ind w:left="720" w:hanging="360"/>
      </w:pPr>
      <w:rPr>
        <w:rFonts w:ascii="Symbol" w:eastAsiaTheme="majorEastAsia" w:hAnsi="Symbol"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9"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2"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F3C65"/>
    <w:multiLevelType w:val="hybridMultilevel"/>
    <w:tmpl w:val="FFFFFFFF"/>
    <w:lvl w:ilvl="0" w:tplc="543605E6">
      <w:start w:val="1"/>
      <w:numFmt w:val="bullet"/>
      <w:lvlText w:val="·"/>
      <w:lvlJc w:val="left"/>
      <w:pPr>
        <w:ind w:left="720" w:hanging="360"/>
      </w:pPr>
      <w:rPr>
        <w:rFonts w:ascii="Symbol" w:hAnsi="Symbol" w:hint="default"/>
      </w:rPr>
    </w:lvl>
    <w:lvl w:ilvl="1" w:tplc="B3CE550C">
      <w:start w:val="1"/>
      <w:numFmt w:val="decimal"/>
      <w:lvlText w:val="%2."/>
      <w:lvlJc w:val="left"/>
      <w:pPr>
        <w:ind w:left="1440" w:hanging="360"/>
      </w:pPr>
      <w:rPr>
        <w:rFonts w:hint="default"/>
      </w:rPr>
    </w:lvl>
    <w:lvl w:ilvl="2" w:tplc="43E4DEE0">
      <w:start w:val="1"/>
      <w:numFmt w:val="bullet"/>
      <w:lvlText w:val=""/>
      <w:lvlJc w:val="left"/>
      <w:pPr>
        <w:ind w:left="2160" w:hanging="360"/>
      </w:pPr>
      <w:rPr>
        <w:rFonts w:ascii="Wingdings" w:hAnsi="Wingdings" w:hint="default"/>
      </w:rPr>
    </w:lvl>
    <w:lvl w:ilvl="3" w:tplc="BC38637A">
      <w:start w:val="1"/>
      <w:numFmt w:val="bullet"/>
      <w:lvlText w:val=""/>
      <w:lvlJc w:val="left"/>
      <w:pPr>
        <w:ind w:left="2880" w:hanging="360"/>
      </w:pPr>
      <w:rPr>
        <w:rFonts w:ascii="Symbol" w:hAnsi="Symbol" w:hint="default"/>
      </w:rPr>
    </w:lvl>
    <w:lvl w:ilvl="4" w:tplc="9B4A09D6">
      <w:start w:val="1"/>
      <w:numFmt w:val="bullet"/>
      <w:lvlText w:val="o"/>
      <w:lvlJc w:val="left"/>
      <w:pPr>
        <w:ind w:left="3600" w:hanging="360"/>
      </w:pPr>
      <w:rPr>
        <w:rFonts w:ascii="Courier New" w:hAnsi="Courier New" w:hint="default"/>
      </w:rPr>
    </w:lvl>
    <w:lvl w:ilvl="5" w:tplc="A906CEAA">
      <w:start w:val="1"/>
      <w:numFmt w:val="bullet"/>
      <w:lvlText w:val=""/>
      <w:lvlJc w:val="left"/>
      <w:pPr>
        <w:ind w:left="4320" w:hanging="360"/>
      </w:pPr>
      <w:rPr>
        <w:rFonts w:ascii="Wingdings" w:hAnsi="Wingdings" w:hint="default"/>
      </w:rPr>
    </w:lvl>
    <w:lvl w:ilvl="6" w:tplc="D8DAE07C">
      <w:start w:val="1"/>
      <w:numFmt w:val="bullet"/>
      <w:lvlText w:val=""/>
      <w:lvlJc w:val="left"/>
      <w:pPr>
        <w:ind w:left="5040" w:hanging="360"/>
      </w:pPr>
      <w:rPr>
        <w:rFonts w:ascii="Symbol" w:hAnsi="Symbol" w:hint="default"/>
      </w:rPr>
    </w:lvl>
    <w:lvl w:ilvl="7" w:tplc="73E81608">
      <w:start w:val="1"/>
      <w:numFmt w:val="bullet"/>
      <w:lvlText w:val="o"/>
      <w:lvlJc w:val="left"/>
      <w:pPr>
        <w:ind w:left="5760" w:hanging="360"/>
      </w:pPr>
      <w:rPr>
        <w:rFonts w:ascii="Courier New" w:hAnsi="Courier New" w:hint="default"/>
      </w:rPr>
    </w:lvl>
    <w:lvl w:ilvl="8" w:tplc="A1A823F8">
      <w:start w:val="1"/>
      <w:numFmt w:val="bullet"/>
      <w:lvlText w:val=""/>
      <w:lvlJc w:val="left"/>
      <w:pPr>
        <w:ind w:left="6480" w:hanging="360"/>
      </w:pPr>
      <w:rPr>
        <w:rFonts w:ascii="Wingdings" w:hAnsi="Wingdings" w:hint="default"/>
      </w:rPr>
    </w:lvl>
  </w:abstractNum>
  <w:abstractNum w:abstractNumId="18"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3E55C87"/>
    <w:multiLevelType w:val="hybridMultilevel"/>
    <w:tmpl w:val="866EB94A"/>
    <w:styleLink w:val="CSCBulletlist"/>
    <w:lvl w:ilvl="0" w:tplc="6BC604AC">
      <w:start w:val="1"/>
      <w:numFmt w:val="bullet"/>
      <w:pStyle w:val="Bulletlistmultilevel"/>
      <w:lvlText w:val=""/>
      <w:lvlJc w:val="left"/>
      <w:pPr>
        <w:ind w:left="357" w:hanging="357"/>
      </w:pPr>
      <w:rPr>
        <w:rFonts w:ascii="Symbol" w:hAnsi="Symbol" w:hint="default"/>
      </w:rPr>
    </w:lvl>
    <w:lvl w:ilvl="1" w:tplc="773E1F04">
      <w:start w:val="1"/>
      <w:numFmt w:val="bullet"/>
      <w:pStyle w:val="Bulletlevel2CSC"/>
      <w:lvlText w:val="–"/>
      <w:lvlJc w:val="left"/>
      <w:pPr>
        <w:ind w:left="714" w:hanging="357"/>
      </w:pPr>
      <w:rPr>
        <w:rFonts w:ascii="Franklin Gothic Book" w:hAnsi="Franklin Gothic Book" w:hint="default"/>
      </w:rPr>
    </w:lvl>
    <w:lvl w:ilvl="2" w:tplc="5BBCCCFE">
      <w:start w:val="1"/>
      <w:numFmt w:val="bullet"/>
      <w:pStyle w:val="Bulletlevel3CSC"/>
      <w:lvlText w:val=""/>
      <w:lvlJc w:val="left"/>
      <w:pPr>
        <w:ind w:left="1071" w:hanging="357"/>
      </w:pPr>
      <w:rPr>
        <w:rFonts w:ascii="Symbol" w:hAnsi="Symbol" w:hint="default"/>
      </w:rPr>
    </w:lvl>
    <w:lvl w:ilvl="3" w:tplc="E146D556">
      <w:start w:val="1"/>
      <w:numFmt w:val="decimal"/>
      <w:lvlText w:val=""/>
      <w:lvlJc w:val="left"/>
      <w:pPr>
        <w:ind w:left="1428" w:hanging="357"/>
      </w:pPr>
    </w:lvl>
    <w:lvl w:ilvl="4" w:tplc="DA7A3B18">
      <w:start w:val="1"/>
      <w:numFmt w:val="decimal"/>
      <w:lvlText w:val=""/>
      <w:lvlJc w:val="left"/>
      <w:pPr>
        <w:ind w:left="1785" w:hanging="357"/>
      </w:pPr>
    </w:lvl>
    <w:lvl w:ilvl="5" w:tplc="93D00CB8">
      <w:start w:val="1"/>
      <w:numFmt w:val="decimal"/>
      <w:lvlText w:val=""/>
      <w:lvlJc w:val="left"/>
      <w:pPr>
        <w:ind w:left="2142" w:hanging="357"/>
      </w:pPr>
    </w:lvl>
    <w:lvl w:ilvl="6" w:tplc="4F40B184">
      <w:start w:val="1"/>
      <w:numFmt w:val="decimal"/>
      <w:lvlText w:val=""/>
      <w:lvlJc w:val="left"/>
      <w:pPr>
        <w:ind w:left="2499" w:hanging="357"/>
      </w:pPr>
    </w:lvl>
    <w:lvl w:ilvl="7" w:tplc="BD8651B2">
      <w:start w:val="1"/>
      <w:numFmt w:val="decimal"/>
      <w:lvlText w:val=""/>
      <w:lvlJc w:val="left"/>
      <w:pPr>
        <w:ind w:left="2856" w:hanging="357"/>
      </w:pPr>
    </w:lvl>
    <w:lvl w:ilvl="8" w:tplc="AD1C8A04">
      <w:start w:val="1"/>
      <w:numFmt w:val="decimal"/>
      <w:lvlText w:val=""/>
      <w:lvlJc w:val="left"/>
      <w:pPr>
        <w:ind w:left="3213" w:hanging="357"/>
      </w:pPr>
    </w:lvl>
  </w:abstractNum>
  <w:abstractNum w:abstractNumId="20"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2"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8"/>
  </w:num>
  <w:num w:numId="3">
    <w:abstractNumId w:val="2"/>
  </w:num>
  <w:num w:numId="4">
    <w:abstractNumId w:val="2"/>
  </w:num>
  <w:num w:numId="5">
    <w:abstractNumId w:val="4"/>
  </w:num>
  <w:num w:numId="6">
    <w:abstractNumId w:val="4"/>
  </w:num>
  <w:num w:numId="7">
    <w:abstractNumId w:val="7"/>
  </w:num>
  <w:num w:numId="8">
    <w:abstractNumId w:val="18"/>
  </w:num>
  <w:num w:numId="9">
    <w:abstractNumId w:val="0"/>
  </w:num>
  <w:num w:numId="10">
    <w:abstractNumId w:val="21"/>
  </w:num>
  <w:num w:numId="11">
    <w:abstractNumId w:val="11"/>
  </w:num>
  <w:num w:numId="12">
    <w:abstractNumId w:val="14"/>
  </w:num>
  <w:num w:numId="13">
    <w:abstractNumId w:val="13"/>
  </w:num>
  <w:num w:numId="14">
    <w:abstractNumId w:val="10"/>
  </w:num>
  <w:num w:numId="15">
    <w:abstractNumId w:val="0"/>
  </w:num>
  <w:num w:numId="16">
    <w:abstractNumId w:val="19"/>
  </w:num>
  <w:num w:numId="17">
    <w:abstractNumId w:val="19"/>
  </w:num>
  <w:num w:numId="18">
    <w:abstractNumId w:val="19"/>
  </w:num>
  <w:num w:numId="19">
    <w:abstractNumId w:val="0"/>
  </w:num>
  <w:num w:numId="20">
    <w:abstractNumId w:val="0"/>
  </w:num>
  <w:num w:numId="21">
    <w:abstractNumId w:val="0"/>
  </w:num>
  <w:num w:numId="22">
    <w:abstractNumId w:val="20"/>
  </w:num>
  <w:num w:numId="23">
    <w:abstractNumId w:val="16"/>
  </w:num>
  <w:num w:numId="24">
    <w:abstractNumId w:val="15"/>
  </w:num>
  <w:num w:numId="25">
    <w:abstractNumId w:val="5"/>
  </w:num>
  <w:num w:numId="26">
    <w:abstractNumId w:val="12"/>
  </w:num>
  <w:num w:numId="27">
    <w:abstractNumId w:val="9"/>
  </w:num>
  <w:num w:numId="28">
    <w:abstractNumId w:val="1"/>
  </w:num>
  <w:num w:numId="29">
    <w:abstractNumId w:val="23"/>
  </w:num>
  <w:num w:numId="30">
    <w:abstractNumId w:val="3"/>
  </w:num>
  <w:num w:numId="31">
    <w:abstractNumId w:val="22"/>
  </w:num>
  <w:num w:numId="32">
    <w:abstractNumId w:val="17"/>
  </w:num>
  <w:num w:numId="3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5A9A"/>
    <w:rsid w:val="000065FA"/>
    <w:rsid w:val="0001029C"/>
    <w:rsid w:val="00027AC5"/>
    <w:rsid w:val="000300C4"/>
    <w:rsid w:val="00033AC3"/>
    <w:rsid w:val="00034D73"/>
    <w:rsid w:val="000353BD"/>
    <w:rsid w:val="000405A2"/>
    <w:rsid w:val="00045C32"/>
    <w:rsid w:val="00046498"/>
    <w:rsid w:val="00046E8A"/>
    <w:rsid w:val="00047F61"/>
    <w:rsid w:val="00055C7A"/>
    <w:rsid w:val="00063997"/>
    <w:rsid w:val="00064A68"/>
    <w:rsid w:val="00065254"/>
    <w:rsid w:val="00065C0D"/>
    <w:rsid w:val="00074A01"/>
    <w:rsid w:val="000758CE"/>
    <w:rsid w:val="0008005A"/>
    <w:rsid w:val="0008026E"/>
    <w:rsid w:val="00082AD3"/>
    <w:rsid w:val="000851DC"/>
    <w:rsid w:val="00092F88"/>
    <w:rsid w:val="00092FBA"/>
    <w:rsid w:val="00093396"/>
    <w:rsid w:val="0009420D"/>
    <w:rsid w:val="000A1287"/>
    <w:rsid w:val="000A4852"/>
    <w:rsid w:val="000A4C5C"/>
    <w:rsid w:val="000A5213"/>
    <w:rsid w:val="000B7D1E"/>
    <w:rsid w:val="000C1A4E"/>
    <w:rsid w:val="000C235B"/>
    <w:rsid w:val="000C3551"/>
    <w:rsid w:val="000C3E2D"/>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2513"/>
    <w:rsid w:val="00117201"/>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762C5"/>
    <w:rsid w:val="001811D4"/>
    <w:rsid w:val="0018257D"/>
    <w:rsid w:val="00182E61"/>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7B39"/>
    <w:rsid w:val="001F03C8"/>
    <w:rsid w:val="001F0D0B"/>
    <w:rsid w:val="001F0E8F"/>
    <w:rsid w:val="001F27BF"/>
    <w:rsid w:val="001F71EC"/>
    <w:rsid w:val="00201284"/>
    <w:rsid w:val="0020275D"/>
    <w:rsid w:val="00202FFD"/>
    <w:rsid w:val="002070BA"/>
    <w:rsid w:val="002122F6"/>
    <w:rsid w:val="0021486E"/>
    <w:rsid w:val="002174D6"/>
    <w:rsid w:val="002179B8"/>
    <w:rsid w:val="00221B33"/>
    <w:rsid w:val="00223B8D"/>
    <w:rsid w:val="00223D30"/>
    <w:rsid w:val="00223D74"/>
    <w:rsid w:val="00225383"/>
    <w:rsid w:val="00225BB5"/>
    <w:rsid w:val="0022626D"/>
    <w:rsid w:val="00226E5A"/>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385"/>
    <w:rsid w:val="00283A4B"/>
    <w:rsid w:val="00284355"/>
    <w:rsid w:val="00284B54"/>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0876"/>
    <w:rsid w:val="002F334D"/>
    <w:rsid w:val="003003DB"/>
    <w:rsid w:val="0030112F"/>
    <w:rsid w:val="00302984"/>
    <w:rsid w:val="00302AFC"/>
    <w:rsid w:val="003047D6"/>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216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874"/>
    <w:rsid w:val="00437C9B"/>
    <w:rsid w:val="00443B76"/>
    <w:rsid w:val="004475BB"/>
    <w:rsid w:val="0045133A"/>
    <w:rsid w:val="00451530"/>
    <w:rsid w:val="004545E7"/>
    <w:rsid w:val="0046071D"/>
    <w:rsid w:val="00461AE2"/>
    <w:rsid w:val="00463134"/>
    <w:rsid w:val="00465919"/>
    <w:rsid w:val="00473070"/>
    <w:rsid w:val="00474E1C"/>
    <w:rsid w:val="00475601"/>
    <w:rsid w:val="0049015B"/>
    <w:rsid w:val="0049161A"/>
    <w:rsid w:val="00494B2B"/>
    <w:rsid w:val="00495D95"/>
    <w:rsid w:val="00497911"/>
    <w:rsid w:val="004A0784"/>
    <w:rsid w:val="004A0CE3"/>
    <w:rsid w:val="004A1AB0"/>
    <w:rsid w:val="004A6908"/>
    <w:rsid w:val="004B04D7"/>
    <w:rsid w:val="004B0C4B"/>
    <w:rsid w:val="004B2EEE"/>
    <w:rsid w:val="004B5FC4"/>
    <w:rsid w:val="004B7502"/>
    <w:rsid w:val="004C1D0D"/>
    <w:rsid w:val="004C6B4A"/>
    <w:rsid w:val="004C7213"/>
    <w:rsid w:val="004C7240"/>
    <w:rsid w:val="004C7F7B"/>
    <w:rsid w:val="004D5EA5"/>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593A"/>
    <w:rsid w:val="00536EF9"/>
    <w:rsid w:val="005403B2"/>
    <w:rsid w:val="005473A4"/>
    <w:rsid w:val="005479E6"/>
    <w:rsid w:val="00551934"/>
    <w:rsid w:val="005544CE"/>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0D00"/>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D5ED5"/>
    <w:rsid w:val="005E067A"/>
    <w:rsid w:val="005E2F42"/>
    <w:rsid w:val="005E4993"/>
    <w:rsid w:val="005E6A56"/>
    <w:rsid w:val="005E799E"/>
    <w:rsid w:val="005F2251"/>
    <w:rsid w:val="005F419E"/>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A635F"/>
    <w:rsid w:val="006B0415"/>
    <w:rsid w:val="006B0A7F"/>
    <w:rsid w:val="006B3FB9"/>
    <w:rsid w:val="006B71B5"/>
    <w:rsid w:val="006C1C35"/>
    <w:rsid w:val="006C4F09"/>
    <w:rsid w:val="006D095A"/>
    <w:rsid w:val="006D3928"/>
    <w:rsid w:val="006D417A"/>
    <w:rsid w:val="006D61AD"/>
    <w:rsid w:val="006D6CD2"/>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66CD"/>
    <w:rsid w:val="007A7F45"/>
    <w:rsid w:val="007B02EE"/>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28B0"/>
    <w:rsid w:val="008128EA"/>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61F2"/>
    <w:rsid w:val="00847EEB"/>
    <w:rsid w:val="0085039E"/>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325F"/>
    <w:rsid w:val="008A721E"/>
    <w:rsid w:val="008B2971"/>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5371"/>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1794"/>
    <w:rsid w:val="00982E89"/>
    <w:rsid w:val="00983405"/>
    <w:rsid w:val="0098392F"/>
    <w:rsid w:val="009966E5"/>
    <w:rsid w:val="00996B54"/>
    <w:rsid w:val="00997DF0"/>
    <w:rsid w:val="009A0937"/>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077"/>
    <w:rsid w:val="00A77D00"/>
    <w:rsid w:val="00A81CF4"/>
    <w:rsid w:val="00A822AF"/>
    <w:rsid w:val="00A823AD"/>
    <w:rsid w:val="00A851B0"/>
    <w:rsid w:val="00A858E7"/>
    <w:rsid w:val="00A862FD"/>
    <w:rsid w:val="00A86769"/>
    <w:rsid w:val="00A91283"/>
    <w:rsid w:val="00A9143D"/>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30C4"/>
    <w:rsid w:val="00B430F0"/>
    <w:rsid w:val="00B44859"/>
    <w:rsid w:val="00B50B15"/>
    <w:rsid w:val="00B510C3"/>
    <w:rsid w:val="00B51847"/>
    <w:rsid w:val="00B5257B"/>
    <w:rsid w:val="00B525ED"/>
    <w:rsid w:val="00B54DE4"/>
    <w:rsid w:val="00B6253A"/>
    <w:rsid w:val="00B628C0"/>
    <w:rsid w:val="00B64078"/>
    <w:rsid w:val="00B64B83"/>
    <w:rsid w:val="00B65477"/>
    <w:rsid w:val="00B65EC0"/>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1E0B"/>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47FB0"/>
    <w:rsid w:val="00C615D1"/>
    <w:rsid w:val="00C61E7F"/>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557"/>
    <w:rsid w:val="00CC2A4B"/>
    <w:rsid w:val="00CC3E5E"/>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34E"/>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0BBB"/>
    <w:rsid w:val="00D51B1A"/>
    <w:rsid w:val="00D55D1A"/>
    <w:rsid w:val="00D62348"/>
    <w:rsid w:val="00D63305"/>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4DA9"/>
    <w:rsid w:val="00E27DA1"/>
    <w:rsid w:val="00E30C15"/>
    <w:rsid w:val="00E31563"/>
    <w:rsid w:val="00E337AF"/>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CF"/>
    <w:rsid w:val="00EA5359"/>
    <w:rsid w:val="00EA5DBF"/>
    <w:rsid w:val="00EA7DAF"/>
    <w:rsid w:val="00EB1AD4"/>
    <w:rsid w:val="00EB2530"/>
    <w:rsid w:val="00EB27A2"/>
    <w:rsid w:val="00EB6A86"/>
    <w:rsid w:val="00EC0CE9"/>
    <w:rsid w:val="00EC0E3E"/>
    <w:rsid w:val="00ED13A5"/>
    <w:rsid w:val="00ED1DF8"/>
    <w:rsid w:val="00ED271E"/>
    <w:rsid w:val="00ED44C4"/>
    <w:rsid w:val="00ED4913"/>
    <w:rsid w:val="00ED4B8C"/>
    <w:rsid w:val="00ED51C4"/>
    <w:rsid w:val="00ED5663"/>
    <w:rsid w:val="00ED751D"/>
    <w:rsid w:val="00EE0AD5"/>
    <w:rsid w:val="00EE2D45"/>
    <w:rsid w:val="00EE43FF"/>
    <w:rsid w:val="00EE51E0"/>
    <w:rsid w:val="00EE53C5"/>
    <w:rsid w:val="00EE65A6"/>
    <w:rsid w:val="00EE7349"/>
    <w:rsid w:val="00EF01AB"/>
    <w:rsid w:val="00EF2A91"/>
    <w:rsid w:val="00EF3A68"/>
    <w:rsid w:val="00F02AD2"/>
    <w:rsid w:val="00F051C6"/>
    <w:rsid w:val="00F076B3"/>
    <w:rsid w:val="00F10B16"/>
    <w:rsid w:val="00F1138E"/>
    <w:rsid w:val="00F137C3"/>
    <w:rsid w:val="00F158AD"/>
    <w:rsid w:val="00F16B8E"/>
    <w:rsid w:val="00F17D5B"/>
    <w:rsid w:val="00F17EE1"/>
    <w:rsid w:val="00F219F7"/>
    <w:rsid w:val="00F21FB5"/>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6CD"/>
    <w:rsid w:val="00FA6D68"/>
    <w:rsid w:val="00FA6E5B"/>
    <w:rsid w:val="00FB248E"/>
    <w:rsid w:val="00FB388C"/>
    <w:rsid w:val="00FB3BFA"/>
    <w:rsid w:val="00FB40F3"/>
    <w:rsid w:val="00FB503C"/>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1A58DA6"/>
    <w:rsid w:val="10224ED1"/>
    <w:rsid w:val="1170456B"/>
    <w:rsid w:val="13AAD4EE"/>
    <w:rsid w:val="1461D4E2"/>
    <w:rsid w:val="18329187"/>
    <w:rsid w:val="1A85AFAF"/>
    <w:rsid w:val="1EF1439D"/>
    <w:rsid w:val="207B32B2"/>
    <w:rsid w:val="2513AF4F"/>
    <w:rsid w:val="2B6FE70E"/>
    <w:rsid w:val="2BAAB452"/>
    <w:rsid w:val="311BDA69"/>
    <w:rsid w:val="3466028E"/>
    <w:rsid w:val="370B561A"/>
    <w:rsid w:val="37A8D7F0"/>
    <w:rsid w:val="39767E15"/>
    <w:rsid w:val="39A8A444"/>
    <w:rsid w:val="43855AA8"/>
    <w:rsid w:val="43D992E2"/>
    <w:rsid w:val="4584D727"/>
    <w:rsid w:val="47A82AAC"/>
    <w:rsid w:val="47BBB4A0"/>
    <w:rsid w:val="492B209D"/>
    <w:rsid w:val="49C883DB"/>
    <w:rsid w:val="4C8F25C3"/>
    <w:rsid w:val="4D7F37EB"/>
    <w:rsid w:val="55755403"/>
    <w:rsid w:val="57F5BA71"/>
    <w:rsid w:val="58898900"/>
    <w:rsid w:val="633A5BAD"/>
    <w:rsid w:val="63AE35DB"/>
    <w:rsid w:val="6B55F3C8"/>
    <w:rsid w:val="6B73641D"/>
    <w:rsid w:val="6D09EF00"/>
    <w:rsid w:val="6E8FC6F7"/>
    <w:rsid w:val="765DC6E5"/>
    <w:rsid w:val="7B1EA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28CC0"/>
  <w14:discardImageEditingData/>
  <w15:docId w15:val="{4109E188-5FCC-4A4F-92EE-0646900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ITC Avant Garde Std Bk" w:hAnsi="ITC Avant Garde Std Bk"/>
        <w:b/>
        <w:color w:val="FFFFFF" w:themeColor="background1"/>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ITC Avant Garde Std Bk" w:hAnsi="ITC Avant Garde Std Bk"/>
        <w:b/>
        <w:color w:val="000000" w:themeColor="text1"/>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B2C4FD" w:themeFill="tex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2C8" w:themeFill="background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9"/>
      </w:numPr>
      <w:spacing w:after="60"/>
    </w:pPr>
  </w:style>
  <w:style w:type="paragraph" w:customStyle="1" w:styleId="Numberlevel3CSC">
    <w:name w:val="Number level 3 CSC"/>
    <w:basedOn w:val="Normal"/>
    <w:semiHidden/>
    <w:qFormat/>
    <w:rsid w:val="002B5EA0"/>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031F73" w:themeFill="tex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ITC Avant Garde Std Bk" w:hAnsi="ITC Avant Garde Std Bk"/>
        <w:b/>
        <w:sz w:val="20"/>
      </w:rPr>
      <w:tblPr/>
      <w:tcPr>
        <w:shd w:val="clear" w:color="auto" w:fill="EBB700" w:themeFill="background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5E2750" w:themeFill="accent5"/>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E8C9E0" w:themeFill="accent5"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0073CF" w:themeFill="accent6"/>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C2E3FF" w:themeFill="accent6"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A22B38" w:themeFill="accent4"/>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2CED2" w:themeFill="accent4"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sz w:val="20"/>
      </w:rPr>
      <w:tblPr/>
      <w:tcPr>
        <w:shd w:val="clear" w:color="auto" w:fill="C1BB00" w:themeFill="accent1"/>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FFDBF" w:themeFill="accent1"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53682B" w:themeFill="accent2"/>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DFE9CB" w:themeFill="accent2" w:themeFillTint="33"/>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ITC Avant Garde Std Bk" w:hAnsi="ITC Avant Garde Std Bk"/>
        <w:b/>
        <w:color w:val="FFFFFF" w:themeColor="background1"/>
        <w:sz w:val="20"/>
      </w:rPr>
      <w:tblPr/>
      <w:tcPr>
        <w:shd w:val="clear" w:color="auto" w:fill="C75B12" w:themeFill="accent3"/>
      </w:tcPr>
    </w:tblStylePr>
    <w:tblStylePr w:type="lastRow">
      <w:rPr>
        <w:rFonts w:ascii="ITC Avant Garde Std Bk" w:hAnsi="ITC Avant Garde Std Bk"/>
        <w:sz w:val="20"/>
      </w:rPr>
    </w:tblStylePr>
    <w:tblStylePr w:type="firstCol">
      <w:rPr>
        <w:rFonts w:ascii="ITC Avant Garde Std Bk" w:hAnsi="ITC Avant Garde Std Bk"/>
        <w:sz w:val="20"/>
      </w:rPr>
    </w:tblStylePr>
    <w:tblStylePr w:type="lastCol">
      <w:rPr>
        <w:rFonts w:ascii="ITC Avant Garde Std Bk" w:hAnsi="ITC Avant Garde Std Bk"/>
        <w:sz w:val="20"/>
      </w:rPr>
    </w:tblStylePr>
    <w:tblStylePr w:type="band1Vert">
      <w:rPr>
        <w:rFonts w:ascii="ITC Avant Garde Std Bk" w:hAnsi="ITC Avant Garde Std Bk"/>
        <w:sz w:val="20"/>
      </w:rPr>
    </w:tblStylePr>
    <w:tblStylePr w:type="band2Vert">
      <w:rPr>
        <w:rFonts w:ascii="ITC Avant Garde Std Bk" w:hAnsi="ITC Avant Garde Std Bk"/>
        <w:sz w:val="20"/>
      </w:rPr>
    </w:tblStylePr>
    <w:tblStylePr w:type="band1Horz">
      <w:rPr>
        <w:rFonts w:ascii="ITC Avant Garde Std Bk" w:hAnsi="ITC Avant Garde Std Bk"/>
        <w:sz w:val="20"/>
      </w:rPr>
    </w:tblStylePr>
    <w:tblStylePr w:type="band2Horz">
      <w:rPr>
        <w:rFonts w:ascii="ITC Avant Garde Std Bk" w:hAnsi="ITC Avant Garde Std Bk"/>
        <w:sz w:val="20"/>
      </w:rPr>
      <w:tblPr/>
      <w:tcPr>
        <w:shd w:val="clear" w:color="auto" w:fill="FADCC9" w:themeFill="accent3" w:themeFillTint="33"/>
        <w:tcMar>
          <w:top w:w="108" w:type="dxa"/>
          <w:left w:w="108" w:type="dxa"/>
          <w:bottom w:w="108" w:type="dxa"/>
          <w:right w:w="108" w:type="dxa"/>
        </w:tcMar>
      </w:tcPr>
    </w:tblStylePr>
    <w:tblStylePr w:type="neCell">
      <w:rPr>
        <w:rFonts w:ascii="ITC Avant Garde Std Bk" w:hAnsi="ITC Avant Garde Std Bk"/>
        <w:sz w:val="20"/>
      </w:rPr>
    </w:tblStylePr>
    <w:tblStylePr w:type="nwCell">
      <w:rPr>
        <w:rFonts w:ascii="ITC Avant Garde Std Bk" w:hAnsi="ITC Avant Garde Std Bk"/>
        <w:sz w:val="20"/>
      </w:rPr>
    </w:tblStylePr>
    <w:tblStylePr w:type="seCell">
      <w:rPr>
        <w:rFonts w:ascii="ITC Avant Garde Std Bk" w:hAnsi="ITC Avant Garde Std Bk"/>
        <w:sz w:val="20"/>
      </w:rPr>
    </w:tblStylePr>
    <w:tblStylePr w:type="swCell">
      <w:rPr>
        <w:rFonts w:ascii="ITC Avant Garde Std Bk" w:hAnsi="ITC Avant Garde Std B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 w:type="character" w:customStyle="1" w:styleId="normaltextrun">
    <w:name w:val="normaltextrun"/>
    <w:basedOn w:val="DefaultParagraphFont"/>
    <w:rsid w:val="009A0937"/>
  </w:style>
  <w:style w:type="character" w:customStyle="1" w:styleId="eop">
    <w:name w:val="eop"/>
    <w:basedOn w:val="DefaultParagraphFont"/>
    <w:rsid w:val="009A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83D8A6B8-70CB-4AA6-8E95-6C42D4C597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1F0925-DF16-427B-BBCC-DC678B14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1</TotalTime>
  <Pages>2</Pages>
  <Words>791</Words>
  <Characters>4511</Characters>
  <Application>Microsoft Office Word</Application>
  <DocSecurity>0</DocSecurity>
  <Lines>37</Lines>
  <Paragraphs>10</Paragraphs>
  <ScaleCrop>false</ScaleCrop>
  <Company>Cardinia Shire Council</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Rosie Hopgood</cp:lastModifiedBy>
  <cp:revision>24</cp:revision>
  <cp:lastPrinted>2014-03-03T21:33:00Z</cp:lastPrinted>
  <dcterms:created xsi:type="dcterms:W3CDTF">2021-08-10T04:29:00Z</dcterms:created>
  <dcterms:modified xsi:type="dcterms:W3CDTF">2021-08-11T00:21:00Z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