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8744" w14:textId="29BB201F" w:rsidR="008A325F" w:rsidRDefault="00BE1E0B" w:rsidP="008A325F">
      <w:pPr>
        <w:rPr>
          <w:color w:val="FFFFFF" w:themeColor="background1"/>
          <w:sz w:val="32"/>
          <w:szCs w:val="32"/>
        </w:rPr>
      </w:pPr>
      <w:bookmarkStart w:id="0" w:name="_GoBack"/>
      <w:bookmarkEnd w:id="0"/>
      <w:r>
        <w:rPr>
          <w:noProof/>
          <w:color w:val="FFFFFF" w:themeColor="background1"/>
          <w:sz w:val="32"/>
          <w:szCs w:val="32"/>
        </w:rPr>
        <w:drawing>
          <wp:anchor distT="0" distB="0" distL="114300" distR="114300" simplePos="0" relativeHeight="251656192"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325F" w:rsidRPr="00DF7A15">
        <w:rPr>
          <w:noProof/>
        </w:rPr>
        <w:drawing>
          <wp:anchor distT="0" distB="0" distL="114300" distR="114300" simplePos="0" relativeHeight="251660288"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07202B80" w:rsidR="008A325F" w:rsidRDefault="008A325F" w:rsidP="008A325F">
      <w:pPr>
        <w:pStyle w:val="Title"/>
        <w:tabs>
          <w:tab w:val="left" w:pos="2184"/>
        </w:tabs>
      </w:pPr>
      <w:r>
        <w:rPr>
          <w:noProof/>
        </w:rPr>
        <w:drawing>
          <wp:anchor distT="0" distB="0" distL="114300" distR="114300" simplePos="0" relativeHeight="251658240" behindDoc="1" locked="0" layoutInCell="1" allowOverlap="1" wp14:anchorId="47D6829E" wp14:editId="3C87CB54">
            <wp:simplePos x="0" y="0"/>
            <wp:positionH relativeFrom="margin">
              <wp:posOffset>93345</wp:posOffset>
            </wp:positionH>
            <wp:positionV relativeFrom="margin">
              <wp:posOffset>356870</wp:posOffset>
            </wp:positionV>
            <wp:extent cx="356870" cy="3124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870" cy="312420"/>
                    </a:xfrm>
                    <a:prstGeom prst="rect">
                      <a:avLst/>
                    </a:prstGeom>
                  </pic:spPr>
                </pic:pic>
              </a:graphicData>
            </a:graphic>
            <wp14:sizeRelH relativeFrom="margin">
              <wp14:pctWidth>0</wp14:pctWidth>
            </wp14:sizeRelH>
            <wp14:sizeRelV relativeFrom="margin">
              <wp14:pctHeight>0</wp14:pctHeight>
            </wp14:sizeRelV>
          </wp:anchor>
        </w:drawing>
      </w:r>
      <w:r w:rsidR="00547220">
        <w:t>Health and social services</w:t>
      </w:r>
      <w:r>
        <w:tab/>
      </w:r>
    </w:p>
    <w:p w14:paraId="39B6F18F" w14:textId="77777777" w:rsidR="005403B2" w:rsidRDefault="005403B2" w:rsidP="00284B54">
      <w:pPr>
        <w:rPr>
          <w:noProof/>
        </w:rPr>
      </w:pPr>
    </w:p>
    <w:p w14:paraId="3AA832DA" w14:textId="77777777" w:rsidR="005403B2" w:rsidRDefault="005403B2" w:rsidP="00284B54">
      <w:pPr>
        <w:rPr>
          <w:noProof/>
        </w:rPr>
      </w:pPr>
    </w:p>
    <w:p w14:paraId="43E48E3D" w14:textId="77777777" w:rsidR="005403B2" w:rsidRDefault="005403B2" w:rsidP="00284B54">
      <w:pPr>
        <w:rPr>
          <w:noProof/>
        </w:rPr>
      </w:pPr>
    </w:p>
    <w:p w14:paraId="2ACD6F3A" w14:textId="2E6E5BA8" w:rsidR="00284B54" w:rsidRDefault="00284B54" w:rsidP="005C0AA9">
      <w:pPr>
        <w:rPr>
          <w:noProof/>
        </w:rPr>
      </w:pPr>
    </w:p>
    <w:p w14:paraId="5ABEF9EC" w14:textId="6B86ADEB" w:rsidR="005C0AA9" w:rsidRDefault="005C0AA9" w:rsidP="005C0AA9">
      <w:pPr>
        <w:rPr>
          <w:noProof/>
        </w:rPr>
      </w:pPr>
    </w:p>
    <w:p w14:paraId="28CB12C0" w14:textId="77777777" w:rsidR="005C0AA9" w:rsidRDefault="005C0AA9" w:rsidP="005C0AA9">
      <w:pPr>
        <w:rPr>
          <w:noProof/>
        </w:rPr>
      </w:pPr>
    </w:p>
    <w:p w14:paraId="06CF0D8C" w14:textId="181CFAC7" w:rsidR="00064A68" w:rsidRDefault="004C7213" w:rsidP="008C33B6">
      <w:pPr>
        <w:pStyle w:val="Heading1"/>
        <w:rPr>
          <w:noProof/>
          <w:lang w:eastAsia="en-AU"/>
        </w:rPr>
      </w:pPr>
      <w:r>
        <w:rPr>
          <w:noProof/>
          <w:lang w:eastAsia="en-AU"/>
        </w:rPr>
        <w:t>Domain overview</w:t>
      </w:r>
    </w:p>
    <w:p w14:paraId="41398F5F" w14:textId="7FF04F00" w:rsidR="008C711A" w:rsidRDefault="008C711A" w:rsidP="008C711A">
      <w:r>
        <w:t xml:space="preserve">Health and social services play a vital role in supporting the health and wellbeing of </w:t>
      </w:r>
      <w:proofErr w:type="gramStart"/>
      <w:r>
        <w:t>local residents</w:t>
      </w:r>
      <w:proofErr w:type="gramEnd"/>
      <w:r>
        <w:t xml:space="preserve">. Health and social services provide a safety net when things go wrong, whether it’s for an individual, family or whole community experiencing a natural disaster. The needs of the community are regularly assessed to ensure services can be available to support those who need them, including the most vulnerable members of the community.  </w:t>
      </w:r>
    </w:p>
    <w:p w14:paraId="653B341C" w14:textId="2C881BDA" w:rsidR="00CC459B" w:rsidRDefault="00CC459B" w:rsidP="00CC459B">
      <w:pPr>
        <w:pStyle w:val="Heading2"/>
      </w:pPr>
      <w:r>
        <w:t xml:space="preserve">Strategic </w:t>
      </w:r>
      <w:r w:rsidR="005544CE">
        <w:t>o</w:t>
      </w:r>
      <w:r>
        <w:t>bjective</w:t>
      </w:r>
    </w:p>
    <w:p w14:paraId="6F9EADE7" w14:textId="77777777" w:rsidR="000F4C3D" w:rsidRDefault="000F4C3D" w:rsidP="000F4C3D">
      <w:pPr>
        <w:rPr>
          <w:lang w:eastAsia="en-US"/>
        </w:rPr>
      </w:pPr>
      <w:r>
        <w:rPr>
          <w:lang w:eastAsia="en-US"/>
        </w:rPr>
        <w:t xml:space="preserve">Increased access to services and social support close to home.  </w:t>
      </w:r>
    </w:p>
    <w:p w14:paraId="575156BD" w14:textId="77777777" w:rsidR="00CC459B" w:rsidRPr="002D5DC7" w:rsidRDefault="00CC459B" w:rsidP="00CC459B">
      <w:pPr>
        <w:pStyle w:val="Heading2"/>
      </w:pPr>
      <w:r w:rsidRPr="00CC459B">
        <w:t xml:space="preserve">Links to Council Plan </w:t>
      </w:r>
      <w:r w:rsidRPr="758BB75F">
        <w:t xml:space="preserve"> </w:t>
      </w:r>
    </w:p>
    <w:p w14:paraId="3B8C6811" w14:textId="77777777" w:rsidR="00CA7C6F" w:rsidRDefault="00CA7C6F" w:rsidP="00633BA5">
      <w:pPr>
        <w:pStyle w:val="ListParagraph"/>
        <w:numPr>
          <w:ilvl w:val="1"/>
          <w:numId w:val="34"/>
        </w:numPr>
        <w:jc w:val="both"/>
      </w:pPr>
      <w:r>
        <w:t>Plan for, and support the delivery of, accessible health and social services that address critical gaps in provision.</w:t>
      </w:r>
    </w:p>
    <w:p w14:paraId="14813643" w14:textId="77777777" w:rsidR="00CA7C6F" w:rsidRDefault="00CA7C6F" w:rsidP="00CA7C6F">
      <w:r>
        <w:t xml:space="preserve">1.4 Facilitate a partnership approach to create safer communities. </w:t>
      </w:r>
    </w:p>
    <w:p w14:paraId="3C0B52E6" w14:textId="77777777" w:rsidR="00CA7C6F" w:rsidRDefault="00CA7C6F" w:rsidP="00CA7C6F">
      <w:r>
        <w:t xml:space="preserve">1.5 Work closely with the community to deliver programs that build community resilience, relating to a </w:t>
      </w:r>
      <w:proofErr w:type="gramStart"/>
      <w:r>
        <w:t>pandemic or other disasters</w:t>
      </w:r>
      <w:proofErr w:type="gramEnd"/>
      <w:r>
        <w:t>.</w:t>
      </w:r>
    </w:p>
    <w:p w14:paraId="197821FD" w14:textId="77777777" w:rsidR="00CA7C6F" w:rsidRDefault="00CA7C6F" w:rsidP="00CA7C6F">
      <w:r>
        <w:t>2.1 Advocate, plan for and deliver accessible community infrastructure and services that address community need.</w:t>
      </w:r>
    </w:p>
    <w:p w14:paraId="30BCB7FC" w14:textId="77777777" w:rsidR="00CA7C6F" w:rsidRDefault="00CA7C6F" w:rsidP="00CA7C6F">
      <w:r>
        <w:t xml:space="preserve">3.1 Partner with community, business and industry to </w:t>
      </w:r>
      <w:proofErr w:type="gramStart"/>
      <w:r>
        <w:t>take action</w:t>
      </w:r>
      <w:proofErr w:type="gramEnd"/>
      <w:r>
        <w:t xml:space="preserve"> on, and adapt to, climate change.</w:t>
      </w:r>
    </w:p>
    <w:p w14:paraId="27F65C02" w14:textId="5749CD33" w:rsidR="004C7213" w:rsidRDefault="004C7213" w:rsidP="00437874">
      <w:pPr>
        <w:pStyle w:val="Heading2"/>
      </w:pPr>
      <w:r>
        <w:t xml:space="preserve">About </w:t>
      </w:r>
      <w:r w:rsidR="008F73DF">
        <w:t>h</w:t>
      </w:r>
      <w:r w:rsidR="00547220">
        <w:t>ealth and social services</w:t>
      </w:r>
    </w:p>
    <w:p w14:paraId="7675EEE8" w14:textId="0703643B" w:rsidR="00161F47" w:rsidRDefault="00161F47" w:rsidP="00161F47">
      <w:pPr>
        <w:rPr>
          <w:lang w:eastAsia="en-US"/>
        </w:rPr>
      </w:pPr>
      <w:bookmarkStart w:id="1" w:name="_Hlk79493450"/>
      <w:r>
        <w:rPr>
          <w:lang w:eastAsia="en-US"/>
        </w:rPr>
        <w:t xml:space="preserve">Data about </w:t>
      </w:r>
      <w:r w:rsidR="0019059A">
        <w:rPr>
          <w:lang w:eastAsia="en-US"/>
        </w:rPr>
        <w:t>h</w:t>
      </w:r>
      <w:r>
        <w:rPr>
          <w:lang w:eastAsia="en-US"/>
        </w:rPr>
        <w:t xml:space="preserve">ealth and social services in Cardinia Shire identifies: </w:t>
      </w:r>
    </w:p>
    <w:p w14:paraId="255B2A4D" w14:textId="77777777" w:rsidR="00161F47" w:rsidRDefault="00161F47" w:rsidP="00161F47">
      <w:pPr>
        <w:pStyle w:val="Bulletlistmultilevel"/>
        <w:numPr>
          <w:ilvl w:val="0"/>
          <w:numId w:val="16"/>
        </w:numPr>
        <w:rPr>
          <w:lang w:eastAsia="en-US"/>
        </w:rPr>
      </w:pPr>
      <w:r>
        <w:rPr>
          <w:lang w:eastAsia="en-US"/>
        </w:rPr>
        <w:t>Lower rate of general practitioners per 1,000 population compared with Victoria and the lowest rate in the south eastern region.</w:t>
      </w:r>
    </w:p>
    <w:p w14:paraId="357294BB" w14:textId="77777777" w:rsidR="00161F47" w:rsidRDefault="00161F47" w:rsidP="00161F47">
      <w:pPr>
        <w:pStyle w:val="Bulletlistmultilevel"/>
        <w:numPr>
          <w:ilvl w:val="0"/>
          <w:numId w:val="16"/>
        </w:numPr>
        <w:rPr>
          <w:lang w:eastAsia="en-US"/>
        </w:rPr>
      </w:pPr>
      <w:r>
        <w:rPr>
          <w:lang w:eastAsia="en-US"/>
        </w:rPr>
        <w:t>Slightly lower rate of dental service sites, allied health services and pharmacies compared to Victoria.</w:t>
      </w:r>
    </w:p>
    <w:p w14:paraId="07C08BB9" w14:textId="4113BBD2" w:rsidR="00161F47" w:rsidRDefault="00161F47" w:rsidP="00161F47">
      <w:pPr>
        <w:pStyle w:val="Bulletlistmultilevel"/>
        <w:numPr>
          <w:ilvl w:val="0"/>
          <w:numId w:val="16"/>
        </w:numPr>
        <w:rPr>
          <w:lang w:eastAsia="en-US"/>
        </w:rPr>
      </w:pPr>
      <w:r w:rsidRPr="7C527533">
        <w:rPr>
          <w:lang w:eastAsia="en-US"/>
        </w:rPr>
        <w:t>In 2020, healthcare and social services accounts for 3.3% of registered businesses, compared t</w:t>
      </w:r>
      <w:r w:rsidR="7DDA8365" w:rsidRPr="7C527533">
        <w:rPr>
          <w:lang w:eastAsia="en-US"/>
        </w:rPr>
        <w:t>o</w:t>
      </w:r>
      <w:r w:rsidRPr="7C527533">
        <w:rPr>
          <w:lang w:eastAsia="en-US"/>
        </w:rPr>
        <w:t xml:space="preserve"> 6% in Victoria.  </w:t>
      </w:r>
    </w:p>
    <w:p w14:paraId="00BCFE1F" w14:textId="1884BA8B" w:rsidR="00161F47" w:rsidRDefault="00161F47" w:rsidP="00161F47">
      <w:pPr>
        <w:pStyle w:val="Bulletlistmultilevel"/>
        <w:numPr>
          <w:ilvl w:val="0"/>
          <w:numId w:val="16"/>
        </w:numPr>
        <w:rPr>
          <w:lang w:eastAsia="en-US"/>
        </w:rPr>
      </w:pPr>
      <w:r w:rsidRPr="7C527533">
        <w:rPr>
          <w:lang w:eastAsia="en-US"/>
        </w:rPr>
        <w:t xml:space="preserve">Healthcare and social services employees </w:t>
      </w:r>
      <w:r w:rsidR="7E33D2DF" w:rsidRPr="7C527533">
        <w:rPr>
          <w:lang w:eastAsia="en-US"/>
        </w:rPr>
        <w:t xml:space="preserve">account for </w:t>
      </w:r>
      <w:r w:rsidRPr="7C527533">
        <w:rPr>
          <w:lang w:eastAsia="en-US"/>
        </w:rPr>
        <w:t xml:space="preserve">10% of people in Cardinia Shire. </w:t>
      </w:r>
    </w:p>
    <w:p w14:paraId="6D6D8A6E" w14:textId="3B0CF5DF" w:rsidR="00161F47" w:rsidRDefault="00161F47" w:rsidP="00161F47">
      <w:pPr>
        <w:pStyle w:val="Bulletlistmultilevel"/>
        <w:numPr>
          <w:ilvl w:val="0"/>
          <w:numId w:val="16"/>
        </w:numPr>
        <w:rPr>
          <w:lang w:eastAsia="en-US"/>
        </w:rPr>
      </w:pPr>
      <w:proofErr w:type="gramStart"/>
      <w:r w:rsidRPr="7C527533">
        <w:rPr>
          <w:lang w:eastAsia="en-US"/>
        </w:rPr>
        <w:t>The majority of</w:t>
      </w:r>
      <w:proofErr w:type="gramEnd"/>
      <w:r w:rsidRPr="7C527533">
        <w:rPr>
          <w:lang w:eastAsia="en-US"/>
        </w:rPr>
        <w:t xml:space="preserve"> health and social services are concentrated in Pakenham, Koo</w:t>
      </w:r>
      <w:r w:rsidR="700AFB2F" w:rsidRPr="7C527533">
        <w:rPr>
          <w:lang w:eastAsia="en-US"/>
        </w:rPr>
        <w:t xml:space="preserve"> W</w:t>
      </w:r>
      <w:r w:rsidRPr="7C527533">
        <w:rPr>
          <w:lang w:eastAsia="en-US"/>
        </w:rPr>
        <w:t>ee</w:t>
      </w:r>
      <w:r w:rsidR="71E99E21" w:rsidRPr="7C527533">
        <w:rPr>
          <w:lang w:eastAsia="en-US"/>
        </w:rPr>
        <w:t xml:space="preserve"> R</w:t>
      </w:r>
      <w:r w:rsidRPr="7C527533">
        <w:rPr>
          <w:lang w:eastAsia="en-US"/>
        </w:rPr>
        <w:t xml:space="preserve">up and Emerald, with some also located in Bunyip and Gembrook. </w:t>
      </w:r>
    </w:p>
    <w:p w14:paraId="06827981" w14:textId="6FCA6912" w:rsidR="005E2F42" w:rsidRDefault="00547220" w:rsidP="005E2F42">
      <w:pPr>
        <w:pStyle w:val="Heading2"/>
      </w:pPr>
      <w:r>
        <w:t>Health and social services</w:t>
      </w:r>
      <w:r w:rsidR="005E2F42" w:rsidRPr="75FEA35D">
        <w:rPr>
          <w:szCs w:val="28"/>
        </w:rPr>
        <w:t xml:space="preserve"> </w:t>
      </w:r>
      <w:r w:rsidR="00EB1CCB">
        <w:rPr>
          <w:szCs w:val="28"/>
        </w:rPr>
        <w:t>l</w:t>
      </w:r>
      <w:r w:rsidR="005E2F42" w:rsidRPr="75FEA35D">
        <w:rPr>
          <w:szCs w:val="28"/>
        </w:rPr>
        <w:t xml:space="preserve">iveability </w:t>
      </w:r>
      <w:r w:rsidR="00EB1CCB">
        <w:t>i</w:t>
      </w:r>
      <w:r w:rsidR="005E2F42">
        <w:t xml:space="preserve">ndicators </w:t>
      </w:r>
    </w:p>
    <w:bookmarkEnd w:id="1"/>
    <w:p w14:paraId="21249A8D" w14:textId="77777777" w:rsidR="00354283" w:rsidRDefault="00354283" w:rsidP="00354283">
      <w:pPr>
        <w:pStyle w:val="Bulletlistmultilevel"/>
        <w:rPr>
          <w:lang w:eastAsia="en-US"/>
        </w:rPr>
      </w:pPr>
      <w:r>
        <w:t>Social Infrastructure Index by SA1</w:t>
      </w:r>
    </w:p>
    <w:p w14:paraId="3CFBE719" w14:textId="28BCC920" w:rsidR="004C7213" w:rsidRDefault="004C7213" w:rsidP="00437874">
      <w:pPr>
        <w:pStyle w:val="Heading2"/>
      </w:pPr>
      <w:r>
        <w:t xml:space="preserve">The role of </w:t>
      </w:r>
      <w:r w:rsidR="008F73DF">
        <w:t>h</w:t>
      </w:r>
      <w:r w:rsidR="00547220">
        <w:t>ealth and social services</w:t>
      </w:r>
      <w:r>
        <w:t xml:space="preserve"> in our C</w:t>
      </w:r>
      <w:r w:rsidR="51144B77">
        <w:t>OVID</w:t>
      </w:r>
      <w:r>
        <w:t>-19 recovery</w:t>
      </w:r>
    </w:p>
    <w:p w14:paraId="18AA2B06" w14:textId="31CCEAC1" w:rsidR="004E2C66" w:rsidRDefault="004E2C66" w:rsidP="004E2C66">
      <w:r>
        <w:rPr>
          <w:lang w:eastAsia="en-US"/>
        </w:rPr>
        <w:t xml:space="preserve">As a result of the </w:t>
      </w:r>
      <w:r w:rsidR="00D55D9E">
        <w:rPr>
          <w:lang w:eastAsia="en-US"/>
        </w:rPr>
        <w:t>C</w:t>
      </w:r>
      <w:r>
        <w:rPr>
          <w:lang w:eastAsia="en-US"/>
        </w:rPr>
        <w:t>OVID-19 pandemic, the need for health and social services has never been more important. However, due to social distancing restrictions many services have been limited or not able to operate at all. Some new and better ways of working and delivering services have also been taken forward into the recovery phase.</w:t>
      </w:r>
    </w:p>
    <w:p w14:paraId="5E4DC545" w14:textId="77777777" w:rsidR="001442BB" w:rsidRDefault="001442BB">
      <w:pPr>
        <w:rPr>
          <w:rFonts w:ascii="Franklin Gothic Demi" w:eastAsiaTheme="majorEastAsia" w:hAnsi="Franklin Gothic Demi" w:cstheme="majorBidi"/>
          <w:color w:val="00559B" w:themeColor="accent6" w:themeShade="BF"/>
          <w:sz w:val="28"/>
          <w:szCs w:val="26"/>
          <w:lang w:eastAsia="en-US"/>
        </w:rPr>
      </w:pPr>
      <w:r>
        <w:br w:type="page"/>
      </w:r>
    </w:p>
    <w:p w14:paraId="7250D020" w14:textId="2D818EBD" w:rsidR="00ED1DF8" w:rsidRDefault="00ED1DF8" w:rsidP="00ED1DF8">
      <w:pPr>
        <w:pStyle w:val="Heading2"/>
      </w:pPr>
      <w:r>
        <w:lastRenderedPageBreak/>
        <w:t xml:space="preserve">The role of </w:t>
      </w:r>
      <w:r w:rsidR="008F73DF">
        <w:t>h</w:t>
      </w:r>
      <w:r w:rsidR="00547220">
        <w:t>ealth and social services</w:t>
      </w:r>
      <w:r>
        <w:t xml:space="preserve"> in addressing climate change</w:t>
      </w:r>
    </w:p>
    <w:p w14:paraId="5C5B4603" w14:textId="610F1B23" w:rsidR="001442BB" w:rsidRDefault="001442BB" w:rsidP="001442BB">
      <w:pPr>
        <w:rPr>
          <w:lang w:eastAsia="en-US"/>
        </w:rPr>
      </w:pPr>
      <w:r w:rsidRPr="7C527533">
        <w:rPr>
          <w:lang w:eastAsia="en-US"/>
        </w:rPr>
        <w:t xml:space="preserve">Health and social services </w:t>
      </w:r>
      <w:r w:rsidR="00C136AD" w:rsidRPr="7C527533">
        <w:rPr>
          <w:lang w:eastAsia="en-US"/>
        </w:rPr>
        <w:t>deliver</w:t>
      </w:r>
      <w:r w:rsidRPr="7C527533">
        <w:rPr>
          <w:lang w:eastAsia="en-US"/>
        </w:rPr>
        <w:t xml:space="preserve"> actions that reduce emissions and the community’s vulnerability to the stresses and shocks attributed to the adverse effects of climate change. Through health and social services, information and support can be provided directly to residents, vulnerable demographic groups, business</w:t>
      </w:r>
      <w:r w:rsidR="5F6629D7" w:rsidRPr="7C527533">
        <w:rPr>
          <w:lang w:eastAsia="en-US"/>
        </w:rPr>
        <w:t>es</w:t>
      </w:r>
      <w:r w:rsidRPr="7C527533">
        <w:rPr>
          <w:lang w:eastAsia="en-US"/>
        </w:rPr>
        <w:t xml:space="preserve">, and industrial stakeholders. Social vulnerability is exacerbated in times of disaster, extreme weather and pandemic. The role of health and social services is therefore critical to addressing climate change. </w:t>
      </w:r>
    </w:p>
    <w:p w14:paraId="078C4CD2" w14:textId="02358A9E" w:rsidR="00AC07E0" w:rsidRDefault="00AC07E0" w:rsidP="00AC07E0">
      <w:pPr>
        <w:pStyle w:val="Heading2"/>
      </w:pPr>
      <w:r w:rsidRPr="00AC07E0">
        <w:t xml:space="preserve">When thinking about the future of </w:t>
      </w:r>
      <w:r w:rsidR="008F73DF">
        <w:t>h</w:t>
      </w:r>
      <w:r w:rsidR="00547220">
        <w:t>ealth and social services</w:t>
      </w:r>
      <w:r w:rsidRPr="00AC07E0">
        <w:t xml:space="preserve"> in Cardinia Shire, the following issues are relevant:</w:t>
      </w:r>
    </w:p>
    <w:p w14:paraId="147FB4D9" w14:textId="7CD9B1BE" w:rsidR="00941233" w:rsidRDefault="00941233" w:rsidP="00941233">
      <w:pPr>
        <w:pStyle w:val="ListParagraph"/>
        <w:numPr>
          <w:ilvl w:val="0"/>
          <w:numId w:val="36"/>
        </w:numPr>
        <w:tabs>
          <w:tab w:val="clear" w:pos="357"/>
        </w:tabs>
        <w:spacing w:after="160" w:line="259" w:lineRule="auto"/>
        <w:ind w:left="360"/>
      </w:pPr>
      <w:r>
        <w:t>Attracting new services to fill identified gaps</w:t>
      </w:r>
      <w:r w:rsidR="04AFE274">
        <w:t>.</w:t>
      </w:r>
      <w:r>
        <w:t xml:space="preserve"> </w:t>
      </w:r>
    </w:p>
    <w:p w14:paraId="0249A9E0" w14:textId="538E9FD6" w:rsidR="00941233" w:rsidRDefault="00941233" w:rsidP="00941233">
      <w:pPr>
        <w:pStyle w:val="ListParagraph"/>
        <w:numPr>
          <w:ilvl w:val="0"/>
          <w:numId w:val="36"/>
        </w:numPr>
        <w:tabs>
          <w:tab w:val="clear" w:pos="357"/>
        </w:tabs>
        <w:spacing w:after="160" w:line="259" w:lineRule="auto"/>
        <w:ind w:left="360"/>
      </w:pPr>
      <w:r>
        <w:t>Providing services that are inclusive and accessible</w:t>
      </w:r>
      <w:r w:rsidR="75BA9751">
        <w:t>.</w:t>
      </w:r>
      <w:r>
        <w:t xml:space="preserve"> </w:t>
      </w:r>
    </w:p>
    <w:p w14:paraId="5F069CF6" w14:textId="0DF5AA30" w:rsidR="00941233" w:rsidRDefault="00941233" w:rsidP="00941233">
      <w:pPr>
        <w:pStyle w:val="ListParagraph"/>
        <w:numPr>
          <w:ilvl w:val="0"/>
          <w:numId w:val="36"/>
        </w:numPr>
        <w:tabs>
          <w:tab w:val="clear" w:pos="357"/>
        </w:tabs>
        <w:spacing w:after="160" w:line="259" w:lineRule="auto"/>
        <w:ind w:left="360"/>
      </w:pPr>
      <w:r>
        <w:t>Recommendations from the Royal Commission into Victoria’s Mental Health System</w:t>
      </w:r>
      <w:r w:rsidR="51C0D19F">
        <w:t>.</w:t>
      </w:r>
    </w:p>
    <w:p w14:paraId="1BC0781E" w14:textId="2264F79D" w:rsidR="00941233" w:rsidRDefault="00941233" w:rsidP="00941233">
      <w:pPr>
        <w:pStyle w:val="ListParagraph"/>
        <w:numPr>
          <w:ilvl w:val="0"/>
          <w:numId w:val="36"/>
        </w:numPr>
        <w:tabs>
          <w:tab w:val="clear" w:pos="357"/>
        </w:tabs>
        <w:spacing w:after="160" w:line="259" w:lineRule="auto"/>
        <w:ind w:left="360"/>
      </w:pPr>
      <w:r>
        <w:t>Development of the new Pakenham Community Hospital</w:t>
      </w:r>
      <w:r w:rsidR="334B1115">
        <w:t>.</w:t>
      </w:r>
      <w:r>
        <w:t xml:space="preserve"> </w:t>
      </w:r>
    </w:p>
    <w:p w14:paraId="41CCCCD9" w14:textId="77777777" w:rsidR="00941233" w:rsidRDefault="00941233" w:rsidP="00941233">
      <w:pPr>
        <w:pStyle w:val="ListParagraph"/>
        <w:numPr>
          <w:ilvl w:val="0"/>
          <w:numId w:val="36"/>
        </w:numPr>
        <w:tabs>
          <w:tab w:val="clear" w:pos="357"/>
        </w:tabs>
        <w:spacing w:after="160" w:line="259" w:lineRule="auto"/>
        <w:ind w:left="360"/>
      </w:pPr>
      <w:r>
        <w:t>Plan Melbourne 2050 Policies such as:</w:t>
      </w:r>
    </w:p>
    <w:p w14:paraId="68DB7247" w14:textId="77777777" w:rsidR="00941233" w:rsidRDefault="00941233" w:rsidP="00941233">
      <w:pPr>
        <w:pStyle w:val="Bulletlevel2CSC"/>
      </w:pPr>
      <w:r>
        <w:t>1.2.3 Support the provision of telecommunications infrastructure.</w:t>
      </w:r>
    </w:p>
    <w:p w14:paraId="45BBF8A4" w14:textId="77777777" w:rsidR="00941233" w:rsidRDefault="00941233" w:rsidP="00941233">
      <w:pPr>
        <w:pStyle w:val="Bulletlevel2CSC"/>
      </w:pPr>
      <w:r>
        <w:t>2.2.5 Require development in growth areas to be sequenced and staged to better link infrastructure delivery to land release.</w:t>
      </w:r>
    </w:p>
    <w:p w14:paraId="573E862A" w14:textId="5A6BF7CB" w:rsidR="00941233" w:rsidRDefault="00941233" w:rsidP="00941233">
      <w:pPr>
        <w:pStyle w:val="Bulletlevel2CSC"/>
      </w:pPr>
      <w:r>
        <w:t>5.1.2 Support a network of vibrant neighbourhood activity centres</w:t>
      </w:r>
      <w:r w:rsidR="2FE166ED">
        <w:t>.</w:t>
      </w:r>
    </w:p>
    <w:p w14:paraId="14ADEA41" w14:textId="77777777" w:rsidR="00941233" w:rsidRPr="00371F44" w:rsidRDefault="00941233" w:rsidP="00941233">
      <w:pPr>
        <w:pStyle w:val="Bulletlevel2CSC"/>
      </w:pPr>
      <w:r>
        <w:t>5.3.1 Facilitate a whole-of-government approach to the delivery of social infrastructure.</w:t>
      </w:r>
    </w:p>
    <w:p w14:paraId="6F006FCA" w14:textId="77777777" w:rsidR="00941233" w:rsidRDefault="00941233" w:rsidP="00941233">
      <w:pPr>
        <w:pStyle w:val="Bulletlevel2CSC"/>
      </w:pPr>
      <w:r>
        <w:t>5.3.2 Create health and education precincts to support neighbourhoods.</w:t>
      </w:r>
    </w:p>
    <w:p w14:paraId="7ECD90B7" w14:textId="77777777" w:rsidR="00941233" w:rsidRDefault="00941233" w:rsidP="00941233">
      <w:pPr>
        <w:pStyle w:val="Bulletlevel2CSC"/>
      </w:pPr>
      <w:r>
        <w:t>5.3.3 Support not-for-profit community services to build social capital and stronger communities.</w:t>
      </w:r>
    </w:p>
    <w:p w14:paraId="2F35B1E5" w14:textId="5FD8E363" w:rsidR="00941233" w:rsidRDefault="00941233" w:rsidP="00941233">
      <w:pPr>
        <w:pStyle w:val="Bulletlevel2CSC"/>
      </w:pPr>
      <w:r>
        <w:t>6.2.1 Mitigate exposure to natural hazards and adapt to the impacts of climate change</w:t>
      </w:r>
      <w:r w:rsidR="42FA0F17">
        <w:t>.</w:t>
      </w:r>
    </w:p>
    <w:p w14:paraId="5B137516" w14:textId="77777777" w:rsidR="00941233" w:rsidRPr="00941233" w:rsidRDefault="00941233" w:rsidP="00941233">
      <w:pPr>
        <w:rPr>
          <w:lang w:eastAsia="en-US"/>
        </w:rPr>
      </w:pPr>
    </w:p>
    <w:sectPr w:rsidR="00941233" w:rsidRPr="00941233"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231A" w14:textId="77777777" w:rsidR="00850908" w:rsidRDefault="00850908" w:rsidP="00756052">
      <w:r>
        <w:separator/>
      </w:r>
    </w:p>
    <w:p w14:paraId="75A58A10" w14:textId="77777777" w:rsidR="00850908" w:rsidRDefault="00850908"/>
  </w:endnote>
  <w:endnote w:type="continuationSeparator" w:id="0">
    <w:p w14:paraId="4326847A" w14:textId="77777777" w:rsidR="00850908" w:rsidRDefault="00850908" w:rsidP="00756052">
      <w:r>
        <w:continuationSeparator/>
      </w:r>
    </w:p>
    <w:p w14:paraId="37B5084C" w14:textId="77777777" w:rsidR="00850908" w:rsidRDefault="00850908"/>
  </w:endnote>
  <w:endnote w:type="continuationNotice" w:id="1">
    <w:p w14:paraId="6913B24A" w14:textId="77777777" w:rsidR="00850908" w:rsidRDefault="00850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6FCC" w14:textId="77777777" w:rsidR="00850908" w:rsidRDefault="00850908" w:rsidP="00756052">
      <w:r>
        <w:separator/>
      </w:r>
    </w:p>
    <w:p w14:paraId="4DD7B090" w14:textId="77777777" w:rsidR="00850908" w:rsidRDefault="00850908"/>
  </w:footnote>
  <w:footnote w:type="continuationSeparator" w:id="0">
    <w:p w14:paraId="3DB075A9" w14:textId="77777777" w:rsidR="00850908" w:rsidRDefault="00850908" w:rsidP="00756052">
      <w:r>
        <w:continuationSeparator/>
      </w:r>
    </w:p>
    <w:p w14:paraId="359EA76B" w14:textId="77777777" w:rsidR="00850908" w:rsidRDefault="00850908"/>
  </w:footnote>
  <w:footnote w:type="continuationNotice" w:id="1">
    <w:p w14:paraId="0DCA01F0" w14:textId="77777777" w:rsidR="00850908" w:rsidRDefault="00850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lvl w:ilvl="0">
      <w:start w:val="1"/>
      <w:numFmt w:val="decimal"/>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69F2A18"/>
    <w:multiLevelType w:val="hybridMultilevel"/>
    <w:tmpl w:val="9956DE1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A887BD2"/>
    <w:multiLevelType w:val="hybridMultilevel"/>
    <w:tmpl w:val="0624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1"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4"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20"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4"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A5242"/>
    <w:multiLevelType w:val="multilevel"/>
    <w:tmpl w:val="0E2889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0"/>
  </w:num>
  <w:num w:numId="3">
    <w:abstractNumId w:val="2"/>
  </w:num>
  <w:num w:numId="4">
    <w:abstractNumId w:val="2"/>
  </w:num>
  <w:num w:numId="5">
    <w:abstractNumId w:val="6"/>
  </w:num>
  <w:num w:numId="6">
    <w:abstractNumId w:val="6"/>
  </w:num>
  <w:num w:numId="7">
    <w:abstractNumId w:val="8"/>
  </w:num>
  <w:num w:numId="8">
    <w:abstractNumId w:val="20"/>
  </w:num>
  <w:num w:numId="9">
    <w:abstractNumId w:val="0"/>
  </w:num>
  <w:num w:numId="10">
    <w:abstractNumId w:val="23"/>
  </w:num>
  <w:num w:numId="11">
    <w:abstractNumId w:val="13"/>
  </w:num>
  <w:num w:numId="12">
    <w:abstractNumId w:val="16"/>
  </w:num>
  <w:num w:numId="13">
    <w:abstractNumId w:val="15"/>
  </w:num>
  <w:num w:numId="14">
    <w:abstractNumId w:val="12"/>
  </w:num>
  <w:num w:numId="15">
    <w:abstractNumId w:val="0"/>
  </w:num>
  <w:num w:numId="16">
    <w:abstractNumId w:val="21"/>
  </w:num>
  <w:num w:numId="17">
    <w:abstractNumId w:val="21"/>
  </w:num>
  <w:num w:numId="18">
    <w:abstractNumId w:val="21"/>
  </w:num>
  <w:num w:numId="19">
    <w:abstractNumId w:val="0"/>
  </w:num>
  <w:num w:numId="20">
    <w:abstractNumId w:val="0"/>
  </w:num>
  <w:num w:numId="21">
    <w:abstractNumId w:val="0"/>
  </w:num>
  <w:num w:numId="22">
    <w:abstractNumId w:val="22"/>
  </w:num>
  <w:num w:numId="23">
    <w:abstractNumId w:val="18"/>
  </w:num>
  <w:num w:numId="24">
    <w:abstractNumId w:val="17"/>
  </w:num>
  <w:num w:numId="25">
    <w:abstractNumId w:val="7"/>
  </w:num>
  <w:num w:numId="26">
    <w:abstractNumId w:val="14"/>
  </w:num>
  <w:num w:numId="27">
    <w:abstractNumId w:val="11"/>
  </w:num>
  <w:num w:numId="28">
    <w:abstractNumId w:val="1"/>
  </w:num>
  <w:num w:numId="29">
    <w:abstractNumId w:val="25"/>
  </w:num>
  <w:num w:numId="30">
    <w:abstractNumId w:val="5"/>
  </w:num>
  <w:num w:numId="31">
    <w:abstractNumId w:val="24"/>
  </w:num>
  <w:num w:numId="32">
    <w:abstractNumId w:val="19"/>
  </w:num>
  <w:num w:numId="33">
    <w:abstractNumId w:val="3"/>
  </w:num>
  <w:num w:numId="34">
    <w:abstractNumId w:val="26"/>
  </w:num>
  <w:num w:numId="35">
    <w:abstractNumId w:val="4"/>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5A9A"/>
    <w:rsid w:val="000065FA"/>
    <w:rsid w:val="0001029C"/>
    <w:rsid w:val="00027AC5"/>
    <w:rsid w:val="000300C4"/>
    <w:rsid w:val="00033AC3"/>
    <w:rsid w:val="00034D73"/>
    <w:rsid w:val="000353BD"/>
    <w:rsid w:val="000405A2"/>
    <w:rsid w:val="00045C32"/>
    <w:rsid w:val="00046498"/>
    <w:rsid w:val="00046E8A"/>
    <w:rsid w:val="00047F61"/>
    <w:rsid w:val="00055C7A"/>
    <w:rsid w:val="0006109B"/>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B7D1E"/>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4C3D"/>
    <w:rsid w:val="000F5A18"/>
    <w:rsid w:val="000F743D"/>
    <w:rsid w:val="001010FC"/>
    <w:rsid w:val="00101C0B"/>
    <w:rsid w:val="001024FB"/>
    <w:rsid w:val="00104139"/>
    <w:rsid w:val="00104E81"/>
    <w:rsid w:val="0010681D"/>
    <w:rsid w:val="0011176C"/>
    <w:rsid w:val="00111D08"/>
    <w:rsid w:val="00111E78"/>
    <w:rsid w:val="00112513"/>
    <w:rsid w:val="00117201"/>
    <w:rsid w:val="001225DB"/>
    <w:rsid w:val="00124147"/>
    <w:rsid w:val="0012564B"/>
    <w:rsid w:val="00125CF9"/>
    <w:rsid w:val="00130D42"/>
    <w:rsid w:val="001314F3"/>
    <w:rsid w:val="00131F04"/>
    <w:rsid w:val="001321F7"/>
    <w:rsid w:val="001334D0"/>
    <w:rsid w:val="00135F1E"/>
    <w:rsid w:val="00140935"/>
    <w:rsid w:val="00143C09"/>
    <w:rsid w:val="001442BB"/>
    <w:rsid w:val="0014484B"/>
    <w:rsid w:val="00150264"/>
    <w:rsid w:val="0015243E"/>
    <w:rsid w:val="0015476D"/>
    <w:rsid w:val="0015784C"/>
    <w:rsid w:val="00161C68"/>
    <w:rsid w:val="00161F47"/>
    <w:rsid w:val="00165585"/>
    <w:rsid w:val="0016623A"/>
    <w:rsid w:val="001702E8"/>
    <w:rsid w:val="001712ED"/>
    <w:rsid w:val="00173DCB"/>
    <w:rsid w:val="001742EE"/>
    <w:rsid w:val="001811D4"/>
    <w:rsid w:val="0018257D"/>
    <w:rsid w:val="00182E61"/>
    <w:rsid w:val="00186C9B"/>
    <w:rsid w:val="0019007C"/>
    <w:rsid w:val="0019059A"/>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4B54"/>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984"/>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661"/>
    <w:rsid w:val="00351C08"/>
    <w:rsid w:val="003534C9"/>
    <w:rsid w:val="00354283"/>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4CA3"/>
    <w:rsid w:val="0043745E"/>
    <w:rsid w:val="00437874"/>
    <w:rsid w:val="00437C9B"/>
    <w:rsid w:val="00443B76"/>
    <w:rsid w:val="004475BB"/>
    <w:rsid w:val="0045133A"/>
    <w:rsid w:val="00451530"/>
    <w:rsid w:val="004545E7"/>
    <w:rsid w:val="0046071D"/>
    <w:rsid w:val="00461AE2"/>
    <w:rsid w:val="00463134"/>
    <w:rsid w:val="00465919"/>
    <w:rsid w:val="00473070"/>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13"/>
    <w:rsid w:val="004C7240"/>
    <w:rsid w:val="004C7F7B"/>
    <w:rsid w:val="004D5EA5"/>
    <w:rsid w:val="004E0D59"/>
    <w:rsid w:val="004E122D"/>
    <w:rsid w:val="004E1AB7"/>
    <w:rsid w:val="004E2C66"/>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2C1E"/>
    <w:rsid w:val="0053449E"/>
    <w:rsid w:val="00536EF9"/>
    <w:rsid w:val="005403B2"/>
    <w:rsid w:val="00547220"/>
    <w:rsid w:val="005473A4"/>
    <w:rsid w:val="005479E6"/>
    <w:rsid w:val="00551934"/>
    <w:rsid w:val="005544CE"/>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0AA9"/>
    <w:rsid w:val="005C0D00"/>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1110"/>
    <w:rsid w:val="00601A0B"/>
    <w:rsid w:val="00601DAE"/>
    <w:rsid w:val="006023A4"/>
    <w:rsid w:val="006112CA"/>
    <w:rsid w:val="00613ABD"/>
    <w:rsid w:val="00617890"/>
    <w:rsid w:val="006231CB"/>
    <w:rsid w:val="006234BE"/>
    <w:rsid w:val="006257FC"/>
    <w:rsid w:val="00625916"/>
    <w:rsid w:val="00625EBA"/>
    <w:rsid w:val="006267BA"/>
    <w:rsid w:val="0063231F"/>
    <w:rsid w:val="00633BA5"/>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1975"/>
    <w:rsid w:val="006935F4"/>
    <w:rsid w:val="00694D70"/>
    <w:rsid w:val="00694F3D"/>
    <w:rsid w:val="006951D1"/>
    <w:rsid w:val="00695E65"/>
    <w:rsid w:val="006A0DD7"/>
    <w:rsid w:val="006A2F2F"/>
    <w:rsid w:val="006A4F5A"/>
    <w:rsid w:val="006A56F1"/>
    <w:rsid w:val="006A635F"/>
    <w:rsid w:val="006B0415"/>
    <w:rsid w:val="006B0A7F"/>
    <w:rsid w:val="006B3FB9"/>
    <w:rsid w:val="006B71B5"/>
    <w:rsid w:val="006C1C35"/>
    <w:rsid w:val="006C4F09"/>
    <w:rsid w:val="006D095A"/>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302A6"/>
    <w:rsid w:val="00732391"/>
    <w:rsid w:val="00732636"/>
    <w:rsid w:val="00732E19"/>
    <w:rsid w:val="007344C8"/>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66CD"/>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0908"/>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325F"/>
    <w:rsid w:val="008A721E"/>
    <w:rsid w:val="008B4E34"/>
    <w:rsid w:val="008B6F12"/>
    <w:rsid w:val="008B6FCA"/>
    <w:rsid w:val="008C33B6"/>
    <w:rsid w:val="008C5961"/>
    <w:rsid w:val="008C5D4B"/>
    <w:rsid w:val="008C711A"/>
    <w:rsid w:val="008C7F57"/>
    <w:rsid w:val="008C7FA5"/>
    <w:rsid w:val="008D32BA"/>
    <w:rsid w:val="008D3BDF"/>
    <w:rsid w:val="008D5D65"/>
    <w:rsid w:val="008D6D44"/>
    <w:rsid w:val="008E08E4"/>
    <w:rsid w:val="008E0F30"/>
    <w:rsid w:val="008F3314"/>
    <w:rsid w:val="008F387E"/>
    <w:rsid w:val="008F3E83"/>
    <w:rsid w:val="008F406F"/>
    <w:rsid w:val="008F73DF"/>
    <w:rsid w:val="00905516"/>
    <w:rsid w:val="0090576B"/>
    <w:rsid w:val="00910363"/>
    <w:rsid w:val="00911DC8"/>
    <w:rsid w:val="00914982"/>
    <w:rsid w:val="00914B24"/>
    <w:rsid w:val="00915B61"/>
    <w:rsid w:val="00915F86"/>
    <w:rsid w:val="009170A7"/>
    <w:rsid w:val="0092120C"/>
    <w:rsid w:val="00922171"/>
    <w:rsid w:val="009247EA"/>
    <w:rsid w:val="00925371"/>
    <w:rsid w:val="00926645"/>
    <w:rsid w:val="00931AD2"/>
    <w:rsid w:val="00933286"/>
    <w:rsid w:val="00933E64"/>
    <w:rsid w:val="00935609"/>
    <w:rsid w:val="00941233"/>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1794"/>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4476"/>
    <w:rsid w:val="00A9540A"/>
    <w:rsid w:val="00A96056"/>
    <w:rsid w:val="00A96716"/>
    <w:rsid w:val="00AA0A7B"/>
    <w:rsid w:val="00AA169C"/>
    <w:rsid w:val="00AA2983"/>
    <w:rsid w:val="00AA2D9F"/>
    <w:rsid w:val="00AA305A"/>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4859"/>
    <w:rsid w:val="00B50B15"/>
    <w:rsid w:val="00B510C3"/>
    <w:rsid w:val="00B51847"/>
    <w:rsid w:val="00B5257B"/>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1E0B"/>
    <w:rsid w:val="00BE4D25"/>
    <w:rsid w:val="00BE59F9"/>
    <w:rsid w:val="00BE6DC9"/>
    <w:rsid w:val="00BF3F69"/>
    <w:rsid w:val="00BF4D6B"/>
    <w:rsid w:val="00BF5E84"/>
    <w:rsid w:val="00BF78ED"/>
    <w:rsid w:val="00BF7BA9"/>
    <w:rsid w:val="00C00985"/>
    <w:rsid w:val="00C04456"/>
    <w:rsid w:val="00C06896"/>
    <w:rsid w:val="00C12190"/>
    <w:rsid w:val="00C136AD"/>
    <w:rsid w:val="00C17048"/>
    <w:rsid w:val="00C234A2"/>
    <w:rsid w:val="00C23728"/>
    <w:rsid w:val="00C3185F"/>
    <w:rsid w:val="00C325CC"/>
    <w:rsid w:val="00C34D1A"/>
    <w:rsid w:val="00C36C71"/>
    <w:rsid w:val="00C40755"/>
    <w:rsid w:val="00C425F5"/>
    <w:rsid w:val="00C615D1"/>
    <w:rsid w:val="00C61E7F"/>
    <w:rsid w:val="00C641D4"/>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6F"/>
    <w:rsid w:val="00CA7CA1"/>
    <w:rsid w:val="00CB1EEF"/>
    <w:rsid w:val="00CC2557"/>
    <w:rsid w:val="00CC2A4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34E"/>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0BBB"/>
    <w:rsid w:val="00D51B1A"/>
    <w:rsid w:val="00D55D1A"/>
    <w:rsid w:val="00D55D9E"/>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9132B"/>
    <w:rsid w:val="00E92F1C"/>
    <w:rsid w:val="00E950AF"/>
    <w:rsid w:val="00E96342"/>
    <w:rsid w:val="00E979AF"/>
    <w:rsid w:val="00E97FCF"/>
    <w:rsid w:val="00EA5359"/>
    <w:rsid w:val="00EA5DBF"/>
    <w:rsid w:val="00EA7DAF"/>
    <w:rsid w:val="00EB1AD4"/>
    <w:rsid w:val="00EB1CCB"/>
    <w:rsid w:val="00EB2530"/>
    <w:rsid w:val="00EB27A2"/>
    <w:rsid w:val="00EB6A86"/>
    <w:rsid w:val="00EC0CE9"/>
    <w:rsid w:val="00EC0E3E"/>
    <w:rsid w:val="00EC4630"/>
    <w:rsid w:val="00ED13A5"/>
    <w:rsid w:val="00ED1DF8"/>
    <w:rsid w:val="00ED271E"/>
    <w:rsid w:val="00ED44C4"/>
    <w:rsid w:val="00ED4913"/>
    <w:rsid w:val="00ED4B8C"/>
    <w:rsid w:val="00ED51C4"/>
    <w:rsid w:val="00ED5663"/>
    <w:rsid w:val="00ED751D"/>
    <w:rsid w:val="00EE0AD5"/>
    <w:rsid w:val="00EE2D45"/>
    <w:rsid w:val="00EE43FF"/>
    <w:rsid w:val="00EE51E0"/>
    <w:rsid w:val="00EE53C5"/>
    <w:rsid w:val="00EE65A6"/>
    <w:rsid w:val="00EF01AB"/>
    <w:rsid w:val="00EF2A91"/>
    <w:rsid w:val="00EF3A68"/>
    <w:rsid w:val="00F02AD2"/>
    <w:rsid w:val="00F051C6"/>
    <w:rsid w:val="00F076B3"/>
    <w:rsid w:val="00F10B16"/>
    <w:rsid w:val="00F1138E"/>
    <w:rsid w:val="00F137C3"/>
    <w:rsid w:val="00F158AD"/>
    <w:rsid w:val="00F16B8E"/>
    <w:rsid w:val="00F17D5B"/>
    <w:rsid w:val="00F17EE1"/>
    <w:rsid w:val="00F219F7"/>
    <w:rsid w:val="00F21FB5"/>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156"/>
    <w:rsid w:val="00F6486E"/>
    <w:rsid w:val="00F66EDE"/>
    <w:rsid w:val="00F66F25"/>
    <w:rsid w:val="00F67852"/>
    <w:rsid w:val="00F6793B"/>
    <w:rsid w:val="00F70523"/>
    <w:rsid w:val="00F7187C"/>
    <w:rsid w:val="00F7202D"/>
    <w:rsid w:val="00F76C7C"/>
    <w:rsid w:val="00F81D3E"/>
    <w:rsid w:val="00F82E7F"/>
    <w:rsid w:val="00F83843"/>
    <w:rsid w:val="00F83D52"/>
    <w:rsid w:val="00F845E6"/>
    <w:rsid w:val="00F84C4C"/>
    <w:rsid w:val="00F85213"/>
    <w:rsid w:val="00F9032A"/>
    <w:rsid w:val="00F92D94"/>
    <w:rsid w:val="00F9538B"/>
    <w:rsid w:val="00F972B3"/>
    <w:rsid w:val="00FA195B"/>
    <w:rsid w:val="00FA43CD"/>
    <w:rsid w:val="00FA5407"/>
    <w:rsid w:val="00FA590E"/>
    <w:rsid w:val="00FA66CD"/>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4AFE274"/>
    <w:rsid w:val="1EF1439D"/>
    <w:rsid w:val="2FE166ED"/>
    <w:rsid w:val="334B1115"/>
    <w:rsid w:val="3BA86F0A"/>
    <w:rsid w:val="42FA0F17"/>
    <w:rsid w:val="43855AA8"/>
    <w:rsid w:val="51144B77"/>
    <w:rsid w:val="51C0D19F"/>
    <w:rsid w:val="5F6629D7"/>
    <w:rsid w:val="641255AB"/>
    <w:rsid w:val="6A8983BA"/>
    <w:rsid w:val="700AFB2F"/>
    <w:rsid w:val="71E99E21"/>
    <w:rsid w:val="73449093"/>
    <w:rsid w:val="74742DFF"/>
    <w:rsid w:val="75BA9751"/>
    <w:rsid w:val="7C527533"/>
    <w:rsid w:val="7DDA8365"/>
    <w:rsid w:val="7E33D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8CC0"/>
  <w14:discardImageEditingData/>
  <w15:docId w15:val="{4109E188-5FCC-4A4F-92EE-0646900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ITC Avant Garde Std Bk" w:hAnsi="ITC Avant Garde Std Bk"/>
        <w:b/>
        <w:color w:val="FFFFFF" w:themeColor="background1"/>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ITC Avant Garde Std Bk" w:hAnsi="ITC Avant Garde Std Bk"/>
        <w:b/>
        <w:color w:val="000000" w:themeColor="text1"/>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uiPriority w:val="7"/>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5E2750" w:themeFill="accent5"/>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E8C9E0" w:themeFill="accent5"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0073CF" w:themeFill="accent6"/>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C2E3FF" w:themeFill="accent6"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A22B38" w:themeFill="accent4"/>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2CED2" w:themeFill="accent4"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C1BB00" w:themeFill="accent1"/>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DBF" w:themeFill="accent1"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53682B" w:themeFill="accen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DFE9CB" w:themeFill="accen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C75B12" w:themeFill="accent3"/>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ADCC9" w:themeFill="accent3" w:themeFillTint="33"/>
        <w:tcMar>
          <w:top w:w="108" w:type="dxa"/>
          <w:left w:w="108" w:type="dxa"/>
          <w:bottom w:w="108" w:type="dxa"/>
          <w:right w:w="108" w:type="dxa"/>
        </w:tcMar>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unhideWhenUsed/>
    <w:rsid w:val="00FE0AD7"/>
    <w:rPr>
      <w:color w:val="605E5C"/>
      <w:shd w:val="clear" w:color="auto" w:fill="E1DFDD"/>
    </w:rPr>
  </w:style>
  <w:style w:type="character" w:styleId="CommentReference">
    <w:name w:val="annotation reference"/>
    <w:basedOn w:val="DefaultParagraphFont"/>
    <w:semiHidden/>
    <w:unhideWhenUsed/>
    <w:rsid w:val="007344C8"/>
    <w:rPr>
      <w:sz w:val="16"/>
      <w:szCs w:val="16"/>
    </w:rPr>
  </w:style>
  <w:style w:type="paragraph" w:styleId="CommentText">
    <w:name w:val="annotation text"/>
    <w:basedOn w:val="Normal"/>
    <w:link w:val="CommentTextChar"/>
    <w:semiHidden/>
    <w:unhideWhenUsed/>
    <w:rsid w:val="007344C8"/>
    <w:rPr>
      <w:sz w:val="20"/>
      <w:szCs w:val="20"/>
    </w:rPr>
  </w:style>
  <w:style w:type="character" w:customStyle="1" w:styleId="CommentTextChar">
    <w:name w:val="Comment Text Char"/>
    <w:basedOn w:val="DefaultParagraphFont"/>
    <w:link w:val="CommentText"/>
    <w:semiHidden/>
    <w:rsid w:val="007344C8"/>
    <w:rPr>
      <w:sz w:val="20"/>
      <w:szCs w:val="20"/>
    </w:rPr>
  </w:style>
  <w:style w:type="paragraph" w:styleId="CommentSubject">
    <w:name w:val="annotation subject"/>
    <w:basedOn w:val="CommentText"/>
    <w:next w:val="CommentText"/>
    <w:link w:val="CommentSubjectChar"/>
    <w:semiHidden/>
    <w:unhideWhenUsed/>
    <w:rsid w:val="007344C8"/>
    <w:rPr>
      <w:b/>
      <w:bCs/>
    </w:rPr>
  </w:style>
  <w:style w:type="character" w:customStyle="1" w:styleId="CommentSubjectChar">
    <w:name w:val="Comment Subject Char"/>
    <w:basedOn w:val="CommentTextChar"/>
    <w:link w:val="CommentSubject"/>
    <w:semiHidden/>
    <w:rsid w:val="007344C8"/>
    <w:rPr>
      <w:b/>
      <w:bCs/>
      <w:sz w:val="20"/>
      <w:szCs w:val="20"/>
    </w:rPr>
  </w:style>
  <w:style w:type="character" w:styleId="Mention">
    <w:name w:val="Mention"/>
    <w:basedOn w:val="DefaultParagraphFont"/>
    <w:uiPriority w:val="99"/>
    <w:unhideWhenUsed/>
    <w:rsid w:val="007344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D8A6B8-70CB-4AA6-8E95-6C42D4C5977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0E7F964-0C96-44E6-BAC2-FC0E99DD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0</TotalTime>
  <Pages>2</Pages>
  <Words>584</Words>
  <Characters>3334</Characters>
  <Application>Microsoft Office Word</Application>
  <DocSecurity>0</DocSecurity>
  <Lines>27</Lines>
  <Paragraphs>7</Paragraphs>
  <ScaleCrop>false</ScaleCrop>
  <Company>Cardinia Shire Council</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15</cp:revision>
  <cp:lastPrinted>2014-03-03T21:33:00Z</cp:lastPrinted>
  <dcterms:created xsi:type="dcterms:W3CDTF">2021-08-10T05:13:00Z</dcterms:created>
  <dcterms:modified xsi:type="dcterms:W3CDTF">2021-08-11T01:21:00Z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