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8744" w14:textId="29BB201F" w:rsidR="008A325F" w:rsidRDefault="00BE1E0B" w:rsidP="008A325F">
      <w:pPr>
        <w:rPr>
          <w:color w:val="FFFFFF" w:themeColor="background1"/>
          <w:sz w:val="32"/>
          <w:szCs w:val="32"/>
        </w:rPr>
      </w:pPr>
      <w:r>
        <w:rPr>
          <w:noProof/>
          <w:color w:val="FFFFFF" w:themeColor="background1"/>
          <w:sz w:val="32"/>
          <w:szCs w:val="32"/>
        </w:rPr>
        <w:drawing>
          <wp:anchor distT="0" distB="0" distL="114300" distR="114300" simplePos="0" relativeHeight="251658240" behindDoc="1" locked="0" layoutInCell="0" allowOverlap="1" wp14:anchorId="5FF28CC0" wp14:editId="0ACC2194">
            <wp:simplePos x="0" y="0"/>
            <wp:positionH relativeFrom="page">
              <wp:align>center</wp:align>
            </wp:positionH>
            <wp:positionV relativeFrom="page">
              <wp:align>top</wp:align>
            </wp:positionV>
            <wp:extent cx="7632185" cy="2477386"/>
            <wp:effectExtent l="0" t="0" r="6985"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13">
                      <a:extLst>
                        <a:ext uri="{28A0092B-C50C-407E-A947-70E740481C1C}">
                          <a14:useLocalDpi xmlns:a14="http://schemas.microsoft.com/office/drawing/2010/main" val="0"/>
                        </a:ext>
                      </a:extLst>
                    </a:blip>
                    <a:stretch>
                      <a:fillRect/>
                    </a:stretch>
                  </pic:blipFill>
                  <pic:spPr>
                    <a:xfrm>
                      <a:off x="0" y="0"/>
                      <a:ext cx="7632185" cy="2477386"/>
                    </a:xfrm>
                    <a:prstGeom prst="rect">
                      <a:avLst/>
                    </a:prstGeom>
                    <a:noFill/>
                    <a:ln>
                      <a:noFill/>
                    </a:ln>
                  </pic:spPr>
                </pic:pic>
              </a:graphicData>
            </a:graphic>
            <wp14:sizeRelH relativeFrom="page">
              <wp14:pctWidth>0</wp14:pctWidth>
            </wp14:sizeRelH>
            <wp14:sizeRelV relativeFrom="page">
              <wp14:pctHeight>0</wp14:pctHeight>
            </wp14:sizeRelV>
          </wp:anchor>
        </w:drawing>
      </w:r>
      <w:r w:rsidR="008A325F" w:rsidRPr="00DF7A15">
        <w:rPr>
          <w:noProof/>
        </w:rPr>
        <w:drawing>
          <wp:anchor distT="0" distB="0" distL="114300" distR="114300" simplePos="0" relativeHeight="251658242" behindDoc="0" locked="0" layoutInCell="1" allowOverlap="1" wp14:anchorId="7453D82E" wp14:editId="4F995173">
            <wp:simplePos x="0" y="0"/>
            <wp:positionH relativeFrom="page">
              <wp:posOffset>5166631</wp:posOffset>
            </wp:positionH>
            <wp:positionV relativeFrom="page">
              <wp:posOffset>363855</wp:posOffset>
            </wp:positionV>
            <wp:extent cx="1704512" cy="1005662"/>
            <wp:effectExtent l="0" t="0" r="0" b="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4">
                      <a:extLst>
                        <a:ext uri="{28A0092B-C50C-407E-A947-70E740481C1C}">
                          <a14:useLocalDpi xmlns:a14="http://schemas.microsoft.com/office/drawing/2010/main" val="0"/>
                        </a:ext>
                      </a:extLst>
                    </a:blip>
                    <a:stretch>
                      <a:fillRect/>
                    </a:stretch>
                  </pic:blipFill>
                  <pic:spPr>
                    <a:xfrm>
                      <a:off x="0" y="0"/>
                      <a:ext cx="1704512" cy="1005662"/>
                    </a:xfrm>
                    <a:prstGeom prst="rect">
                      <a:avLst/>
                    </a:prstGeom>
                  </pic:spPr>
                </pic:pic>
              </a:graphicData>
            </a:graphic>
            <wp14:sizeRelH relativeFrom="page">
              <wp14:pctWidth>0</wp14:pctWidth>
            </wp14:sizeRelH>
            <wp14:sizeRelV relativeFrom="page">
              <wp14:pctHeight>0</wp14:pctHeight>
            </wp14:sizeRelV>
          </wp:anchor>
        </w:drawing>
      </w:r>
      <w:r w:rsidR="008A325F">
        <w:rPr>
          <w:color w:val="FFFFFF" w:themeColor="background1"/>
          <w:sz w:val="32"/>
          <w:szCs w:val="32"/>
        </w:rPr>
        <w:t>Cardinia Shire Council</w:t>
      </w:r>
    </w:p>
    <w:p w14:paraId="42A5F925" w14:textId="2D7A6140" w:rsidR="008A325F" w:rsidRDefault="008A325F" w:rsidP="008A325F">
      <w:pPr>
        <w:pStyle w:val="Title"/>
        <w:tabs>
          <w:tab w:val="left" w:pos="2184"/>
        </w:tabs>
      </w:pPr>
      <w:r>
        <w:rPr>
          <w:noProof/>
        </w:rPr>
        <w:drawing>
          <wp:anchor distT="0" distB="0" distL="114300" distR="114300" simplePos="0" relativeHeight="251658241" behindDoc="1" locked="0" layoutInCell="1" allowOverlap="1" wp14:anchorId="47D6829E" wp14:editId="1CB71A43">
            <wp:simplePos x="0" y="0"/>
            <wp:positionH relativeFrom="margin">
              <wp:posOffset>91440</wp:posOffset>
            </wp:positionH>
            <wp:positionV relativeFrom="margin">
              <wp:posOffset>298450</wp:posOffset>
            </wp:positionV>
            <wp:extent cx="356870" cy="429895"/>
            <wp:effectExtent l="0" t="0" r="508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 travel doma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6870" cy="429895"/>
                    </a:xfrm>
                    <a:prstGeom prst="rect">
                      <a:avLst/>
                    </a:prstGeom>
                  </pic:spPr>
                </pic:pic>
              </a:graphicData>
            </a:graphic>
            <wp14:sizeRelH relativeFrom="margin">
              <wp14:pctWidth>0</wp14:pctWidth>
            </wp14:sizeRelH>
            <wp14:sizeRelV relativeFrom="margin">
              <wp14:pctHeight>0</wp14:pctHeight>
            </wp14:sizeRelV>
          </wp:anchor>
        </w:drawing>
      </w:r>
      <w:r w:rsidR="005C0AA9">
        <w:t>Employment</w:t>
      </w:r>
      <w:r>
        <w:tab/>
      </w:r>
    </w:p>
    <w:p w14:paraId="39B6F18F" w14:textId="77777777" w:rsidR="005403B2" w:rsidRDefault="005403B2" w:rsidP="00284B54">
      <w:pPr>
        <w:rPr>
          <w:noProof/>
        </w:rPr>
      </w:pPr>
    </w:p>
    <w:p w14:paraId="3AA832DA" w14:textId="77777777" w:rsidR="005403B2" w:rsidRDefault="005403B2" w:rsidP="00284B54">
      <w:pPr>
        <w:rPr>
          <w:noProof/>
        </w:rPr>
      </w:pPr>
    </w:p>
    <w:p w14:paraId="43E48E3D" w14:textId="77777777" w:rsidR="005403B2" w:rsidRDefault="005403B2" w:rsidP="00284B54">
      <w:pPr>
        <w:rPr>
          <w:noProof/>
        </w:rPr>
      </w:pPr>
    </w:p>
    <w:p w14:paraId="2ACD6F3A" w14:textId="2E6E5BA8" w:rsidR="00284B54" w:rsidRDefault="00284B54" w:rsidP="005C0AA9">
      <w:pPr>
        <w:rPr>
          <w:noProof/>
        </w:rPr>
      </w:pPr>
    </w:p>
    <w:p w14:paraId="5ABEF9EC" w14:textId="6B86ADEB" w:rsidR="005C0AA9" w:rsidRDefault="005C0AA9" w:rsidP="005C0AA9">
      <w:pPr>
        <w:rPr>
          <w:noProof/>
        </w:rPr>
      </w:pPr>
    </w:p>
    <w:p w14:paraId="28CB12C0" w14:textId="77777777" w:rsidR="005C0AA9" w:rsidRDefault="005C0AA9" w:rsidP="005C0AA9">
      <w:pPr>
        <w:rPr>
          <w:noProof/>
        </w:rPr>
      </w:pPr>
    </w:p>
    <w:p w14:paraId="06CF0D8C" w14:textId="181CFAC7" w:rsidR="00064A68" w:rsidRDefault="004C7213" w:rsidP="008C33B6">
      <w:pPr>
        <w:pStyle w:val="Heading1"/>
        <w:rPr>
          <w:noProof/>
          <w:lang w:eastAsia="en-AU"/>
        </w:rPr>
      </w:pPr>
      <w:r>
        <w:rPr>
          <w:noProof/>
          <w:lang w:eastAsia="en-AU"/>
        </w:rPr>
        <w:t>Domain overview</w:t>
      </w:r>
    </w:p>
    <w:p w14:paraId="0CE6ACEF" w14:textId="77777777" w:rsidR="00F66F25" w:rsidRDefault="00F66F25" w:rsidP="00F66F25">
      <w:bookmarkStart w:id="0" w:name="_GoBack"/>
      <w:r>
        <w:t xml:space="preserve">A diverse and vibrant business sector contributes to the local economy through employment, opportunities for people to shop locally and access to trades and professional services. Destinations and opportunities to dine out, take part in events and festivals and browse markets builds a sense of community and place.  </w:t>
      </w:r>
    </w:p>
    <w:bookmarkEnd w:id="0"/>
    <w:p w14:paraId="653B341C" w14:textId="2C881BDA" w:rsidR="00CC459B" w:rsidRDefault="00CC459B" w:rsidP="00CC459B">
      <w:pPr>
        <w:pStyle w:val="Heading2"/>
      </w:pPr>
      <w:r>
        <w:t xml:space="preserve">Strategic </w:t>
      </w:r>
      <w:r w:rsidR="005544CE">
        <w:t>o</w:t>
      </w:r>
      <w:r>
        <w:t>bjective</w:t>
      </w:r>
    </w:p>
    <w:p w14:paraId="12A1FBC0" w14:textId="77777777" w:rsidR="00532C1E" w:rsidRDefault="00532C1E" w:rsidP="00532C1E">
      <w:pPr>
        <w:rPr>
          <w:lang w:eastAsia="en-US"/>
        </w:rPr>
      </w:pPr>
      <w:r>
        <w:rPr>
          <w:lang w:eastAsia="en-US"/>
        </w:rPr>
        <w:t xml:space="preserve">More people participate in local employment. </w:t>
      </w:r>
    </w:p>
    <w:p w14:paraId="575156BD" w14:textId="77777777" w:rsidR="00CC459B" w:rsidRPr="002D5DC7" w:rsidRDefault="00CC459B" w:rsidP="00CC459B">
      <w:pPr>
        <w:pStyle w:val="Heading2"/>
      </w:pPr>
      <w:r w:rsidRPr="00CC459B">
        <w:t xml:space="preserve">Links to Council Plan </w:t>
      </w:r>
      <w:r w:rsidRPr="758BB75F">
        <w:t xml:space="preserve"> </w:t>
      </w:r>
    </w:p>
    <w:p w14:paraId="73D99CAC" w14:textId="77777777" w:rsidR="00A94476" w:rsidRDefault="00A94476" w:rsidP="00A94476">
      <w:r>
        <w:t xml:space="preserve">4.1 Facilitate better planning for our agricultural land to support industry, innovation, local food economy and local job growth. </w:t>
      </w:r>
    </w:p>
    <w:p w14:paraId="7E5C7768" w14:textId="77777777" w:rsidR="00A94476" w:rsidRDefault="00A94476" w:rsidP="00A94476">
      <w:r>
        <w:t xml:space="preserve">4.2 Plan for sustainable employment precincts to entice new industries to the region and support new business. </w:t>
      </w:r>
    </w:p>
    <w:p w14:paraId="1378F304" w14:textId="77777777" w:rsidR="007333C5" w:rsidRDefault="00A94476" w:rsidP="00A94476">
      <w:r>
        <w:t xml:space="preserve">4.3 Improve local learning and employment pathways opportunities through strategic partnerships. </w:t>
      </w:r>
    </w:p>
    <w:p w14:paraId="3C5DBF00" w14:textId="3C729989" w:rsidR="00A94476" w:rsidRDefault="00A94476" w:rsidP="00A94476">
      <w:r>
        <w:t xml:space="preserve">4.4 Drive local innovation in technology to better support and attract businesses and industries. </w:t>
      </w:r>
    </w:p>
    <w:p w14:paraId="73754454" w14:textId="77777777" w:rsidR="00A94476" w:rsidRPr="00875645" w:rsidRDefault="00A94476" w:rsidP="00A94476">
      <w:pPr>
        <w:rPr>
          <w:lang w:eastAsia="en-US"/>
        </w:rPr>
      </w:pPr>
      <w:r>
        <w:t>4.5 Strengthen and promote our shire's unique identity and visitor attractions.</w:t>
      </w:r>
    </w:p>
    <w:p w14:paraId="27F65C02" w14:textId="03281620" w:rsidR="004C7213" w:rsidRDefault="004C7213" w:rsidP="00437874">
      <w:pPr>
        <w:pStyle w:val="Heading2"/>
      </w:pPr>
      <w:r>
        <w:t xml:space="preserve">About </w:t>
      </w:r>
      <w:r w:rsidR="005C0AA9">
        <w:t>employment</w:t>
      </w:r>
    </w:p>
    <w:p w14:paraId="4421290C" w14:textId="77777777" w:rsidR="00933286" w:rsidRDefault="00933286" w:rsidP="00933286">
      <w:bookmarkStart w:id="1" w:name="_Hlk79493450"/>
      <w:r>
        <w:t>Data about employment in Cardinia Shire shows:</w:t>
      </w:r>
    </w:p>
    <w:p w14:paraId="47308488" w14:textId="3A9E9B21" w:rsidR="00933286" w:rsidRDefault="00933286" w:rsidP="00933286">
      <w:pPr>
        <w:pStyle w:val="Bulletlistmultilevel"/>
        <w:numPr>
          <w:ilvl w:val="0"/>
          <w:numId w:val="16"/>
        </w:numPr>
      </w:pPr>
      <w:r>
        <w:t xml:space="preserve">The top </w:t>
      </w:r>
      <w:r w:rsidR="1D25FAC4">
        <w:t>5</w:t>
      </w:r>
      <w:r>
        <w:t xml:space="preserve"> industries by employment in Cardinia Shire are the 1) </w:t>
      </w:r>
      <w:r w:rsidR="48786104">
        <w:t>c</w:t>
      </w:r>
      <w:r>
        <w:t xml:space="preserve">onstruction 2) </w:t>
      </w:r>
      <w:r w:rsidR="6970CEC1">
        <w:t>r</w:t>
      </w:r>
      <w:r>
        <w:t xml:space="preserve">etail </w:t>
      </w:r>
      <w:r w:rsidR="0011686B">
        <w:t>t</w:t>
      </w:r>
      <w:r>
        <w:t xml:space="preserve">rade 3) </w:t>
      </w:r>
      <w:r w:rsidR="1F5F17EB">
        <w:t>e</w:t>
      </w:r>
      <w:r>
        <w:t xml:space="preserve">ducation and </w:t>
      </w:r>
      <w:r w:rsidR="0011686B">
        <w:t>t</w:t>
      </w:r>
      <w:r>
        <w:t xml:space="preserve">raining 4) </w:t>
      </w:r>
      <w:r w:rsidR="6DF7A5F1">
        <w:t>h</w:t>
      </w:r>
      <w:r>
        <w:t xml:space="preserve">ealth </w:t>
      </w:r>
      <w:r w:rsidR="0011686B">
        <w:t>c</w:t>
      </w:r>
      <w:r>
        <w:t xml:space="preserve">are and </w:t>
      </w:r>
      <w:r w:rsidR="0011686B">
        <w:t>s</w:t>
      </w:r>
      <w:r>
        <w:t xml:space="preserve">ocial </w:t>
      </w:r>
      <w:r w:rsidR="0011686B">
        <w:t>a</w:t>
      </w:r>
      <w:r>
        <w:t>ssistance</w:t>
      </w:r>
      <w:r w:rsidR="4E73FDFF">
        <w:t>,</w:t>
      </w:r>
      <w:r>
        <w:t xml:space="preserve"> and 5) </w:t>
      </w:r>
      <w:r w:rsidR="2B4908C3">
        <w:t>a</w:t>
      </w:r>
      <w:r>
        <w:t xml:space="preserve">griculture, </w:t>
      </w:r>
      <w:r w:rsidR="0011686B">
        <w:t>f</w:t>
      </w:r>
      <w:r>
        <w:t xml:space="preserve">orestry, </w:t>
      </w:r>
      <w:r w:rsidR="0011686B">
        <w:t>f</w:t>
      </w:r>
      <w:r>
        <w:t>ishing</w:t>
      </w:r>
      <w:r w:rsidR="3C97582B">
        <w:t>.</w:t>
      </w:r>
      <w:r>
        <w:t xml:space="preserve"> </w:t>
      </w:r>
    </w:p>
    <w:p w14:paraId="2B5920B6" w14:textId="11CCEA97" w:rsidR="00933286" w:rsidRDefault="00933286" w:rsidP="00933286">
      <w:pPr>
        <w:pStyle w:val="Bulletlistmultilevel"/>
        <w:numPr>
          <w:ilvl w:val="0"/>
          <w:numId w:val="16"/>
        </w:numPr>
      </w:pPr>
      <w:r>
        <w:t>There were 9,199 local businesses in 2020</w:t>
      </w:r>
      <w:r w:rsidR="43FA5D36">
        <w:t>.</w:t>
      </w:r>
    </w:p>
    <w:p w14:paraId="1548AEA7" w14:textId="01F6EAC2" w:rsidR="00933286" w:rsidRDefault="00933286" w:rsidP="00933286">
      <w:pPr>
        <w:pStyle w:val="Bulletlistmultilevel"/>
        <w:numPr>
          <w:ilvl w:val="0"/>
          <w:numId w:val="16"/>
        </w:numPr>
      </w:pPr>
      <w:r>
        <w:t>The jobs</w:t>
      </w:r>
      <w:r w:rsidR="29CEE57E">
        <w:t>-</w:t>
      </w:r>
      <w:r>
        <w:t>to</w:t>
      </w:r>
      <w:r w:rsidR="410A1B16">
        <w:t>-</w:t>
      </w:r>
      <w:r>
        <w:t>residents ratio for Cardinia Shire in 2019</w:t>
      </w:r>
      <w:r w:rsidR="4C29549A">
        <w:t>–</w:t>
      </w:r>
      <w:r>
        <w:t xml:space="preserve">20 was 0.52, meaning that there were less jobs than resident workers. </w:t>
      </w:r>
    </w:p>
    <w:p w14:paraId="2060E98D" w14:textId="7898CDB8" w:rsidR="00933286" w:rsidRDefault="00933286" w:rsidP="00933286">
      <w:pPr>
        <w:pStyle w:val="Bulletlistmultilevel"/>
        <w:numPr>
          <w:ilvl w:val="0"/>
          <w:numId w:val="16"/>
        </w:numPr>
      </w:pPr>
      <w:r>
        <w:t>In June 2021, 5.8% people aged 15</w:t>
      </w:r>
      <w:r w:rsidR="0DE23CA3">
        <w:t>–</w:t>
      </w:r>
      <w:r>
        <w:t xml:space="preserve">64 years were accessing JobSeeker payments. </w:t>
      </w:r>
    </w:p>
    <w:p w14:paraId="40EC987F" w14:textId="1919035C" w:rsidR="00933286" w:rsidRDefault="00933286" w:rsidP="00933286">
      <w:pPr>
        <w:pStyle w:val="Bulletlistmultilevel"/>
        <w:numPr>
          <w:ilvl w:val="0"/>
          <w:numId w:val="16"/>
        </w:numPr>
      </w:pPr>
      <w:r>
        <w:t>In 2016, 74% people aged 15</w:t>
      </w:r>
      <w:r w:rsidR="1703D529">
        <w:t>–</w:t>
      </w:r>
      <w:r>
        <w:t>24 were fully engaged in education or the workforce</w:t>
      </w:r>
      <w:r w:rsidR="16BC2EC5">
        <w:t>.</w:t>
      </w:r>
    </w:p>
    <w:p w14:paraId="4FA3048C" w14:textId="6FA2A009" w:rsidR="00933286" w:rsidRDefault="00933286" w:rsidP="00933286">
      <w:pPr>
        <w:pStyle w:val="Bulletlistmultilevel"/>
        <w:numPr>
          <w:ilvl w:val="0"/>
          <w:numId w:val="16"/>
        </w:numPr>
      </w:pPr>
      <w:r>
        <w:t>In 2016, 9.2% people aged 15</w:t>
      </w:r>
      <w:r w:rsidR="4DE70BDC">
        <w:t>–</w:t>
      </w:r>
      <w:r>
        <w:t>24 were disengaged from education or the workforce</w:t>
      </w:r>
      <w:r w:rsidR="35FC60D9">
        <w:t>.</w:t>
      </w:r>
    </w:p>
    <w:p w14:paraId="06827981" w14:textId="05E0616B" w:rsidR="005E2F42" w:rsidRDefault="005C0AA9" w:rsidP="005E2F42">
      <w:pPr>
        <w:pStyle w:val="Heading2"/>
      </w:pPr>
      <w:r>
        <w:t>Employment</w:t>
      </w:r>
      <w:r w:rsidR="005E2F42" w:rsidRPr="75FEA35D">
        <w:rPr>
          <w:szCs w:val="28"/>
        </w:rPr>
        <w:t xml:space="preserve"> </w:t>
      </w:r>
      <w:r w:rsidR="00EB1CCB">
        <w:rPr>
          <w:szCs w:val="28"/>
        </w:rPr>
        <w:t>l</w:t>
      </w:r>
      <w:r w:rsidR="005E2F42" w:rsidRPr="75FEA35D">
        <w:rPr>
          <w:szCs w:val="28"/>
        </w:rPr>
        <w:t xml:space="preserve">iveability </w:t>
      </w:r>
      <w:r w:rsidR="00EB1CCB">
        <w:t>i</w:t>
      </w:r>
      <w:r w:rsidR="005E2F42">
        <w:t xml:space="preserve">ndicators </w:t>
      </w:r>
    </w:p>
    <w:bookmarkEnd w:id="1"/>
    <w:p w14:paraId="624C3630" w14:textId="77777777" w:rsidR="00E96342" w:rsidRDefault="00E96342" w:rsidP="00E96342">
      <w:pPr>
        <w:pStyle w:val="Bulletlistmultilevel"/>
        <w:numPr>
          <w:ilvl w:val="0"/>
          <w:numId w:val="16"/>
        </w:numPr>
      </w:pPr>
      <w:r>
        <w:t xml:space="preserve">Percentage of persons living and working in the same local government area </w:t>
      </w:r>
    </w:p>
    <w:p w14:paraId="3CFBE719" w14:textId="58861FC7" w:rsidR="004C7213" w:rsidRDefault="004C7213" w:rsidP="00437874">
      <w:pPr>
        <w:pStyle w:val="Heading2"/>
      </w:pPr>
      <w:r>
        <w:t xml:space="preserve">The role of </w:t>
      </w:r>
      <w:r w:rsidR="005C0AA9">
        <w:t>employment</w:t>
      </w:r>
      <w:r>
        <w:t xml:space="preserve"> in our C</w:t>
      </w:r>
      <w:r w:rsidR="6CE33B28">
        <w:t>OVID</w:t>
      </w:r>
      <w:r>
        <w:t>-19 recovery</w:t>
      </w:r>
    </w:p>
    <w:p w14:paraId="0520970D" w14:textId="76D5B6D0" w:rsidR="007344C8" w:rsidRDefault="007344C8" w:rsidP="007344C8">
      <w:r>
        <w:t xml:space="preserve">As a result of the COVID-19 pandemic, shops and businesses in Cardinia Shire were significantly impacted financially and many workers lost their jobs or were on a wage subsidy. Council has played an active role in encouraging the community to support local businesses and </w:t>
      </w:r>
      <w:r w:rsidR="26CACEE4">
        <w:t xml:space="preserve">has </w:t>
      </w:r>
      <w:r>
        <w:t xml:space="preserve">implemented </w:t>
      </w:r>
      <w:r w:rsidR="000532DA">
        <w:t xml:space="preserve">outdoor dining, </w:t>
      </w:r>
      <w:r w:rsidR="006144E1">
        <w:t xml:space="preserve">an online </w:t>
      </w:r>
      <w:r w:rsidR="00E06837">
        <w:t xml:space="preserve">business directory and </w:t>
      </w:r>
      <w:r w:rsidR="006144E1">
        <w:t xml:space="preserve">provided </w:t>
      </w:r>
      <w:r w:rsidR="00D70D5A">
        <w:t xml:space="preserve">information </w:t>
      </w:r>
      <w:r w:rsidR="0BD4BD75">
        <w:t>about</w:t>
      </w:r>
      <w:r w:rsidR="00D70D5A">
        <w:t xml:space="preserve"> COVID-19 business grants.</w:t>
      </w:r>
    </w:p>
    <w:p w14:paraId="7250D020" w14:textId="0866D176" w:rsidR="00ED1DF8" w:rsidRDefault="00ED1DF8" w:rsidP="00ED1DF8">
      <w:pPr>
        <w:pStyle w:val="Heading2"/>
      </w:pPr>
      <w:r>
        <w:t xml:space="preserve">The role of </w:t>
      </w:r>
      <w:r w:rsidR="005C0AA9">
        <w:t>employment</w:t>
      </w:r>
      <w:r>
        <w:t xml:space="preserve"> in addressing climate change</w:t>
      </w:r>
    </w:p>
    <w:p w14:paraId="198F63FD" w14:textId="7FD34351" w:rsidR="00F64156" w:rsidRDefault="00F64156" w:rsidP="00F64156">
      <w:pPr>
        <w:rPr>
          <w:lang w:eastAsia="en-US"/>
        </w:rPr>
      </w:pPr>
      <w:r w:rsidRPr="0616ABA1">
        <w:rPr>
          <w:lang w:eastAsia="en-US"/>
        </w:rPr>
        <w:t xml:space="preserve">Employment prospects and economic development that supports a low carbon future is key to reducing the adverse impacts of climate change. Mitigating emissions and improving the resilience of the local economic and industrial activities will reduce the adverse effects climate change could have on future employment opportunities. A low carbon economy in the </w:t>
      </w:r>
      <w:r w:rsidR="0905D8CC" w:rsidRPr="0616ABA1">
        <w:rPr>
          <w:lang w:eastAsia="en-US"/>
        </w:rPr>
        <w:t>s</w:t>
      </w:r>
      <w:r w:rsidRPr="0616ABA1">
        <w:rPr>
          <w:lang w:eastAsia="en-US"/>
        </w:rPr>
        <w:t xml:space="preserve">hire will be critical to addressing climate change. </w:t>
      </w:r>
    </w:p>
    <w:p w14:paraId="078C4CD2" w14:textId="3C1B4B36" w:rsidR="00AC07E0" w:rsidRDefault="00F64156" w:rsidP="00AC07E0">
      <w:pPr>
        <w:pStyle w:val="Heading2"/>
      </w:pPr>
      <w:r>
        <w:lastRenderedPageBreak/>
        <w:br/>
      </w:r>
      <w:r w:rsidR="00AC07E0" w:rsidRPr="00AC07E0">
        <w:t xml:space="preserve">When thinking about the future of </w:t>
      </w:r>
      <w:r w:rsidR="005C0AA9">
        <w:t>employment</w:t>
      </w:r>
      <w:r w:rsidR="00AC07E0" w:rsidRPr="00AC07E0">
        <w:t xml:space="preserve"> in Cardinia Shire, the following issues are relevant:</w:t>
      </w:r>
    </w:p>
    <w:p w14:paraId="5895096D" w14:textId="77777777" w:rsidR="00C641D4" w:rsidRDefault="00C641D4" w:rsidP="00C641D4">
      <w:pPr>
        <w:pStyle w:val="Bulletlistmultilevel"/>
        <w:numPr>
          <w:ilvl w:val="0"/>
          <w:numId w:val="16"/>
        </w:numPr>
      </w:pPr>
      <w:r>
        <w:t xml:space="preserve">An increase in connectivity to the virtual world, and the increased opportunity to work remotely. </w:t>
      </w:r>
    </w:p>
    <w:p w14:paraId="68977CD4" w14:textId="77777777" w:rsidR="00C641D4" w:rsidRDefault="00C641D4" w:rsidP="00C641D4">
      <w:pPr>
        <w:pStyle w:val="Bulletlistmultilevel"/>
        <w:numPr>
          <w:ilvl w:val="0"/>
          <w:numId w:val="16"/>
        </w:numPr>
      </w:pPr>
      <w:r>
        <w:t>An increased preference for skilled and flexible volunteering options.</w:t>
      </w:r>
    </w:p>
    <w:p w14:paraId="169CAFE1" w14:textId="70609791" w:rsidR="00C641D4" w:rsidRDefault="00C641D4" w:rsidP="00C641D4">
      <w:pPr>
        <w:pStyle w:val="Bulletlistmultilevel"/>
        <w:numPr>
          <w:ilvl w:val="0"/>
          <w:numId w:val="16"/>
        </w:numPr>
      </w:pPr>
      <w:r>
        <w:t>Creating new job opportunities</w:t>
      </w:r>
      <w:r w:rsidR="59D0846F">
        <w:t>.</w:t>
      </w:r>
    </w:p>
    <w:p w14:paraId="1413FC92" w14:textId="008744DF" w:rsidR="00C641D4" w:rsidRDefault="00C641D4" w:rsidP="00C641D4">
      <w:pPr>
        <w:pStyle w:val="Bulletlistmultilevel"/>
        <w:numPr>
          <w:ilvl w:val="0"/>
          <w:numId w:val="16"/>
        </w:numPr>
      </w:pPr>
      <w:r>
        <w:t>Increasing support for social enterprises</w:t>
      </w:r>
      <w:r w:rsidR="17F7DF62">
        <w:t>.</w:t>
      </w:r>
      <w:r>
        <w:t xml:space="preserve"> </w:t>
      </w:r>
    </w:p>
    <w:p w14:paraId="5DCD187F" w14:textId="66CA8112" w:rsidR="00C641D4" w:rsidRDefault="00C641D4" w:rsidP="00C641D4">
      <w:pPr>
        <w:pStyle w:val="Bulletlistmultilevel"/>
        <w:numPr>
          <w:ilvl w:val="0"/>
          <w:numId w:val="16"/>
        </w:numPr>
      </w:pPr>
      <w:r>
        <w:t>Supporting innovation, diversification and resilience within the local economy</w:t>
      </w:r>
      <w:r w:rsidR="0AF98840">
        <w:t>.</w:t>
      </w:r>
    </w:p>
    <w:p w14:paraId="2031A777" w14:textId="77777777" w:rsidR="00C641D4" w:rsidRDefault="00C641D4" w:rsidP="00C641D4">
      <w:pPr>
        <w:pStyle w:val="Bulletlistmultilevel"/>
        <w:numPr>
          <w:ilvl w:val="0"/>
          <w:numId w:val="16"/>
        </w:numPr>
      </w:pPr>
      <w:r>
        <w:t>Plan Melbourne 2050 Policies such as:</w:t>
      </w:r>
    </w:p>
    <w:p w14:paraId="2BF24637" w14:textId="77777777" w:rsidR="00C641D4" w:rsidRDefault="00C641D4" w:rsidP="00C641D4">
      <w:pPr>
        <w:pStyle w:val="Bulletlevel2CSC"/>
        <w:numPr>
          <w:ilvl w:val="1"/>
          <w:numId w:val="16"/>
        </w:numPr>
      </w:pPr>
      <w:r>
        <w:t>1.1.5 Support major transport gateways as important locations for employment and economic activity.</w:t>
      </w:r>
    </w:p>
    <w:p w14:paraId="087C787C" w14:textId="77777777" w:rsidR="00C641D4" w:rsidRDefault="00C641D4" w:rsidP="00C641D4">
      <w:pPr>
        <w:pStyle w:val="Bulletlevel2CSC"/>
        <w:numPr>
          <w:ilvl w:val="1"/>
          <w:numId w:val="16"/>
        </w:numPr>
      </w:pPr>
      <w:r>
        <w:t>1.1.6 Plan for industrial land in the right locations to support employment and investment opportunities.</w:t>
      </w:r>
    </w:p>
    <w:p w14:paraId="2A26F1FC" w14:textId="77777777" w:rsidR="00C641D4" w:rsidRDefault="00C641D4" w:rsidP="00C641D4">
      <w:pPr>
        <w:pStyle w:val="Bulletlevel2CSC"/>
        <w:numPr>
          <w:ilvl w:val="1"/>
          <w:numId w:val="16"/>
        </w:numPr>
      </w:pPr>
      <w:r>
        <w:t>1.1.7 Plan for adequate commercial land across Melbourne.</w:t>
      </w:r>
    </w:p>
    <w:p w14:paraId="331E0838" w14:textId="77777777" w:rsidR="00C641D4" w:rsidRDefault="00C641D4" w:rsidP="00C641D4">
      <w:pPr>
        <w:pStyle w:val="Bulletlevel2CSC"/>
        <w:numPr>
          <w:ilvl w:val="1"/>
          <w:numId w:val="16"/>
        </w:numPr>
      </w:pPr>
      <w:r>
        <w:t>1.2.2 Facilitate investment in Melbourne’s outer areas to increase local access to employment.</w:t>
      </w:r>
    </w:p>
    <w:p w14:paraId="222E249D" w14:textId="77777777" w:rsidR="00C641D4" w:rsidRDefault="00C641D4" w:rsidP="00C641D4">
      <w:pPr>
        <w:pStyle w:val="Bulletlevel2CSC"/>
        <w:numPr>
          <w:ilvl w:val="1"/>
          <w:numId w:val="16"/>
        </w:numPr>
      </w:pPr>
      <w:r>
        <w:t>1.4.1 Protect agricultural land and support agricultural production.</w:t>
      </w:r>
    </w:p>
    <w:p w14:paraId="5F3F4D76" w14:textId="77777777" w:rsidR="00C641D4" w:rsidRDefault="00C641D4" w:rsidP="00C641D4">
      <w:pPr>
        <w:pStyle w:val="Bulletlevel2CSC"/>
        <w:numPr>
          <w:ilvl w:val="1"/>
          <w:numId w:val="16"/>
        </w:numPr>
      </w:pPr>
      <w:r>
        <w:t>1.2.3 Support the provision of telecommunications infrastructure.</w:t>
      </w:r>
    </w:p>
    <w:p w14:paraId="1A8B8B13" w14:textId="77777777" w:rsidR="00C641D4" w:rsidRDefault="00C641D4" w:rsidP="00C641D4">
      <w:pPr>
        <w:pStyle w:val="Bulletlevel2CSC"/>
        <w:numPr>
          <w:ilvl w:val="1"/>
          <w:numId w:val="16"/>
        </w:numPr>
      </w:pPr>
      <w:r>
        <w:t>2.1.2 Facilitate an increased percentage of new housing in established areas to create a city of 20-minute neighbourhoods close to existing services, jobs and public transport.</w:t>
      </w:r>
    </w:p>
    <w:p w14:paraId="76631E42" w14:textId="77777777" w:rsidR="00C641D4" w:rsidRDefault="00C641D4" w:rsidP="00C641D4">
      <w:pPr>
        <w:pStyle w:val="Bulletlevel2CSC"/>
        <w:numPr>
          <w:ilvl w:val="1"/>
          <w:numId w:val="16"/>
        </w:numPr>
      </w:pPr>
      <w:r>
        <w:t>3.1.6 Support cycling for commuting.</w:t>
      </w:r>
    </w:p>
    <w:p w14:paraId="538CB952" w14:textId="3DA5C893" w:rsidR="00C641D4" w:rsidRDefault="00C641D4" w:rsidP="00C641D4">
      <w:pPr>
        <w:pStyle w:val="Bulletlevel2CSC"/>
        <w:numPr>
          <w:ilvl w:val="1"/>
          <w:numId w:val="16"/>
        </w:numPr>
      </w:pPr>
      <w:r>
        <w:t>5.1.2 Support a network of vibrant neighbourhood activity centres</w:t>
      </w:r>
      <w:r w:rsidR="468119C3">
        <w:t>.</w:t>
      </w:r>
    </w:p>
    <w:p w14:paraId="7E2124FD" w14:textId="77777777" w:rsidR="00C641D4" w:rsidRPr="00C641D4" w:rsidRDefault="00C641D4" w:rsidP="00C641D4">
      <w:pPr>
        <w:rPr>
          <w:lang w:eastAsia="en-US"/>
        </w:rPr>
      </w:pPr>
    </w:p>
    <w:sectPr w:rsidR="00C641D4" w:rsidRPr="00C641D4" w:rsidSect="008128EA">
      <w:footerReference w:type="default" r:id="rId16"/>
      <w:pgSz w:w="11906" w:h="16838" w:code="9"/>
      <w:pgMar w:top="851" w:right="992" w:bottom="1276" w:left="113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A954B" w14:textId="77777777" w:rsidR="00C10F74" w:rsidRDefault="00C10F74" w:rsidP="00756052">
      <w:r>
        <w:separator/>
      </w:r>
    </w:p>
    <w:p w14:paraId="1C7E1120" w14:textId="77777777" w:rsidR="00C10F74" w:rsidRDefault="00C10F74"/>
  </w:endnote>
  <w:endnote w:type="continuationSeparator" w:id="0">
    <w:p w14:paraId="2BB9D402" w14:textId="77777777" w:rsidR="00C10F74" w:rsidRDefault="00C10F74" w:rsidP="00756052">
      <w:r>
        <w:continuationSeparator/>
      </w:r>
    </w:p>
    <w:p w14:paraId="130712E4" w14:textId="77777777" w:rsidR="00C10F74" w:rsidRDefault="00C10F74"/>
  </w:endnote>
  <w:endnote w:type="continuationNotice" w:id="1">
    <w:p w14:paraId="09265047" w14:textId="77777777" w:rsidR="00C10F74" w:rsidRDefault="00C10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f5">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BEE8" w14:textId="77777777" w:rsidR="00FB503C" w:rsidRDefault="00FB503C" w:rsidP="00FB503C">
    <w:r w:rsidRPr="00FE0AD7">
      <w:t xml:space="preserve">For more information contact Cardinia Shire Council on 1300 787 624 or </w:t>
    </w:r>
    <w:hyperlink r:id="rId1" w:history="1">
      <w:r w:rsidRPr="00B16794">
        <w:rPr>
          <w:rStyle w:val="Hyperlink"/>
        </w:rPr>
        <w:t>mail@cardinia.vic.gov.au</w:t>
      </w:r>
    </w:hyperlink>
  </w:p>
  <w:p w14:paraId="68C57C42" w14:textId="77777777" w:rsidR="00FB503C" w:rsidRDefault="00FB503C" w:rsidP="00FB503C">
    <w:pPr>
      <w:pStyle w:val="Footer"/>
      <w:rPr>
        <w:rStyle w:val="jsgrdq"/>
        <w:rFonts w:eastAsiaTheme="majorEastAsia"/>
        <w:color w:val="000000"/>
      </w:rPr>
    </w:pPr>
  </w:p>
  <w:p w14:paraId="7B3CCFBB" w14:textId="66FA3E61" w:rsidR="00FB503C" w:rsidRDefault="00FB503C" w:rsidP="00FB503C">
    <w:pPr>
      <w:pStyle w:val="Footer"/>
      <w:rPr>
        <w:rStyle w:val="Hyperlink"/>
        <w:rFonts w:eastAsiaTheme="majorEastAsia"/>
        <w:color w:val="000000"/>
      </w:rPr>
    </w:pPr>
    <w:r>
      <w:rPr>
        <w:rStyle w:val="jsgrdq"/>
        <w:rFonts w:eastAsiaTheme="majorEastAsia"/>
        <w:color w:val="000000"/>
      </w:rPr>
      <w:t xml:space="preserve">For data sources and references refer to the Liveability Data and Research Profile 2021 available at </w:t>
    </w:r>
    <w:hyperlink r:id="rId2" w:tgtFrame="_blank" w:history="1">
      <w:r>
        <w:rPr>
          <w:rStyle w:val="Hyperlink"/>
          <w:rFonts w:eastAsiaTheme="majorEastAsia"/>
          <w:color w:val="000000"/>
        </w:rPr>
        <w:t>cardinia.vic.gov.au</w:t>
      </w:r>
    </w:hyperlink>
  </w:p>
  <w:p w14:paraId="2937FC69" w14:textId="77777777" w:rsidR="00FB503C" w:rsidRDefault="00FB503C" w:rsidP="00FB503C">
    <w:pPr>
      <w:pStyle w:val="Footer"/>
    </w:pPr>
  </w:p>
  <w:p w14:paraId="341A4000" w14:textId="77777777" w:rsidR="00793CBF" w:rsidRDefault="00793CBF"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Pr="00334E7E">
      <w:rPr>
        <w:i/>
        <w:szCs w:val="18"/>
      </w:rPr>
      <w:tab/>
    </w:r>
    <w:r w:rsidRPr="00334E7E">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sidR="00B64B83">
      <w:rPr>
        <w:i/>
        <w:noProof/>
        <w:szCs w:val="18"/>
      </w:rPr>
      <w:t>2</w:t>
    </w:r>
    <w:r w:rsidRPr="00334E7E">
      <w:rPr>
        <w:i/>
        <w:noProof/>
        <w:szCs w:val="18"/>
      </w:rPr>
      <w:fldChar w:fldCharType="end"/>
    </w:r>
  </w:p>
  <w:p w14:paraId="1F15CF10" w14:textId="77777777" w:rsidR="00CC2557" w:rsidRDefault="00CC25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822E0" w14:textId="77777777" w:rsidR="00C10F74" w:rsidRDefault="00C10F74" w:rsidP="00756052">
      <w:r>
        <w:separator/>
      </w:r>
    </w:p>
    <w:p w14:paraId="2B0EECBE" w14:textId="77777777" w:rsidR="00C10F74" w:rsidRDefault="00C10F74"/>
  </w:footnote>
  <w:footnote w:type="continuationSeparator" w:id="0">
    <w:p w14:paraId="7D2B812F" w14:textId="77777777" w:rsidR="00C10F74" w:rsidRDefault="00C10F74" w:rsidP="00756052">
      <w:r>
        <w:continuationSeparator/>
      </w:r>
    </w:p>
    <w:p w14:paraId="0907EF79" w14:textId="77777777" w:rsidR="00C10F74" w:rsidRDefault="00C10F74"/>
  </w:footnote>
  <w:footnote w:type="continuationNotice" w:id="1">
    <w:p w14:paraId="4DE9ECFE" w14:textId="77777777" w:rsidR="00C10F74" w:rsidRDefault="00C10F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2F342A9"/>
    <w:multiLevelType w:val="hybridMultilevel"/>
    <w:tmpl w:val="1F12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3336B9A"/>
    <w:multiLevelType w:val="multilevel"/>
    <w:tmpl w:val="9B126840"/>
    <w:lvl w:ilvl="0">
      <w:start w:val="1"/>
      <w:numFmt w:val="decimal"/>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D3F5FDA"/>
    <w:multiLevelType w:val="hybridMultilevel"/>
    <w:tmpl w:val="0890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FB712C7"/>
    <w:multiLevelType w:val="hybridMultilevel"/>
    <w:tmpl w:val="2678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9" w15:restartNumberingAfterBreak="0">
    <w:nsid w:val="220719D8"/>
    <w:multiLevelType w:val="hybridMultilevel"/>
    <w:tmpl w:val="32B83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2" w15:restartNumberingAfterBreak="0">
    <w:nsid w:val="298B7ADA"/>
    <w:multiLevelType w:val="hybridMultilevel"/>
    <w:tmpl w:val="7AAC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409003F7"/>
    <w:multiLevelType w:val="hybridMultilevel"/>
    <w:tmpl w:val="7E72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82661E"/>
    <w:multiLevelType w:val="hybridMultilevel"/>
    <w:tmpl w:val="AC36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7F3C65"/>
    <w:multiLevelType w:val="hybridMultilevel"/>
    <w:tmpl w:val="FFFFFFFF"/>
    <w:lvl w:ilvl="0" w:tplc="543605E6">
      <w:start w:val="1"/>
      <w:numFmt w:val="bullet"/>
      <w:lvlText w:val="·"/>
      <w:lvlJc w:val="left"/>
      <w:pPr>
        <w:ind w:left="720" w:hanging="360"/>
      </w:pPr>
      <w:rPr>
        <w:rFonts w:ascii="Symbol" w:hAnsi="Symbol" w:hint="default"/>
      </w:rPr>
    </w:lvl>
    <w:lvl w:ilvl="1" w:tplc="B3CE550C">
      <w:start w:val="1"/>
      <w:numFmt w:val="decimal"/>
      <w:lvlText w:val="%2."/>
      <w:lvlJc w:val="left"/>
      <w:pPr>
        <w:ind w:left="1440" w:hanging="360"/>
      </w:pPr>
      <w:rPr>
        <w:rFonts w:hint="default"/>
      </w:rPr>
    </w:lvl>
    <w:lvl w:ilvl="2" w:tplc="43E4DEE0">
      <w:start w:val="1"/>
      <w:numFmt w:val="bullet"/>
      <w:lvlText w:val=""/>
      <w:lvlJc w:val="left"/>
      <w:pPr>
        <w:ind w:left="2160" w:hanging="360"/>
      </w:pPr>
      <w:rPr>
        <w:rFonts w:ascii="Wingdings" w:hAnsi="Wingdings" w:hint="default"/>
      </w:rPr>
    </w:lvl>
    <w:lvl w:ilvl="3" w:tplc="BC38637A">
      <w:start w:val="1"/>
      <w:numFmt w:val="bullet"/>
      <w:lvlText w:val=""/>
      <w:lvlJc w:val="left"/>
      <w:pPr>
        <w:ind w:left="2880" w:hanging="360"/>
      </w:pPr>
      <w:rPr>
        <w:rFonts w:ascii="Symbol" w:hAnsi="Symbol" w:hint="default"/>
      </w:rPr>
    </w:lvl>
    <w:lvl w:ilvl="4" w:tplc="9B4A09D6">
      <w:start w:val="1"/>
      <w:numFmt w:val="bullet"/>
      <w:lvlText w:val="o"/>
      <w:lvlJc w:val="left"/>
      <w:pPr>
        <w:ind w:left="3600" w:hanging="360"/>
      </w:pPr>
      <w:rPr>
        <w:rFonts w:ascii="Courier New" w:hAnsi="Courier New" w:hint="default"/>
      </w:rPr>
    </w:lvl>
    <w:lvl w:ilvl="5" w:tplc="A906CEAA">
      <w:start w:val="1"/>
      <w:numFmt w:val="bullet"/>
      <w:lvlText w:val=""/>
      <w:lvlJc w:val="left"/>
      <w:pPr>
        <w:ind w:left="4320" w:hanging="360"/>
      </w:pPr>
      <w:rPr>
        <w:rFonts w:ascii="Wingdings" w:hAnsi="Wingdings" w:hint="default"/>
      </w:rPr>
    </w:lvl>
    <w:lvl w:ilvl="6" w:tplc="D8DAE07C">
      <w:start w:val="1"/>
      <w:numFmt w:val="bullet"/>
      <w:lvlText w:val=""/>
      <w:lvlJc w:val="left"/>
      <w:pPr>
        <w:ind w:left="5040" w:hanging="360"/>
      </w:pPr>
      <w:rPr>
        <w:rFonts w:ascii="Symbol" w:hAnsi="Symbol" w:hint="default"/>
      </w:rPr>
    </w:lvl>
    <w:lvl w:ilvl="7" w:tplc="73E81608">
      <w:start w:val="1"/>
      <w:numFmt w:val="bullet"/>
      <w:lvlText w:val="o"/>
      <w:lvlJc w:val="left"/>
      <w:pPr>
        <w:ind w:left="5760" w:hanging="360"/>
      </w:pPr>
      <w:rPr>
        <w:rFonts w:ascii="Courier New" w:hAnsi="Courier New" w:hint="default"/>
      </w:rPr>
    </w:lvl>
    <w:lvl w:ilvl="8" w:tplc="A1A823F8">
      <w:start w:val="1"/>
      <w:numFmt w:val="bullet"/>
      <w:lvlText w:val=""/>
      <w:lvlJc w:val="left"/>
      <w:pPr>
        <w:ind w:left="6480" w:hanging="360"/>
      </w:pPr>
      <w:rPr>
        <w:rFonts w:ascii="Wingdings" w:hAnsi="Wingdings" w:hint="default"/>
      </w:rPr>
    </w:lvl>
  </w:abstractNum>
  <w:abstractNum w:abstractNumId="18"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9"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0" w15:restartNumberingAfterBreak="0">
    <w:nsid w:val="46823645"/>
    <w:multiLevelType w:val="hybridMultilevel"/>
    <w:tmpl w:val="7536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2" w15:restartNumberingAfterBreak="0">
    <w:nsid w:val="54E8096E"/>
    <w:multiLevelType w:val="hybridMultilevel"/>
    <w:tmpl w:val="02105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6B619A"/>
    <w:multiLevelType w:val="hybridMultilevel"/>
    <w:tmpl w:val="6B589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4"/>
  </w:num>
  <w:num w:numId="2">
    <w:abstractNumId w:val="8"/>
  </w:num>
  <w:num w:numId="3">
    <w:abstractNumId w:val="2"/>
  </w:num>
  <w:num w:numId="4">
    <w:abstractNumId w:val="2"/>
  </w:num>
  <w:num w:numId="5">
    <w:abstractNumId w:val="5"/>
  </w:num>
  <w:num w:numId="6">
    <w:abstractNumId w:val="5"/>
  </w:num>
  <w:num w:numId="7">
    <w:abstractNumId w:val="7"/>
  </w:num>
  <w:num w:numId="8">
    <w:abstractNumId w:val="18"/>
  </w:num>
  <w:num w:numId="9">
    <w:abstractNumId w:val="0"/>
  </w:num>
  <w:num w:numId="10">
    <w:abstractNumId w:val="21"/>
  </w:num>
  <w:num w:numId="11">
    <w:abstractNumId w:val="11"/>
  </w:num>
  <w:num w:numId="12">
    <w:abstractNumId w:val="14"/>
  </w:num>
  <w:num w:numId="13">
    <w:abstractNumId w:val="13"/>
  </w:num>
  <w:num w:numId="14">
    <w:abstractNumId w:val="10"/>
  </w:num>
  <w:num w:numId="15">
    <w:abstractNumId w:val="0"/>
  </w:num>
  <w:num w:numId="16">
    <w:abstractNumId w:val="19"/>
  </w:num>
  <w:num w:numId="17">
    <w:abstractNumId w:val="19"/>
  </w:num>
  <w:num w:numId="18">
    <w:abstractNumId w:val="19"/>
  </w:num>
  <w:num w:numId="19">
    <w:abstractNumId w:val="0"/>
  </w:num>
  <w:num w:numId="20">
    <w:abstractNumId w:val="0"/>
  </w:num>
  <w:num w:numId="21">
    <w:abstractNumId w:val="0"/>
  </w:num>
  <w:num w:numId="22">
    <w:abstractNumId w:val="20"/>
  </w:num>
  <w:num w:numId="23">
    <w:abstractNumId w:val="16"/>
  </w:num>
  <w:num w:numId="24">
    <w:abstractNumId w:val="15"/>
  </w:num>
  <w:num w:numId="25">
    <w:abstractNumId w:val="6"/>
  </w:num>
  <w:num w:numId="26">
    <w:abstractNumId w:val="12"/>
  </w:num>
  <w:num w:numId="27">
    <w:abstractNumId w:val="9"/>
  </w:num>
  <w:num w:numId="28">
    <w:abstractNumId w:val="1"/>
  </w:num>
  <w:num w:numId="29">
    <w:abstractNumId w:val="23"/>
  </w:num>
  <w:num w:numId="30">
    <w:abstractNumId w:val="4"/>
  </w:num>
  <w:num w:numId="31">
    <w:abstractNumId w:val="22"/>
  </w:num>
  <w:num w:numId="32">
    <w:abstractNumId w:val="17"/>
  </w:num>
  <w:num w:numId="3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D7"/>
    <w:rsid w:val="00002076"/>
    <w:rsid w:val="0000276F"/>
    <w:rsid w:val="00003EF1"/>
    <w:rsid w:val="00005A9A"/>
    <w:rsid w:val="000065FA"/>
    <w:rsid w:val="0001029C"/>
    <w:rsid w:val="00027AC5"/>
    <w:rsid w:val="000300C4"/>
    <w:rsid w:val="00033AC3"/>
    <w:rsid w:val="00034D73"/>
    <w:rsid w:val="000353BD"/>
    <w:rsid w:val="000405A2"/>
    <w:rsid w:val="00045C32"/>
    <w:rsid w:val="00046498"/>
    <w:rsid w:val="00046E8A"/>
    <w:rsid w:val="00047F61"/>
    <w:rsid w:val="000532DA"/>
    <w:rsid w:val="00055C7A"/>
    <w:rsid w:val="0006109B"/>
    <w:rsid w:val="00063997"/>
    <w:rsid w:val="00064A68"/>
    <w:rsid w:val="00065254"/>
    <w:rsid w:val="00065C0D"/>
    <w:rsid w:val="00074A01"/>
    <w:rsid w:val="0008005A"/>
    <w:rsid w:val="0008026E"/>
    <w:rsid w:val="00082AD3"/>
    <w:rsid w:val="000851DC"/>
    <w:rsid w:val="00092F88"/>
    <w:rsid w:val="00092FBA"/>
    <w:rsid w:val="00093396"/>
    <w:rsid w:val="0009420D"/>
    <w:rsid w:val="000A1287"/>
    <w:rsid w:val="000A4852"/>
    <w:rsid w:val="000A4C5C"/>
    <w:rsid w:val="000A5213"/>
    <w:rsid w:val="000B7D1E"/>
    <w:rsid w:val="000C1A4E"/>
    <w:rsid w:val="000C235B"/>
    <w:rsid w:val="000C3551"/>
    <w:rsid w:val="000C670F"/>
    <w:rsid w:val="000C76C1"/>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0C7"/>
    <w:rsid w:val="001024FB"/>
    <w:rsid w:val="00104139"/>
    <w:rsid w:val="00104E81"/>
    <w:rsid w:val="0010681D"/>
    <w:rsid w:val="0011176C"/>
    <w:rsid w:val="00111D08"/>
    <w:rsid w:val="00111E78"/>
    <w:rsid w:val="00112513"/>
    <w:rsid w:val="0011686B"/>
    <w:rsid w:val="00117201"/>
    <w:rsid w:val="001225DB"/>
    <w:rsid w:val="00124147"/>
    <w:rsid w:val="0012564B"/>
    <w:rsid w:val="00125CF9"/>
    <w:rsid w:val="00130D42"/>
    <w:rsid w:val="001314F3"/>
    <w:rsid w:val="00131F04"/>
    <w:rsid w:val="001321F7"/>
    <w:rsid w:val="001334D0"/>
    <w:rsid w:val="00135F1E"/>
    <w:rsid w:val="00140935"/>
    <w:rsid w:val="00143C09"/>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2E61"/>
    <w:rsid w:val="00186C9B"/>
    <w:rsid w:val="0019007C"/>
    <w:rsid w:val="00190FD2"/>
    <w:rsid w:val="001926AC"/>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14F7"/>
    <w:rsid w:val="001D78B1"/>
    <w:rsid w:val="001E0F6C"/>
    <w:rsid w:val="001E1022"/>
    <w:rsid w:val="001E7B39"/>
    <w:rsid w:val="001F03C8"/>
    <w:rsid w:val="001F0D0B"/>
    <w:rsid w:val="001F0E8F"/>
    <w:rsid w:val="001F27BF"/>
    <w:rsid w:val="001F71EC"/>
    <w:rsid w:val="00201284"/>
    <w:rsid w:val="0020275D"/>
    <w:rsid w:val="00202FFD"/>
    <w:rsid w:val="002070BA"/>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1664"/>
    <w:rsid w:val="00283385"/>
    <w:rsid w:val="00283A4B"/>
    <w:rsid w:val="00284355"/>
    <w:rsid w:val="00284B54"/>
    <w:rsid w:val="00287645"/>
    <w:rsid w:val="00287D46"/>
    <w:rsid w:val="002933AA"/>
    <w:rsid w:val="002A10B2"/>
    <w:rsid w:val="002A2271"/>
    <w:rsid w:val="002A5D54"/>
    <w:rsid w:val="002A7F39"/>
    <w:rsid w:val="002B0EC7"/>
    <w:rsid w:val="002B525B"/>
    <w:rsid w:val="002B5EA0"/>
    <w:rsid w:val="002B7DA3"/>
    <w:rsid w:val="002C05FC"/>
    <w:rsid w:val="002C320C"/>
    <w:rsid w:val="002D3AC4"/>
    <w:rsid w:val="002E187E"/>
    <w:rsid w:val="002E27A0"/>
    <w:rsid w:val="002F017E"/>
    <w:rsid w:val="002F334D"/>
    <w:rsid w:val="003003DB"/>
    <w:rsid w:val="0030112F"/>
    <w:rsid w:val="00302984"/>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D6F"/>
    <w:rsid w:val="00337557"/>
    <w:rsid w:val="00340478"/>
    <w:rsid w:val="00341533"/>
    <w:rsid w:val="00341AFA"/>
    <w:rsid w:val="00345DAD"/>
    <w:rsid w:val="00350C3B"/>
    <w:rsid w:val="00351661"/>
    <w:rsid w:val="00351C08"/>
    <w:rsid w:val="003534C9"/>
    <w:rsid w:val="00357C44"/>
    <w:rsid w:val="00361F26"/>
    <w:rsid w:val="00362495"/>
    <w:rsid w:val="00362802"/>
    <w:rsid w:val="00365B1D"/>
    <w:rsid w:val="00370C38"/>
    <w:rsid w:val="003722B8"/>
    <w:rsid w:val="003723B1"/>
    <w:rsid w:val="0037449C"/>
    <w:rsid w:val="00374DC5"/>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69A1"/>
    <w:rsid w:val="003A76E1"/>
    <w:rsid w:val="003C26EF"/>
    <w:rsid w:val="003C37E0"/>
    <w:rsid w:val="003C7B87"/>
    <w:rsid w:val="003D0278"/>
    <w:rsid w:val="003D06BD"/>
    <w:rsid w:val="003D4CED"/>
    <w:rsid w:val="003D4F97"/>
    <w:rsid w:val="003D5D07"/>
    <w:rsid w:val="003E0907"/>
    <w:rsid w:val="003E23A7"/>
    <w:rsid w:val="003E58BF"/>
    <w:rsid w:val="003E659E"/>
    <w:rsid w:val="003E67D6"/>
    <w:rsid w:val="003E6DE1"/>
    <w:rsid w:val="003F24A1"/>
    <w:rsid w:val="003F75DF"/>
    <w:rsid w:val="0040072B"/>
    <w:rsid w:val="0040164F"/>
    <w:rsid w:val="00402027"/>
    <w:rsid w:val="00402A24"/>
    <w:rsid w:val="00403877"/>
    <w:rsid w:val="004058CE"/>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874"/>
    <w:rsid w:val="00437C9B"/>
    <w:rsid w:val="00443B76"/>
    <w:rsid w:val="004475BB"/>
    <w:rsid w:val="0045133A"/>
    <w:rsid w:val="00451530"/>
    <w:rsid w:val="004545E7"/>
    <w:rsid w:val="0046071D"/>
    <w:rsid w:val="00461AE2"/>
    <w:rsid w:val="00463134"/>
    <w:rsid w:val="00465919"/>
    <w:rsid w:val="00466266"/>
    <w:rsid w:val="00473070"/>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13"/>
    <w:rsid w:val="004C7240"/>
    <w:rsid w:val="004C7F7B"/>
    <w:rsid w:val="004D4BC3"/>
    <w:rsid w:val="004D5EA5"/>
    <w:rsid w:val="004E0D59"/>
    <w:rsid w:val="004E122D"/>
    <w:rsid w:val="004E1AB7"/>
    <w:rsid w:val="004E444D"/>
    <w:rsid w:val="004E4A89"/>
    <w:rsid w:val="004E4D48"/>
    <w:rsid w:val="004E6995"/>
    <w:rsid w:val="004E7872"/>
    <w:rsid w:val="004F04E0"/>
    <w:rsid w:val="004F19B8"/>
    <w:rsid w:val="004F2511"/>
    <w:rsid w:val="004F544A"/>
    <w:rsid w:val="00501BAF"/>
    <w:rsid w:val="00504664"/>
    <w:rsid w:val="00507905"/>
    <w:rsid w:val="005107D2"/>
    <w:rsid w:val="00510FC5"/>
    <w:rsid w:val="0051166A"/>
    <w:rsid w:val="00512815"/>
    <w:rsid w:val="00515C02"/>
    <w:rsid w:val="00517B3C"/>
    <w:rsid w:val="005208F7"/>
    <w:rsid w:val="00532C1E"/>
    <w:rsid w:val="0053449E"/>
    <w:rsid w:val="00536EF9"/>
    <w:rsid w:val="005403B2"/>
    <w:rsid w:val="005473A4"/>
    <w:rsid w:val="005479E6"/>
    <w:rsid w:val="00551934"/>
    <w:rsid w:val="005544CE"/>
    <w:rsid w:val="0055572D"/>
    <w:rsid w:val="00557157"/>
    <w:rsid w:val="00561E68"/>
    <w:rsid w:val="00561E73"/>
    <w:rsid w:val="005632F5"/>
    <w:rsid w:val="0057114E"/>
    <w:rsid w:val="00572CC6"/>
    <w:rsid w:val="00573CFA"/>
    <w:rsid w:val="00576835"/>
    <w:rsid w:val="005774D2"/>
    <w:rsid w:val="00584754"/>
    <w:rsid w:val="00584D21"/>
    <w:rsid w:val="00587270"/>
    <w:rsid w:val="00590368"/>
    <w:rsid w:val="005906AD"/>
    <w:rsid w:val="00593D87"/>
    <w:rsid w:val="0059528D"/>
    <w:rsid w:val="00597F25"/>
    <w:rsid w:val="005A0164"/>
    <w:rsid w:val="005A0990"/>
    <w:rsid w:val="005A0E08"/>
    <w:rsid w:val="005A1E6D"/>
    <w:rsid w:val="005A361D"/>
    <w:rsid w:val="005A6051"/>
    <w:rsid w:val="005B1D98"/>
    <w:rsid w:val="005B1E2E"/>
    <w:rsid w:val="005B2D52"/>
    <w:rsid w:val="005B381D"/>
    <w:rsid w:val="005B41AC"/>
    <w:rsid w:val="005B6907"/>
    <w:rsid w:val="005B7106"/>
    <w:rsid w:val="005C0AA9"/>
    <w:rsid w:val="005C0D00"/>
    <w:rsid w:val="005C1C51"/>
    <w:rsid w:val="005C287F"/>
    <w:rsid w:val="005C4E39"/>
    <w:rsid w:val="005C60EA"/>
    <w:rsid w:val="005C7D4C"/>
    <w:rsid w:val="005D0DB0"/>
    <w:rsid w:val="005D13A0"/>
    <w:rsid w:val="005D19E9"/>
    <w:rsid w:val="005D1C2C"/>
    <w:rsid w:val="005D1DDD"/>
    <w:rsid w:val="005D1DED"/>
    <w:rsid w:val="005D2085"/>
    <w:rsid w:val="005D3F5A"/>
    <w:rsid w:val="005D4ECC"/>
    <w:rsid w:val="005D4F00"/>
    <w:rsid w:val="005D5501"/>
    <w:rsid w:val="005E067A"/>
    <w:rsid w:val="005E2F42"/>
    <w:rsid w:val="005E4993"/>
    <w:rsid w:val="005E6A56"/>
    <w:rsid w:val="005E799E"/>
    <w:rsid w:val="005F2251"/>
    <w:rsid w:val="005F6A0E"/>
    <w:rsid w:val="005F6DB6"/>
    <w:rsid w:val="00601110"/>
    <w:rsid w:val="00601A0B"/>
    <w:rsid w:val="00601DAE"/>
    <w:rsid w:val="006023A4"/>
    <w:rsid w:val="006112CA"/>
    <w:rsid w:val="00613ABD"/>
    <w:rsid w:val="006144E1"/>
    <w:rsid w:val="00617890"/>
    <w:rsid w:val="006231CB"/>
    <w:rsid w:val="006257FC"/>
    <w:rsid w:val="00625916"/>
    <w:rsid w:val="00625EBA"/>
    <w:rsid w:val="006267BA"/>
    <w:rsid w:val="0063231F"/>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500"/>
    <w:rsid w:val="00673A5B"/>
    <w:rsid w:val="0067651F"/>
    <w:rsid w:val="006767D9"/>
    <w:rsid w:val="006873F7"/>
    <w:rsid w:val="0068744B"/>
    <w:rsid w:val="00690649"/>
    <w:rsid w:val="00690C90"/>
    <w:rsid w:val="006911EB"/>
    <w:rsid w:val="00694D70"/>
    <w:rsid w:val="00694F3D"/>
    <w:rsid w:val="006951D1"/>
    <w:rsid w:val="00695E65"/>
    <w:rsid w:val="006A0DD7"/>
    <w:rsid w:val="006A2F2F"/>
    <w:rsid w:val="006A4F5A"/>
    <w:rsid w:val="006A56F1"/>
    <w:rsid w:val="006A635F"/>
    <w:rsid w:val="006B0415"/>
    <w:rsid w:val="006B0A7F"/>
    <w:rsid w:val="006B3FB9"/>
    <w:rsid w:val="006B71B5"/>
    <w:rsid w:val="006C1C35"/>
    <w:rsid w:val="006C4F09"/>
    <w:rsid w:val="006D095A"/>
    <w:rsid w:val="006D197F"/>
    <w:rsid w:val="006D3928"/>
    <w:rsid w:val="006D417A"/>
    <w:rsid w:val="006D61AD"/>
    <w:rsid w:val="006D6CD2"/>
    <w:rsid w:val="006E0E6D"/>
    <w:rsid w:val="006E1C25"/>
    <w:rsid w:val="006E36AC"/>
    <w:rsid w:val="006E44C2"/>
    <w:rsid w:val="006E468C"/>
    <w:rsid w:val="006E66A1"/>
    <w:rsid w:val="006F0BD6"/>
    <w:rsid w:val="006F41B2"/>
    <w:rsid w:val="006F4332"/>
    <w:rsid w:val="006F5371"/>
    <w:rsid w:val="006F676E"/>
    <w:rsid w:val="00704AEA"/>
    <w:rsid w:val="007071F8"/>
    <w:rsid w:val="0071152F"/>
    <w:rsid w:val="00711E46"/>
    <w:rsid w:val="007218DF"/>
    <w:rsid w:val="00722ACC"/>
    <w:rsid w:val="0072340D"/>
    <w:rsid w:val="00723EE1"/>
    <w:rsid w:val="00726554"/>
    <w:rsid w:val="007302A6"/>
    <w:rsid w:val="00732391"/>
    <w:rsid w:val="00732636"/>
    <w:rsid w:val="00732E19"/>
    <w:rsid w:val="007333C5"/>
    <w:rsid w:val="007344C8"/>
    <w:rsid w:val="00734AA9"/>
    <w:rsid w:val="007359F2"/>
    <w:rsid w:val="0073671E"/>
    <w:rsid w:val="0073790F"/>
    <w:rsid w:val="00737E17"/>
    <w:rsid w:val="007415A6"/>
    <w:rsid w:val="0074337D"/>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337D"/>
    <w:rsid w:val="00785116"/>
    <w:rsid w:val="00786CDD"/>
    <w:rsid w:val="007878E6"/>
    <w:rsid w:val="00787979"/>
    <w:rsid w:val="0079043F"/>
    <w:rsid w:val="00793CBF"/>
    <w:rsid w:val="0079524E"/>
    <w:rsid w:val="00796BC4"/>
    <w:rsid w:val="0079703C"/>
    <w:rsid w:val="007A235E"/>
    <w:rsid w:val="007A23F4"/>
    <w:rsid w:val="007A2549"/>
    <w:rsid w:val="007A37D5"/>
    <w:rsid w:val="007A4ED4"/>
    <w:rsid w:val="007A5A1C"/>
    <w:rsid w:val="007A66CD"/>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28B0"/>
    <w:rsid w:val="008128EA"/>
    <w:rsid w:val="00814BA2"/>
    <w:rsid w:val="00815BB2"/>
    <w:rsid w:val="008164C1"/>
    <w:rsid w:val="00817AF4"/>
    <w:rsid w:val="00820592"/>
    <w:rsid w:val="0082076E"/>
    <w:rsid w:val="00821292"/>
    <w:rsid w:val="008215E2"/>
    <w:rsid w:val="00823F7A"/>
    <w:rsid w:val="00825180"/>
    <w:rsid w:val="00827A8C"/>
    <w:rsid w:val="00830C51"/>
    <w:rsid w:val="00830F31"/>
    <w:rsid w:val="008325B1"/>
    <w:rsid w:val="0083282C"/>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3C8B"/>
    <w:rsid w:val="00866F71"/>
    <w:rsid w:val="0086743E"/>
    <w:rsid w:val="00871E8F"/>
    <w:rsid w:val="00873533"/>
    <w:rsid w:val="00873666"/>
    <w:rsid w:val="00883CB5"/>
    <w:rsid w:val="00886497"/>
    <w:rsid w:val="008875CD"/>
    <w:rsid w:val="008909F4"/>
    <w:rsid w:val="00893CE5"/>
    <w:rsid w:val="008955A8"/>
    <w:rsid w:val="008959B6"/>
    <w:rsid w:val="00895B10"/>
    <w:rsid w:val="008A325F"/>
    <w:rsid w:val="008A721E"/>
    <w:rsid w:val="008B4E34"/>
    <w:rsid w:val="008B6F12"/>
    <w:rsid w:val="008B6FCA"/>
    <w:rsid w:val="008C33B6"/>
    <w:rsid w:val="008C5961"/>
    <w:rsid w:val="008C5D4B"/>
    <w:rsid w:val="008C7F57"/>
    <w:rsid w:val="008C7FA5"/>
    <w:rsid w:val="008D32BA"/>
    <w:rsid w:val="008D3BDF"/>
    <w:rsid w:val="008D5D65"/>
    <w:rsid w:val="008D6D44"/>
    <w:rsid w:val="008E08E4"/>
    <w:rsid w:val="008E0F30"/>
    <w:rsid w:val="008F3314"/>
    <w:rsid w:val="008F387E"/>
    <w:rsid w:val="008F3E83"/>
    <w:rsid w:val="008F406F"/>
    <w:rsid w:val="00905516"/>
    <w:rsid w:val="0090576B"/>
    <w:rsid w:val="00910363"/>
    <w:rsid w:val="00911DC8"/>
    <w:rsid w:val="00914982"/>
    <w:rsid w:val="00914B24"/>
    <w:rsid w:val="00915B61"/>
    <w:rsid w:val="00915F86"/>
    <w:rsid w:val="009170A7"/>
    <w:rsid w:val="0092120C"/>
    <w:rsid w:val="00922171"/>
    <w:rsid w:val="009247EA"/>
    <w:rsid w:val="00925371"/>
    <w:rsid w:val="00926645"/>
    <w:rsid w:val="00931AD2"/>
    <w:rsid w:val="00933286"/>
    <w:rsid w:val="00933E64"/>
    <w:rsid w:val="00935609"/>
    <w:rsid w:val="009457AC"/>
    <w:rsid w:val="009478F7"/>
    <w:rsid w:val="00951AF2"/>
    <w:rsid w:val="00952141"/>
    <w:rsid w:val="00954AD2"/>
    <w:rsid w:val="0095506F"/>
    <w:rsid w:val="00955271"/>
    <w:rsid w:val="0095679D"/>
    <w:rsid w:val="00957848"/>
    <w:rsid w:val="00960533"/>
    <w:rsid w:val="0096384E"/>
    <w:rsid w:val="00965336"/>
    <w:rsid w:val="009669C3"/>
    <w:rsid w:val="00967B26"/>
    <w:rsid w:val="00970B10"/>
    <w:rsid w:val="009736B4"/>
    <w:rsid w:val="0097525D"/>
    <w:rsid w:val="00981794"/>
    <w:rsid w:val="00983405"/>
    <w:rsid w:val="0098392F"/>
    <w:rsid w:val="009966E5"/>
    <w:rsid w:val="00996B54"/>
    <w:rsid w:val="00997DF0"/>
    <w:rsid w:val="009A1B7C"/>
    <w:rsid w:val="009A1E5F"/>
    <w:rsid w:val="009A3425"/>
    <w:rsid w:val="009A6D51"/>
    <w:rsid w:val="009B19C4"/>
    <w:rsid w:val="009B3CAA"/>
    <w:rsid w:val="009B5181"/>
    <w:rsid w:val="009B5ED3"/>
    <w:rsid w:val="009C00C1"/>
    <w:rsid w:val="009C2AEA"/>
    <w:rsid w:val="009C2BE0"/>
    <w:rsid w:val="009C6EA1"/>
    <w:rsid w:val="009D0241"/>
    <w:rsid w:val="009E0FF6"/>
    <w:rsid w:val="009E5749"/>
    <w:rsid w:val="009E5B1B"/>
    <w:rsid w:val="009E61B3"/>
    <w:rsid w:val="009E62C8"/>
    <w:rsid w:val="009F1141"/>
    <w:rsid w:val="009F59C3"/>
    <w:rsid w:val="009F75E4"/>
    <w:rsid w:val="00A00EDD"/>
    <w:rsid w:val="00A017C9"/>
    <w:rsid w:val="00A0328C"/>
    <w:rsid w:val="00A10212"/>
    <w:rsid w:val="00A10AEC"/>
    <w:rsid w:val="00A11121"/>
    <w:rsid w:val="00A12A31"/>
    <w:rsid w:val="00A132C2"/>
    <w:rsid w:val="00A13EA2"/>
    <w:rsid w:val="00A13EC5"/>
    <w:rsid w:val="00A15A48"/>
    <w:rsid w:val="00A173E8"/>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66563"/>
    <w:rsid w:val="00A72ACC"/>
    <w:rsid w:val="00A74DE5"/>
    <w:rsid w:val="00A76F08"/>
    <w:rsid w:val="00A77D00"/>
    <w:rsid w:val="00A81CF4"/>
    <w:rsid w:val="00A822AF"/>
    <w:rsid w:val="00A823AD"/>
    <w:rsid w:val="00A851B0"/>
    <w:rsid w:val="00A858E7"/>
    <w:rsid w:val="00A862FD"/>
    <w:rsid w:val="00A86769"/>
    <w:rsid w:val="00A9143D"/>
    <w:rsid w:val="00A94476"/>
    <w:rsid w:val="00A9540A"/>
    <w:rsid w:val="00A96056"/>
    <w:rsid w:val="00A96716"/>
    <w:rsid w:val="00AA0A7B"/>
    <w:rsid w:val="00AA169C"/>
    <w:rsid w:val="00AA2983"/>
    <w:rsid w:val="00AA2D9F"/>
    <w:rsid w:val="00AA3E55"/>
    <w:rsid w:val="00AA4938"/>
    <w:rsid w:val="00AA51EC"/>
    <w:rsid w:val="00AA5530"/>
    <w:rsid w:val="00AA56AB"/>
    <w:rsid w:val="00AA61EC"/>
    <w:rsid w:val="00AA7553"/>
    <w:rsid w:val="00AB7FAC"/>
    <w:rsid w:val="00AC07E0"/>
    <w:rsid w:val="00AC3709"/>
    <w:rsid w:val="00AC584D"/>
    <w:rsid w:val="00AC6E92"/>
    <w:rsid w:val="00AD26FF"/>
    <w:rsid w:val="00AD2A30"/>
    <w:rsid w:val="00AD3D2B"/>
    <w:rsid w:val="00AD4FBD"/>
    <w:rsid w:val="00AD5BD7"/>
    <w:rsid w:val="00AE51F6"/>
    <w:rsid w:val="00AE52EF"/>
    <w:rsid w:val="00AE5F5B"/>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230ED"/>
    <w:rsid w:val="00B315E9"/>
    <w:rsid w:val="00B34CC1"/>
    <w:rsid w:val="00B35A70"/>
    <w:rsid w:val="00B36D39"/>
    <w:rsid w:val="00B430C4"/>
    <w:rsid w:val="00B44859"/>
    <w:rsid w:val="00B50B15"/>
    <w:rsid w:val="00B510C3"/>
    <w:rsid w:val="00B51847"/>
    <w:rsid w:val="00B5257B"/>
    <w:rsid w:val="00B525ED"/>
    <w:rsid w:val="00B54DE4"/>
    <w:rsid w:val="00B6253A"/>
    <w:rsid w:val="00B628C0"/>
    <w:rsid w:val="00B64078"/>
    <w:rsid w:val="00B64B83"/>
    <w:rsid w:val="00B65477"/>
    <w:rsid w:val="00B66889"/>
    <w:rsid w:val="00B67F61"/>
    <w:rsid w:val="00B709F6"/>
    <w:rsid w:val="00B70B52"/>
    <w:rsid w:val="00B71628"/>
    <w:rsid w:val="00B7382A"/>
    <w:rsid w:val="00B74F3E"/>
    <w:rsid w:val="00B76BB3"/>
    <w:rsid w:val="00B7743B"/>
    <w:rsid w:val="00B806B8"/>
    <w:rsid w:val="00B80F0E"/>
    <w:rsid w:val="00B843BC"/>
    <w:rsid w:val="00B8496A"/>
    <w:rsid w:val="00B84C4A"/>
    <w:rsid w:val="00B85545"/>
    <w:rsid w:val="00B87CA6"/>
    <w:rsid w:val="00B95955"/>
    <w:rsid w:val="00B9610A"/>
    <w:rsid w:val="00B97B6E"/>
    <w:rsid w:val="00BB07DC"/>
    <w:rsid w:val="00BB717E"/>
    <w:rsid w:val="00BB777A"/>
    <w:rsid w:val="00BC03C4"/>
    <w:rsid w:val="00BC0824"/>
    <w:rsid w:val="00BC2A1E"/>
    <w:rsid w:val="00BC31E7"/>
    <w:rsid w:val="00BC6C21"/>
    <w:rsid w:val="00BD0333"/>
    <w:rsid w:val="00BD1F78"/>
    <w:rsid w:val="00BD219E"/>
    <w:rsid w:val="00BD287D"/>
    <w:rsid w:val="00BD4621"/>
    <w:rsid w:val="00BD718D"/>
    <w:rsid w:val="00BE1E0B"/>
    <w:rsid w:val="00BE4D25"/>
    <w:rsid w:val="00BE59F9"/>
    <w:rsid w:val="00BE6DC9"/>
    <w:rsid w:val="00BF3F69"/>
    <w:rsid w:val="00BF4D6B"/>
    <w:rsid w:val="00BF5E84"/>
    <w:rsid w:val="00BF78ED"/>
    <w:rsid w:val="00BF7BA9"/>
    <w:rsid w:val="00C00985"/>
    <w:rsid w:val="00C04456"/>
    <w:rsid w:val="00C06896"/>
    <w:rsid w:val="00C10F74"/>
    <w:rsid w:val="00C12190"/>
    <w:rsid w:val="00C17048"/>
    <w:rsid w:val="00C234A2"/>
    <w:rsid w:val="00C23728"/>
    <w:rsid w:val="00C3185F"/>
    <w:rsid w:val="00C325CC"/>
    <w:rsid w:val="00C34D1A"/>
    <w:rsid w:val="00C36C71"/>
    <w:rsid w:val="00C40755"/>
    <w:rsid w:val="00C425F5"/>
    <w:rsid w:val="00C615D1"/>
    <w:rsid w:val="00C61E7F"/>
    <w:rsid w:val="00C641D4"/>
    <w:rsid w:val="00C71B0F"/>
    <w:rsid w:val="00C73147"/>
    <w:rsid w:val="00C73F1D"/>
    <w:rsid w:val="00C74F54"/>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557"/>
    <w:rsid w:val="00CC2A4B"/>
    <w:rsid w:val="00CC459B"/>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432A"/>
    <w:rsid w:val="00D054A9"/>
    <w:rsid w:val="00D128AD"/>
    <w:rsid w:val="00D13F20"/>
    <w:rsid w:val="00D1534E"/>
    <w:rsid w:val="00D15CFA"/>
    <w:rsid w:val="00D162E4"/>
    <w:rsid w:val="00D16AB6"/>
    <w:rsid w:val="00D16F5D"/>
    <w:rsid w:val="00D173E1"/>
    <w:rsid w:val="00D22CB2"/>
    <w:rsid w:val="00D22F65"/>
    <w:rsid w:val="00D24FE4"/>
    <w:rsid w:val="00D34A70"/>
    <w:rsid w:val="00D3539D"/>
    <w:rsid w:val="00D40E52"/>
    <w:rsid w:val="00D42D4E"/>
    <w:rsid w:val="00D4363D"/>
    <w:rsid w:val="00D470EC"/>
    <w:rsid w:val="00D50BBB"/>
    <w:rsid w:val="00D51B1A"/>
    <w:rsid w:val="00D55D1A"/>
    <w:rsid w:val="00D62348"/>
    <w:rsid w:val="00D63D11"/>
    <w:rsid w:val="00D70535"/>
    <w:rsid w:val="00D70D5A"/>
    <w:rsid w:val="00D712A5"/>
    <w:rsid w:val="00D729CD"/>
    <w:rsid w:val="00D74A10"/>
    <w:rsid w:val="00D76764"/>
    <w:rsid w:val="00D82804"/>
    <w:rsid w:val="00D82B3C"/>
    <w:rsid w:val="00D9252A"/>
    <w:rsid w:val="00DA0D3D"/>
    <w:rsid w:val="00DA684D"/>
    <w:rsid w:val="00DB1778"/>
    <w:rsid w:val="00DB2DF5"/>
    <w:rsid w:val="00DB40FB"/>
    <w:rsid w:val="00DB7471"/>
    <w:rsid w:val="00DD017A"/>
    <w:rsid w:val="00DD2E07"/>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6837"/>
    <w:rsid w:val="00E07A46"/>
    <w:rsid w:val="00E07B2D"/>
    <w:rsid w:val="00E10124"/>
    <w:rsid w:val="00E10693"/>
    <w:rsid w:val="00E11770"/>
    <w:rsid w:val="00E1256F"/>
    <w:rsid w:val="00E13C2E"/>
    <w:rsid w:val="00E167AD"/>
    <w:rsid w:val="00E17953"/>
    <w:rsid w:val="00E20589"/>
    <w:rsid w:val="00E20AB5"/>
    <w:rsid w:val="00E21185"/>
    <w:rsid w:val="00E23D66"/>
    <w:rsid w:val="00E24DA9"/>
    <w:rsid w:val="00E27DA1"/>
    <w:rsid w:val="00E30C15"/>
    <w:rsid w:val="00E31563"/>
    <w:rsid w:val="00E337AF"/>
    <w:rsid w:val="00E35C7B"/>
    <w:rsid w:val="00E36C3F"/>
    <w:rsid w:val="00E400B1"/>
    <w:rsid w:val="00E42132"/>
    <w:rsid w:val="00E42315"/>
    <w:rsid w:val="00E43302"/>
    <w:rsid w:val="00E4608E"/>
    <w:rsid w:val="00E46740"/>
    <w:rsid w:val="00E504EE"/>
    <w:rsid w:val="00E522D6"/>
    <w:rsid w:val="00E53ABC"/>
    <w:rsid w:val="00E55273"/>
    <w:rsid w:val="00E56BEE"/>
    <w:rsid w:val="00E60668"/>
    <w:rsid w:val="00E61196"/>
    <w:rsid w:val="00E65A52"/>
    <w:rsid w:val="00E663E3"/>
    <w:rsid w:val="00E66449"/>
    <w:rsid w:val="00E70B76"/>
    <w:rsid w:val="00E714C1"/>
    <w:rsid w:val="00E7395F"/>
    <w:rsid w:val="00E743AB"/>
    <w:rsid w:val="00E74B15"/>
    <w:rsid w:val="00E80CE0"/>
    <w:rsid w:val="00E80EC3"/>
    <w:rsid w:val="00E83A6F"/>
    <w:rsid w:val="00E86184"/>
    <w:rsid w:val="00E9132B"/>
    <w:rsid w:val="00E92F1C"/>
    <w:rsid w:val="00E950AF"/>
    <w:rsid w:val="00E96342"/>
    <w:rsid w:val="00E979AF"/>
    <w:rsid w:val="00E97FCF"/>
    <w:rsid w:val="00EA5359"/>
    <w:rsid w:val="00EA5DBF"/>
    <w:rsid w:val="00EA7DAF"/>
    <w:rsid w:val="00EB1AD4"/>
    <w:rsid w:val="00EB1CCB"/>
    <w:rsid w:val="00EB2530"/>
    <w:rsid w:val="00EB27A2"/>
    <w:rsid w:val="00EB6A86"/>
    <w:rsid w:val="00EC0CA5"/>
    <w:rsid w:val="00EC0CE9"/>
    <w:rsid w:val="00EC0E3E"/>
    <w:rsid w:val="00EC36BA"/>
    <w:rsid w:val="00EC4630"/>
    <w:rsid w:val="00ED13A5"/>
    <w:rsid w:val="00ED1DF8"/>
    <w:rsid w:val="00ED271E"/>
    <w:rsid w:val="00ED44C4"/>
    <w:rsid w:val="00ED4913"/>
    <w:rsid w:val="00ED4B8C"/>
    <w:rsid w:val="00ED51C4"/>
    <w:rsid w:val="00ED5663"/>
    <w:rsid w:val="00ED708E"/>
    <w:rsid w:val="00ED751D"/>
    <w:rsid w:val="00EE0AD5"/>
    <w:rsid w:val="00EE2D45"/>
    <w:rsid w:val="00EE43FF"/>
    <w:rsid w:val="00EE51E0"/>
    <w:rsid w:val="00EE53C5"/>
    <w:rsid w:val="00EE65A6"/>
    <w:rsid w:val="00EF01AB"/>
    <w:rsid w:val="00EF2A91"/>
    <w:rsid w:val="00EF3A68"/>
    <w:rsid w:val="00F02AD2"/>
    <w:rsid w:val="00F051C6"/>
    <w:rsid w:val="00F076B3"/>
    <w:rsid w:val="00F10B16"/>
    <w:rsid w:val="00F1138E"/>
    <w:rsid w:val="00F137C3"/>
    <w:rsid w:val="00F158AD"/>
    <w:rsid w:val="00F16B8E"/>
    <w:rsid w:val="00F17D5B"/>
    <w:rsid w:val="00F17EE1"/>
    <w:rsid w:val="00F219F7"/>
    <w:rsid w:val="00F21FB5"/>
    <w:rsid w:val="00F2411D"/>
    <w:rsid w:val="00F249E5"/>
    <w:rsid w:val="00F24CDF"/>
    <w:rsid w:val="00F25272"/>
    <w:rsid w:val="00F27DF6"/>
    <w:rsid w:val="00F34ACA"/>
    <w:rsid w:val="00F40AB1"/>
    <w:rsid w:val="00F40DAB"/>
    <w:rsid w:val="00F42D5C"/>
    <w:rsid w:val="00F43129"/>
    <w:rsid w:val="00F4495A"/>
    <w:rsid w:val="00F46274"/>
    <w:rsid w:val="00F52C91"/>
    <w:rsid w:val="00F53462"/>
    <w:rsid w:val="00F54FDA"/>
    <w:rsid w:val="00F61E6B"/>
    <w:rsid w:val="00F63C48"/>
    <w:rsid w:val="00F64156"/>
    <w:rsid w:val="00F6486E"/>
    <w:rsid w:val="00F66EDE"/>
    <w:rsid w:val="00F66F25"/>
    <w:rsid w:val="00F67852"/>
    <w:rsid w:val="00F6793B"/>
    <w:rsid w:val="00F70523"/>
    <w:rsid w:val="00F7187C"/>
    <w:rsid w:val="00F7202D"/>
    <w:rsid w:val="00F76C7C"/>
    <w:rsid w:val="00F81D3E"/>
    <w:rsid w:val="00F82E7F"/>
    <w:rsid w:val="00F83843"/>
    <w:rsid w:val="00F83D52"/>
    <w:rsid w:val="00F845E6"/>
    <w:rsid w:val="00F84C4C"/>
    <w:rsid w:val="00F85213"/>
    <w:rsid w:val="00F9032A"/>
    <w:rsid w:val="00F92D94"/>
    <w:rsid w:val="00F9538B"/>
    <w:rsid w:val="00F972B3"/>
    <w:rsid w:val="00FA195B"/>
    <w:rsid w:val="00FA43CD"/>
    <w:rsid w:val="00FA5407"/>
    <w:rsid w:val="00FA590E"/>
    <w:rsid w:val="00FA66CD"/>
    <w:rsid w:val="00FA6D68"/>
    <w:rsid w:val="00FA6E5B"/>
    <w:rsid w:val="00FB248E"/>
    <w:rsid w:val="00FB388C"/>
    <w:rsid w:val="00FB3BFA"/>
    <w:rsid w:val="00FB40F3"/>
    <w:rsid w:val="00FB503C"/>
    <w:rsid w:val="00FB696D"/>
    <w:rsid w:val="00FB7782"/>
    <w:rsid w:val="00FC0000"/>
    <w:rsid w:val="00FC0F15"/>
    <w:rsid w:val="00FC570F"/>
    <w:rsid w:val="00FC5E69"/>
    <w:rsid w:val="00FC6AAD"/>
    <w:rsid w:val="00FC6D54"/>
    <w:rsid w:val="00FC7EC0"/>
    <w:rsid w:val="00FD24D4"/>
    <w:rsid w:val="00FD25A4"/>
    <w:rsid w:val="00FD3465"/>
    <w:rsid w:val="00FD40FA"/>
    <w:rsid w:val="00FE0AD7"/>
    <w:rsid w:val="00FE11E6"/>
    <w:rsid w:val="00FE1B8E"/>
    <w:rsid w:val="00FE2FD2"/>
    <w:rsid w:val="00FE401F"/>
    <w:rsid w:val="00FE6791"/>
    <w:rsid w:val="00FF12CA"/>
    <w:rsid w:val="00FF15A7"/>
    <w:rsid w:val="00FF1E85"/>
    <w:rsid w:val="00FF2B59"/>
    <w:rsid w:val="00FF3C97"/>
    <w:rsid w:val="00FF5BFB"/>
    <w:rsid w:val="00FF7E35"/>
    <w:rsid w:val="05BC4BF6"/>
    <w:rsid w:val="0616ABA1"/>
    <w:rsid w:val="0905D8CC"/>
    <w:rsid w:val="0AF98840"/>
    <w:rsid w:val="0B626A29"/>
    <w:rsid w:val="0BD4BD75"/>
    <w:rsid w:val="0DE23CA3"/>
    <w:rsid w:val="12C3C5B2"/>
    <w:rsid w:val="16BC2EC5"/>
    <w:rsid w:val="1703D529"/>
    <w:rsid w:val="17F7DF62"/>
    <w:rsid w:val="1D1C4BDA"/>
    <w:rsid w:val="1D25FAC4"/>
    <w:rsid w:val="1EF1439D"/>
    <w:rsid w:val="1F5F17EB"/>
    <w:rsid w:val="26CACEE4"/>
    <w:rsid w:val="29CEE57E"/>
    <w:rsid w:val="2B4908C3"/>
    <w:rsid w:val="34E0A433"/>
    <w:rsid w:val="35FC60D9"/>
    <w:rsid w:val="3C97582B"/>
    <w:rsid w:val="410A1B16"/>
    <w:rsid w:val="43855AA8"/>
    <w:rsid w:val="43FA5D36"/>
    <w:rsid w:val="468119C3"/>
    <w:rsid w:val="48786104"/>
    <w:rsid w:val="4C29549A"/>
    <w:rsid w:val="4DE70BDC"/>
    <w:rsid w:val="4E73FDFF"/>
    <w:rsid w:val="59D0846F"/>
    <w:rsid w:val="6970CEC1"/>
    <w:rsid w:val="6CE33B28"/>
    <w:rsid w:val="6DF7A5F1"/>
    <w:rsid w:val="74026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28CC0"/>
  <w14:discardImageEditingData/>
  <w15:docId w15:val="{F161D6F0-C792-41EA-97B1-ADC86374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Theme" w:lock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5EA0"/>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Normal"/>
    <w:uiPriority w:val="99"/>
    <w:rsid w:val="00EE2D45"/>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jc w:val="left"/>
      </w:pPr>
      <w:rPr>
        <w:rFonts w:ascii="ff5" w:hAnsi="ff5"/>
        <w:b/>
        <w:color w:val="FFFFFF" w:themeColor="background1"/>
        <w:sz w:val="20"/>
      </w:rPr>
      <w:tblPr/>
      <w:tcPr>
        <w:shd w:val="clear" w:color="auto" w:fill="031F73" w:themeFill="text2"/>
      </w:tcPr>
    </w:tblStylePr>
    <w:tblStylePr w:type="lastRow">
      <w:rPr>
        <w:rFonts w:ascii="ff5" w:hAnsi="ff5"/>
        <w:sz w:val="20"/>
      </w:rPr>
    </w:tblStylePr>
    <w:tblStylePr w:type="firstCol">
      <w:rPr>
        <w:rFonts w:ascii="ff5" w:hAnsi="ff5"/>
        <w:sz w:val="20"/>
      </w:rPr>
    </w:tblStylePr>
    <w:tblStylePr w:type="lastCol">
      <w:rPr>
        <w:rFonts w:ascii="ff5" w:hAnsi="ff5"/>
        <w:sz w:val="20"/>
      </w:rPr>
    </w:tblStylePr>
    <w:tblStylePr w:type="band1Vert">
      <w:rPr>
        <w:rFonts w:ascii="ff5" w:hAnsi="ff5"/>
        <w:sz w:val="20"/>
      </w:rPr>
    </w:tblStylePr>
    <w:tblStylePr w:type="band2Vert">
      <w:rPr>
        <w:rFonts w:ascii="ff5" w:hAnsi="ff5"/>
        <w:sz w:val="20"/>
      </w:rPr>
    </w:tblStylePr>
    <w:tblStylePr w:type="band1Horz">
      <w:rPr>
        <w:rFonts w:ascii="ff5" w:hAnsi="ff5"/>
        <w:sz w:val="20"/>
      </w:rPr>
    </w:tblStylePr>
    <w:tblStylePr w:type="band2Horz">
      <w:rPr>
        <w:rFonts w:ascii="ff5" w:hAnsi="ff5"/>
        <w:sz w:val="20"/>
      </w:rPr>
      <w:tblPr/>
      <w:tcPr>
        <w:shd w:val="clear" w:color="auto" w:fill="B2C4FD" w:themeFill="text2" w:themeFillTint="33"/>
      </w:tcPr>
    </w:tblStylePr>
    <w:tblStylePr w:type="neCell">
      <w:rPr>
        <w:rFonts w:ascii="ff5" w:hAnsi="ff5"/>
        <w:sz w:val="20"/>
      </w:rPr>
    </w:tblStylePr>
    <w:tblStylePr w:type="nwCell">
      <w:rPr>
        <w:rFonts w:ascii="ff5" w:hAnsi="ff5"/>
        <w:sz w:val="20"/>
      </w:rPr>
    </w:tblStylePr>
    <w:tblStylePr w:type="seCell">
      <w:rPr>
        <w:rFonts w:ascii="ff5" w:hAnsi="ff5"/>
        <w:sz w:val="20"/>
      </w:rPr>
    </w:tblStylePr>
    <w:tblStylePr w:type="swCell">
      <w:rPr>
        <w:rFonts w:ascii="ff5" w:hAnsi="ff5"/>
        <w:sz w:val="20"/>
      </w:rPr>
    </w:tblStylePr>
  </w:style>
  <w:style w:type="table" w:customStyle="1" w:styleId="CSCGridyellow">
    <w:name w:val="CSC Grid yellow"/>
    <w:basedOn w:val="TableNormal"/>
    <w:uiPriority w:val="99"/>
    <w:rsid w:val="00EE2D45"/>
    <w:rPr>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ff5" w:hAnsi="ff5"/>
        <w:b/>
        <w:color w:val="000000" w:themeColor="text1"/>
        <w:sz w:val="20"/>
      </w:rPr>
      <w:tblPr/>
      <w:tcPr>
        <w:shd w:val="clear" w:color="auto" w:fill="EBB700" w:themeFill="background2"/>
      </w:tcPr>
    </w:tblStylePr>
    <w:tblStylePr w:type="lastRow">
      <w:rPr>
        <w:rFonts w:ascii="ff5" w:hAnsi="ff5"/>
        <w:sz w:val="20"/>
      </w:rPr>
    </w:tblStylePr>
    <w:tblStylePr w:type="firstCol">
      <w:rPr>
        <w:rFonts w:ascii="ff5" w:hAnsi="ff5"/>
        <w:sz w:val="20"/>
      </w:rPr>
    </w:tblStylePr>
    <w:tblStylePr w:type="lastCol">
      <w:rPr>
        <w:rFonts w:ascii="ff5" w:hAnsi="ff5"/>
        <w:sz w:val="20"/>
      </w:rPr>
    </w:tblStylePr>
    <w:tblStylePr w:type="band1Vert">
      <w:rPr>
        <w:rFonts w:ascii="ff5" w:hAnsi="ff5"/>
        <w:sz w:val="20"/>
      </w:rPr>
    </w:tblStylePr>
    <w:tblStylePr w:type="band2Vert">
      <w:rPr>
        <w:rFonts w:ascii="ff5" w:hAnsi="ff5"/>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f5" w:hAnsi="ff5"/>
        <w:sz w:val="20"/>
      </w:rPr>
    </w:tblStylePr>
    <w:tblStylePr w:type="nwCell">
      <w:rPr>
        <w:rFonts w:ascii="ff5" w:hAnsi="ff5"/>
        <w:sz w:val="20"/>
      </w:rPr>
    </w:tblStylePr>
    <w:tblStylePr w:type="seCell">
      <w:rPr>
        <w:rFonts w:ascii="ff5" w:hAnsi="ff5"/>
        <w:sz w:val="20"/>
      </w:rPr>
    </w:tblStylePr>
    <w:tblStylePr w:type="swCell">
      <w:rPr>
        <w:rFonts w:ascii="ff5" w:hAnsi="ff5"/>
        <w:sz w:val="20"/>
      </w:rPr>
    </w:tblStylePr>
  </w:style>
  <w:style w:type="table" w:customStyle="1" w:styleId="CSCNogridblue">
    <w:name w:val="CSC No grid blue"/>
    <w:basedOn w:val="TableNormal"/>
    <w:uiPriority w:val="99"/>
    <w:rsid w:val="00EE2D45"/>
    <w:tblPr>
      <w:tblStyleRowBandSize w:val="1"/>
    </w:tblPr>
    <w:tcPr>
      <w:tcMar>
        <w:top w:w="108" w:type="dxa"/>
        <w:bottom w:w="108" w:type="dxa"/>
      </w:tcMar>
    </w:tcPr>
    <w:tblStylePr w:type="firstRow">
      <w:rPr>
        <w:rFonts w:ascii="ff5" w:hAnsi="ff5"/>
        <w:b/>
        <w:sz w:val="20"/>
      </w:rPr>
      <w:tblPr/>
      <w:tcPr>
        <w:shd w:val="clear" w:color="auto" w:fill="031F73" w:themeFill="text2"/>
      </w:tcPr>
    </w:tblStylePr>
    <w:tblStylePr w:type="lastRow">
      <w:rPr>
        <w:rFonts w:ascii="ff5" w:hAnsi="ff5"/>
        <w:sz w:val="20"/>
      </w:rPr>
    </w:tblStylePr>
    <w:tblStylePr w:type="firstCol">
      <w:rPr>
        <w:rFonts w:ascii="ff5" w:hAnsi="ff5"/>
        <w:sz w:val="20"/>
      </w:rPr>
    </w:tblStylePr>
    <w:tblStylePr w:type="lastCol">
      <w:rPr>
        <w:rFonts w:ascii="ff5" w:hAnsi="ff5"/>
        <w:sz w:val="20"/>
      </w:rPr>
    </w:tblStylePr>
    <w:tblStylePr w:type="band1Vert">
      <w:rPr>
        <w:rFonts w:ascii="ff5" w:hAnsi="ff5"/>
        <w:sz w:val="20"/>
      </w:rPr>
    </w:tblStylePr>
    <w:tblStylePr w:type="band2Vert">
      <w:rPr>
        <w:rFonts w:ascii="ff5" w:hAnsi="ff5"/>
        <w:sz w:val="20"/>
      </w:rPr>
    </w:tblStylePr>
    <w:tblStylePr w:type="band1Horz">
      <w:rPr>
        <w:rFonts w:ascii="ff5" w:hAnsi="ff5"/>
        <w:sz w:val="20"/>
      </w:rPr>
    </w:tblStylePr>
    <w:tblStylePr w:type="band2Horz">
      <w:rPr>
        <w:rFonts w:ascii="ff5" w:hAnsi="ff5"/>
        <w:sz w:val="20"/>
      </w:rPr>
      <w:tblPr/>
      <w:tcPr>
        <w:shd w:val="clear" w:color="auto" w:fill="B2C4FD" w:themeFill="text2" w:themeFillTint="33"/>
      </w:tcPr>
    </w:tblStylePr>
    <w:tblStylePr w:type="neCell">
      <w:rPr>
        <w:rFonts w:ascii="ff5" w:hAnsi="ff5"/>
        <w:sz w:val="20"/>
      </w:rPr>
    </w:tblStylePr>
    <w:tblStylePr w:type="nwCell">
      <w:rPr>
        <w:rFonts w:ascii="ff5" w:hAnsi="ff5"/>
        <w:sz w:val="20"/>
      </w:rPr>
    </w:tblStylePr>
    <w:tblStylePr w:type="seCell">
      <w:rPr>
        <w:rFonts w:ascii="ff5" w:hAnsi="ff5"/>
        <w:sz w:val="20"/>
      </w:rPr>
    </w:tblStylePr>
    <w:tblStylePr w:type="swCell">
      <w:rPr>
        <w:rFonts w:ascii="ff5" w:hAnsi="ff5"/>
        <w:sz w:val="20"/>
      </w:rPr>
    </w:tblStylePr>
  </w:style>
  <w:style w:type="table" w:customStyle="1" w:styleId="CSCNogridyellow">
    <w:name w:val="CSC No grid yellow"/>
    <w:basedOn w:val="TableNormal"/>
    <w:uiPriority w:val="99"/>
    <w:rsid w:val="00EE2D45"/>
    <w:tblPr>
      <w:tblStyleRowBandSize w:val="1"/>
    </w:tblPr>
    <w:tcPr>
      <w:tcMar>
        <w:top w:w="108" w:type="dxa"/>
        <w:bottom w:w="108" w:type="dxa"/>
      </w:tcMar>
    </w:tcPr>
    <w:tblStylePr w:type="firstRow">
      <w:rPr>
        <w:rFonts w:ascii="ff5" w:hAnsi="ff5"/>
        <w:b/>
        <w:sz w:val="20"/>
      </w:rPr>
      <w:tblPr/>
      <w:tcPr>
        <w:shd w:val="clear" w:color="auto" w:fill="EBB700" w:themeFill="background2"/>
      </w:tcPr>
    </w:tblStylePr>
    <w:tblStylePr w:type="lastRow">
      <w:rPr>
        <w:rFonts w:ascii="ff5" w:hAnsi="ff5"/>
        <w:sz w:val="20"/>
      </w:rPr>
    </w:tblStylePr>
    <w:tblStylePr w:type="firstCol">
      <w:rPr>
        <w:rFonts w:ascii="ff5" w:hAnsi="ff5"/>
        <w:sz w:val="20"/>
      </w:rPr>
    </w:tblStylePr>
    <w:tblStylePr w:type="lastCol">
      <w:rPr>
        <w:rFonts w:ascii="ff5" w:hAnsi="ff5"/>
        <w:sz w:val="20"/>
      </w:rPr>
    </w:tblStylePr>
    <w:tblStylePr w:type="band1Vert">
      <w:rPr>
        <w:rFonts w:ascii="ff5" w:hAnsi="ff5"/>
        <w:sz w:val="20"/>
      </w:rPr>
    </w:tblStylePr>
    <w:tblStylePr w:type="band2Vert">
      <w:rPr>
        <w:rFonts w:ascii="ff5" w:hAnsi="ff5"/>
        <w:sz w:val="20"/>
      </w:rPr>
    </w:tblStylePr>
    <w:tblStylePr w:type="band1Horz">
      <w:rPr>
        <w:rFonts w:ascii="ff5" w:hAnsi="ff5"/>
        <w:sz w:val="20"/>
      </w:rPr>
    </w:tblStylePr>
    <w:tblStylePr w:type="band2Horz">
      <w:rPr>
        <w:rFonts w:ascii="ff5" w:hAnsi="ff5"/>
        <w:sz w:val="20"/>
      </w:rPr>
      <w:tblPr/>
      <w:tcPr>
        <w:shd w:val="clear" w:color="auto" w:fill="FFF2C8" w:themeFill="background2" w:themeFillTint="33"/>
      </w:tcPr>
    </w:tblStylePr>
    <w:tblStylePr w:type="neCell">
      <w:rPr>
        <w:rFonts w:ascii="ff5" w:hAnsi="ff5"/>
        <w:sz w:val="20"/>
      </w:rPr>
    </w:tblStylePr>
    <w:tblStylePr w:type="nwCell">
      <w:rPr>
        <w:rFonts w:ascii="ff5" w:hAnsi="ff5"/>
        <w:sz w:val="20"/>
      </w:rPr>
    </w:tblStylePr>
    <w:tblStylePr w:type="seCell">
      <w:rPr>
        <w:rFonts w:ascii="ff5" w:hAnsi="ff5"/>
        <w:sz w:val="20"/>
      </w:rPr>
    </w:tblStylePr>
    <w:tblStylePr w:type="swCell">
      <w:rPr>
        <w:rFonts w:ascii="ff5" w:hAnsi="ff5"/>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10"/>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uiPriority w:val="4"/>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aliases w:val="CSC Table Grid"/>
    <w:basedOn w:val="TableNormal"/>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f5" w:hAnsi="ff5"/>
        <w:b/>
        <w:sz w:val="20"/>
      </w:rPr>
    </w:tblStylePr>
    <w:tblStylePr w:type="lastRow">
      <w:rPr>
        <w:rFonts w:ascii="ff5" w:hAnsi="ff5"/>
        <w:sz w:val="20"/>
      </w:rPr>
    </w:tblStylePr>
    <w:tblStylePr w:type="firstCol">
      <w:rPr>
        <w:rFonts w:ascii="ff5" w:hAnsi="ff5"/>
        <w:sz w:val="20"/>
      </w:rPr>
    </w:tblStylePr>
    <w:tblStylePr w:type="lastCol">
      <w:rPr>
        <w:rFonts w:ascii="ff5" w:hAnsi="ff5"/>
        <w:sz w:val="20"/>
      </w:rPr>
    </w:tblStylePr>
    <w:tblStylePr w:type="band1Vert">
      <w:rPr>
        <w:rFonts w:ascii="ff5" w:hAnsi="ff5"/>
        <w:sz w:val="20"/>
      </w:rPr>
    </w:tblStylePr>
    <w:tblStylePr w:type="band2Vert">
      <w:rPr>
        <w:rFonts w:ascii="ff5" w:hAnsi="ff5"/>
        <w:sz w:val="20"/>
      </w:rPr>
    </w:tblStylePr>
    <w:tblStylePr w:type="band1Horz">
      <w:rPr>
        <w:rFonts w:ascii="ff5" w:hAnsi="ff5"/>
        <w:sz w:val="20"/>
      </w:rPr>
    </w:tblStylePr>
    <w:tblStylePr w:type="band2Horz">
      <w:rPr>
        <w:rFonts w:ascii="ff5" w:hAnsi="ff5"/>
        <w:sz w:val="20"/>
      </w:rPr>
    </w:tblStylePr>
    <w:tblStylePr w:type="neCell">
      <w:rPr>
        <w:rFonts w:ascii="ff5" w:hAnsi="ff5"/>
        <w:sz w:val="20"/>
      </w:rPr>
    </w:tblStylePr>
    <w:tblStylePr w:type="nwCell">
      <w:rPr>
        <w:rFonts w:ascii="ff5" w:hAnsi="ff5"/>
        <w:sz w:val="20"/>
      </w:rPr>
    </w:tblStylePr>
    <w:tblStylePr w:type="seCell">
      <w:rPr>
        <w:rFonts w:ascii="ff5" w:hAnsi="ff5"/>
        <w:sz w:val="20"/>
      </w:rPr>
    </w:tblStylePr>
    <w:tblStylePr w:type="swCell">
      <w:rPr>
        <w:rFonts w:ascii="ff5" w:hAnsi="ff5"/>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uiPriority w:val="7"/>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2B5EA0"/>
    <w:pPr>
      <w:numPr>
        <w:numId w:val="18"/>
      </w:numPr>
    </w:pPr>
  </w:style>
  <w:style w:type="paragraph" w:customStyle="1" w:styleId="Bulletlevel2CSC">
    <w:name w:val="Bullet level 2 CSC"/>
    <w:basedOn w:val="Normal"/>
    <w:semiHidden/>
    <w:qFormat/>
    <w:rsid w:val="002B5EA0"/>
    <w:pPr>
      <w:numPr>
        <w:ilvl w:val="1"/>
        <w:numId w:val="18"/>
      </w:numPr>
      <w:spacing w:after="60"/>
    </w:pPr>
  </w:style>
  <w:style w:type="paragraph" w:customStyle="1" w:styleId="Bulletlevel3CSC">
    <w:name w:val="Bullet level 3 CSC"/>
    <w:basedOn w:val="Normal"/>
    <w:semiHidden/>
    <w:qFormat/>
    <w:rsid w:val="002B5EA0"/>
    <w:pPr>
      <w:numPr>
        <w:ilvl w:val="2"/>
        <w:numId w:val="18"/>
      </w:numPr>
      <w:spacing w:after="60"/>
    </w:pPr>
  </w:style>
  <w:style w:type="numbering" w:customStyle="1" w:styleId="CSCBulletlist">
    <w:name w:val="CSC Bullet list"/>
    <w:uiPriority w:val="99"/>
    <w:rsid w:val="00B060A7"/>
    <w:pPr>
      <w:numPr>
        <w:numId w:val="16"/>
      </w:numPr>
    </w:pPr>
  </w:style>
  <w:style w:type="paragraph" w:customStyle="1" w:styleId="Numberlevel2CSC">
    <w:name w:val="Number level 2 CSC"/>
    <w:basedOn w:val="Normal"/>
    <w:semiHidden/>
    <w:qFormat/>
    <w:rsid w:val="002B5EA0"/>
    <w:pPr>
      <w:numPr>
        <w:ilvl w:val="1"/>
        <w:numId w:val="9"/>
      </w:numPr>
      <w:spacing w:after="60"/>
    </w:pPr>
  </w:style>
  <w:style w:type="paragraph" w:customStyle="1" w:styleId="Numberlevel3CSC">
    <w:name w:val="Number level 3 CSC"/>
    <w:basedOn w:val="Normal"/>
    <w:semiHidden/>
    <w:qFormat/>
    <w:rsid w:val="002B5EA0"/>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2B5EA0"/>
    <w:pPr>
      <w:numPr>
        <w:ilvl w:val="3"/>
        <w:numId w:val="21"/>
      </w:numPr>
      <w:spacing w:after="60"/>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f5" w:hAnsi="ff5"/>
        <w:b/>
        <w:sz w:val="20"/>
      </w:rPr>
      <w:tblPr/>
      <w:tcPr>
        <w:shd w:val="clear" w:color="auto" w:fill="031F73" w:themeFill="text2"/>
      </w:tcPr>
    </w:tblStylePr>
    <w:tblStylePr w:type="lastRow">
      <w:rPr>
        <w:rFonts w:ascii="ff5" w:hAnsi="ff5"/>
        <w:sz w:val="20"/>
      </w:rPr>
    </w:tblStylePr>
    <w:tblStylePr w:type="firstCol">
      <w:rPr>
        <w:rFonts w:ascii="ff5" w:hAnsi="ff5"/>
        <w:sz w:val="20"/>
      </w:rPr>
    </w:tblStylePr>
    <w:tblStylePr w:type="lastCol">
      <w:rPr>
        <w:rFonts w:ascii="ff5" w:hAnsi="ff5"/>
        <w:sz w:val="20"/>
      </w:rPr>
    </w:tblStylePr>
    <w:tblStylePr w:type="band1Vert">
      <w:rPr>
        <w:rFonts w:ascii="ff5" w:hAnsi="ff5"/>
        <w:sz w:val="20"/>
      </w:rPr>
    </w:tblStylePr>
    <w:tblStylePr w:type="band2Vert">
      <w:rPr>
        <w:rFonts w:ascii="ff5" w:hAnsi="ff5"/>
        <w:sz w:val="20"/>
      </w:rPr>
    </w:tblStylePr>
    <w:tblStylePr w:type="band1Horz">
      <w:rPr>
        <w:rFonts w:ascii="ff5" w:hAnsi="ff5"/>
        <w:sz w:val="20"/>
      </w:rPr>
    </w:tblStylePr>
    <w:tblStylePr w:type="band2Horz">
      <w:rPr>
        <w:rFonts w:ascii="ff5" w:hAnsi="ff5"/>
        <w:sz w:val="20"/>
      </w:rPr>
    </w:tblStylePr>
    <w:tblStylePr w:type="neCell">
      <w:rPr>
        <w:rFonts w:ascii="ff5" w:hAnsi="ff5"/>
        <w:sz w:val="20"/>
      </w:rPr>
    </w:tblStylePr>
    <w:tblStylePr w:type="nwCell">
      <w:rPr>
        <w:rFonts w:ascii="ff5" w:hAnsi="ff5"/>
        <w:sz w:val="20"/>
      </w:rPr>
    </w:tblStylePr>
    <w:tblStylePr w:type="seCell">
      <w:rPr>
        <w:rFonts w:ascii="ff5" w:hAnsi="ff5"/>
        <w:sz w:val="20"/>
      </w:rPr>
    </w:tblStylePr>
    <w:tblStylePr w:type="swCell">
      <w:rPr>
        <w:rFonts w:ascii="ff5" w:hAnsi="ff5"/>
        <w:sz w:val="20"/>
      </w:rPr>
    </w:tblStylePr>
  </w:style>
  <w:style w:type="table" w:customStyle="1" w:styleId="CSCHeaderyellow">
    <w:name w:val="CSC Header yellow"/>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f5" w:hAnsi="ff5"/>
        <w:b/>
        <w:sz w:val="20"/>
      </w:rPr>
      <w:tblPr/>
      <w:tcPr>
        <w:shd w:val="clear" w:color="auto" w:fill="EBB700" w:themeFill="background2"/>
      </w:tcPr>
    </w:tblStylePr>
    <w:tblStylePr w:type="lastRow">
      <w:rPr>
        <w:rFonts w:ascii="ff5" w:hAnsi="ff5"/>
        <w:sz w:val="20"/>
      </w:rPr>
    </w:tblStylePr>
    <w:tblStylePr w:type="firstCol">
      <w:rPr>
        <w:rFonts w:ascii="ff5" w:hAnsi="ff5"/>
        <w:sz w:val="20"/>
      </w:rPr>
    </w:tblStylePr>
    <w:tblStylePr w:type="lastCol">
      <w:rPr>
        <w:rFonts w:ascii="ff5" w:hAnsi="ff5"/>
        <w:sz w:val="20"/>
      </w:rPr>
    </w:tblStylePr>
    <w:tblStylePr w:type="band1Vert">
      <w:rPr>
        <w:rFonts w:ascii="ff5" w:hAnsi="ff5"/>
        <w:sz w:val="20"/>
      </w:rPr>
    </w:tblStylePr>
    <w:tblStylePr w:type="band2Vert">
      <w:rPr>
        <w:rFonts w:ascii="ff5" w:hAnsi="ff5"/>
        <w:sz w:val="20"/>
      </w:rPr>
    </w:tblStylePr>
    <w:tblStylePr w:type="band1Horz">
      <w:rPr>
        <w:rFonts w:ascii="ff5" w:hAnsi="ff5"/>
        <w:sz w:val="20"/>
      </w:rPr>
    </w:tblStylePr>
    <w:tblStylePr w:type="band2Horz">
      <w:rPr>
        <w:rFonts w:ascii="ff5" w:hAnsi="ff5"/>
        <w:sz w:val="20"/>
      </w:rPr>
    </w:tblStylePr>
    <w:tblStylePr w:type="neCell">
      <w:rPr>
        <w:rFonts w:ascii="ff5" w:hAnsi="ff5"/>
        <w:sz w:val="20"/>
      </w:rPr>
    </w:tblStylePr>
    <w:tblStylePr w:type="nwCell">
      <w:rPr>
        <w:rFonts w:ascii="ff5" w:hAnsi="ff5"/>
        <w:sz w:val="20"/>
      </w:rPr>
    </w:tblStylePr>
    <w:tblStylePr w:type="seCell">
      <w:rPr>
        <w:rFonts w:ascii="ff5" w:hAnsi="ff5"/>
        <w:sz w:val="20"/>
      </w:rPr>
    </w:tblStylePr>
    <w:tblStylePr w:type="swCell">
      <w:rPr>
        <w:rFonts w:ascii="ff5" w:hAnsi="ff5"/>
        <w:sz w:val="20"/>
      </w:rPr>
    </w:tblStylePr>
  </w:style>
  <w:style w:type="table" w:customStyle="1" w:styleId="CSCTableAubergine">
    <w:name w:val="CSC Table Aubergin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f5" w:hAnsi="ff5"/>
        <w:b/>
        <w:sz w:val="20"/>
      </w:rPr>
      <w:tblPr/>
      <w:tcPr>
        <w:shd w:val="clear" w:color="auto" w:fill="5E2750" w:themeFill="accent5"/>
      </w:tcPr>
    </w:tblStylePr>
    <w:tblStylePr w:type="lastRow">
      <w:rPr>
        <w:rFonts w:ascii="ff5" w:hAnsi="ff5"/>
        <w:sz w:val="20"/>
      </w:rPr>
    </w:tblStylePr>
    <w:tblStylePr w:type="firstCol">
      <w:rPr>
        <w:rFonts w:ascii="ff5" w:hAnsi="ff5"/>
        <w:sz w:val="20"/>
      </w:rPr>
    </w:tblStylePr>
    <w:tblStylePr w:type="lastCol">
      <w:rPr>
        <w:rFonts w:ascii="ff5" w:hAnsi="ff5"/>
        <w:sz w:val="20"/>
      </w:rPr>
    </w:tblStylePr>
    <w:tblStylePr w:type="band1Vert">
      <w:rPr>
        <w:rFonts w:ascii="ff5" w:hAnsi="ff5"/>
        <w:sz w:val="20"/>
      </w:rPr>
    </w:tblStylePr>
    <w:tblStylePr w:type="band2Vert">
      <w:rPr>
        <w:rFonts w:ascii="ff5" w:hAnsi="ff5"/>
        <w:sz w:val="20"/>
      </w:rPr>
    </w:tblStylePr>
    <w:tblStylePr w:type="band1Horz">
      <w:rPr>
        <w:rFonts w:ascii="ff5" w:hAnsi="ff5"/>
        <w:sz w:val="20"/>
      </w:rPr>
    </w:tblStylePr>
    <w:tblStylePr w:type="band2Horz">
      <w:rPr>
        <w:rFonts w:ascii="ff5" w:hAnsi="ff5"/>
        <w:sz w:val="20"/>
      </w:rPr>
      <w:tblPr/>
      <w:tcPr>
        <w:shd w:val="clear" w:color="auto" w:fill="E8C9E0" w:themeFill="accent5" w:themeFillTint="33"/>
      </w:tcPr>
    </w:tblStylePr>
    <w:tblStylePr w:type="neCell">
      <w:rPr>
        <w:rFonts w:ascii="ff5" w:hAnsi="ff5"/>
        <w:sz w:val="20"/>
      </w:rPr>
    </w:tblStylePr>
    <w:tblStylePr w:type="nwCell">
      <w:rPr>
        <w:rFonts w:ascii="ff5" w:hAnsi="ff5"/>
        <w:sz w:val="20"/>
      </w:rPr>
    </w:tblStylePr>
    <w:tblStylePr w:type="seCell">
      <w:rPr>
        <w:rFonts w:ascii="ff5" w:hAnsi="ff5"/>
        <w:sz w:val="20"/>
      </w:rPr>
    </w:tblStylePr>
    <w:tblStylePr w:type="swCell">
      <w:rPr>
        <w:rFonts w:ascii="ff5" w:hAnsi="ff5"/>
        <w:sz w:val="20"/>
      </w:rPr>
    </w:tblStylePr>
  </w:style>
  <w:style w:type="table" w:customStyle="1" w:styleId="CSCTableBluewren">
    <w:name w:val="CSC Table Blue wren"/>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f5" w:hAnsi="ff5"/>
        <w:b/>
        <w:color w:val="FFFFFF" w:themeColor="background1"/>
        <w:sz w:val="20"/>
      </w:rPr>
      <w:tblPr/>
      <w:tcPr>
        <w:shd w:val="clear" w:color="auto" w:fill="0073CF" w:themeFill="accent6"/>
      </w:tcPr>
    </w:tblStylePr>
    <w:tblStylePr w:type="lastRow">
      <w:rPr>
        <w:rFonts w:ascii="ff5" w:hAnsi="ff5"/>
        <w:sz w:val="20"/>
      </w:rPr>
    </w:tblStylePr>
    <w:tblStylePr w:type="firstCol">
      <w:rPr>
        <w:rFonts w:ascii="ff5" w:hAnsi="ff5"/>
        <w:sz w:val="20"/>
      </w:rPr>
    </w:tblStylePr>
    <w:tblStylePr w:type="lastCol">
      <w:rPr>
        <w:rFonts w:ascii="ff5" w:hAnsi="ff5"/>
        <w:sz w:val="20"/>
      </w:rPr>
    </w:tblStylePr>
    <w:tblStylePr w:type="band1Vert">
      <w:rPr>
        <w:rFonts w:ascii="ff5" w:hAnsi="ff5"/>
        <w:sz w:val="20"/>
      </w:rPr>
    </w:tblStylePr>
    <w:tblStylePr w:type="band2Vert">
      <w:rPr>
        <w:rFonts w:ascii="ff5" w:hAnsi="ff5"/>
        <w:sz w:val="20"/>
      </w:rPr>
    </w:tblStylePr>
    <w:tblStylePr w:type="band1Horz">
      <w:rPr>
        <w:rFonts w:ascii="ff5" w:hAnsi="ff5"/>
        <w:sz w:val="20"/>
      </w:rPr>
    </w:tblStylePr>
    <w:tblStylePr w:type="band2Horz">
      <w:rPr>
        <w:rFonts w:ascii="ff5" w:hAnsi="ff5"/>
        <w:sz w:val="20"/>
      </w:rPr>
      <w:tblPr/>
      <w:tcPr>
        <w:shd w:val="clear" w:color="auto" w:fill="C2E3FF" w:themeFill="accent6" w:themeFillTint="33"/>
      </w:tcPr>
    </w:tblStylePr>
    <w:tblStylePr w:type="neCell">
      <w:rPr>
        <w:rFonts w:ascii="ff5" w:hAnsi="ff5"/>
        <w:sz w:val="20"/>
      </w:rPr>
    </w:tblStylePr>
    <w:tblStylePr w:type="nwCell">
      <w:rPr>
        <w:rFonts w:ascii="ff5" w:hAnsi="ff5"/>
        <w:sz w:val="20"/>
      </w:rPr>
    </w:tblStylePr>
    <w:tblStylePr w:type="seCell">
      <w:rPr>
        <w:rFonts w:ascii="ff5" w:hAnsi="ff5"/>
        <w:sz w:val="20"/>
      </w:rPr>
    </w:tblStylePr>
    <w:tblStylePr w:type="swCell">
      <w:rPr>
        <w:rFonts w:ascii="ff5" w:hAnsi="ff5"/>
        <w:sz w:val="20"/>
      </w:rPr>
    </w:tblStylePr>
  </w:style>
  <w:style w:type="table" w:customStyle="1" w:styleId="CSCTableCapsicum">
    <w:name w:val="CSC Table Capsicum"/>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f5" w:hAnsi="ff5"/>
        <w:b/>
        <w:color w:val="FFFFFF" w:themeColor="background1"/>
        <w:sz w:val="20"/>
      </w:rPr>
      <w:tblPr/>
      <w:tcPr>
        <w:shd w:val="clear" w:color="auto" w:fill="A22B38" w:themeFill="accent4"/>
      </w:tcPr>
    </w:tblStylePr>
    <w:tblStylePr w:type="lastRow">
      <w:rPr>
        <w:rFonts w:ascii="ff5" w:hAnsi="ff5"/>
        <w:sz w:val="20"/>
      </w:rPr>
    </w:tblStylePr>
    <w:tblStylePr w:type="firstCol">
      <w:rPr>
        <w:rFonts w:ascii="ff5" w:hAnsi="ff5"/>
        <w:sz w:val="20"/>
      </w:rPr>
    </w:tblStylePr>
    <w:tblStylePr w:type="lastCol">
      <w:rPr>
        <w:rFonts w:ascii="ff5" w:hAnsi="ff5"/>
        <w:sz w:val="20"/>
      </w:rPr>
    </w:tblStylePr>
    <w:tblStylePr w:type="band1Vert">
      <w:rPr>
        <w:rFonts w:ascii="ff5" w:hAnsi="ff5"/>
        <w:sz w:val="20"/>
      </w:rPr>
    </w:tblStylePr>
    <w:tblStylePr w:type="band2Vert">
      <w:rPr>
        <w:rFonts w:ascii="ff5" w:hAnsi="ff5"/>
        <w:sz w:val="20"/>
      </w:rPr>
    </w:tblStylePr>
    <w:tblStylePr w:type="band1Horz">
      <w:rPr>
        <w:rFonts w:ascii="ff5" w:hAnsi="ff5"/>
        <w:sz w:val="20"/>
      </w:rPr>
    </w:tblStylePr>
    <w:tblStylePr w:type="band2Horz">
      <w:rPr>
        <w:rFonts w:ascii="ff5" w:hAnsi="ff5"/>
        <w:sz w:val="20"/>
      </w:rPr>
      <w:tblPr/>
      <w:tcPr>
        <w:shd w:val="clear" w:color="auto" w:fill="F2CED2" w:themeFill="accent4" w:themeFillTint="33"/>
      </w:tcPr>
    </w:tblStylePr>
    <w:tblStylePr w:type="neCell">
      <w:rPr>
        <w:rFonts w:ascii="ff5" w:hAnsi="ff5"/>
        <w:sz w:val="20"/>
      </w:rPr>
    </w:tblStylePr>
    <w:tblStylePr w:type="nwCell">
      <w:rPr>
        <w:rFonts w:ascii="ff5" w:hAnsi="ff5"/>
        <w:sz w:val="20"/>
      </w:rPr>
    </w:tblStylePr>
    <w:tblStylePr w:type="seCell">
      <w:rPr>
        <w:rFonts w:ascii="ff5" w:hAnsi="ff5"/>
        <w:sz w:val="20"/>
      </w:rPr>
    </w:tblStylePr>
    <w:tblStylePr w:type="swCell">
      <w:rPr>
        <w:rFonts w:ascii="ff5" w:hAnsi="ff5"/>
        <w:sz w:val="20"/>
      </w:rPr>
    </w:tblStylePr>
  </w:style>
  <w:style w:type="table" w:customStyle="1" w:styleId="CSCTableLime">
    <w:name w:val="CSC Table Lim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f5" w:hAnsi="ff5"/>
        <w:b/>
        <w:sz w:val="20"/>
      </w:rPr>
      <w:tblPr/>
      <w:tcPr>
        <w:shd w:val="clear" w:color="auto" w:fill="C1BB00" w:themeFill="accent1"/>
      </w:tcPr>
    </w:tblStylePr>
    <w:tblStylePr w:type="lastRow">
      <w:rPr>
        <w:rFonts w:ascii="ff5" w:hAnsi="ff5"/>
        <w:sz w:val="20"/>
      </w:rPr>
    </w:tblStylePr>
    <w:tblStylePr w:type="firstCol">
      <w:rPr>
        <w:rFonts w:ascii="ff5" w:hAnsi="ff5"/>
        <w:sz w:val="20"/>
      </w:rPr>
    </w:tblStylePr>
    <w:tblStylePr w:type="lastCol">
      <w:rPr>
        <w:rFonts w:ascii="ff5" w:hAnsi="ff5"/>
        <w:sz w:val="20"/>
      </w:rPr>
    </w:tblStylePr>
    <w:tblStylePr w:type="band1Vert">
      <w:rPr>
        <w:rFonts w:ascii="ff5" w:hAnsi="ff5"/>
        <w:sz w:val="20"/>
      </w:rPr>
    </w:tblStylePr>
    <w:tblStylePr w:type="band2Vert">
      <w:rPr>
        <w:rFonts w:ascii="ff5" w:hAnsi="ff5"/>
        <w:sz w:val="20"/>
      </w:rPr>
    </w:tblStylePr>
    <w:tblStylePr w:type="band1Horz">
      <w:rPr>
        <w:rFonts w:ascii="ff5" w:hAnsi="ff5"/>
        <w:sz w:val="20"/>
      </w:rPr>
    </w:tblStylePr>
    <w:tblStylePr w:type="band2Horz">
      <w:rPr>
        <w:rFonts w:ascii="ff5" w:hAnsi="ff5"/>
        <w:sz w:val="20"/>
      </w:rPr>
      <w:tblPr/>
      <w:tcPr>
        <w:shd w:val="clear" w:color="auto" w:fill="FFFDBF" w:themeFill="accent1" w:themeFillTint="33"/>
      </w:tcPr>
    </w:tblStylePr>
    <w:tblStylePr w:type="neCell">
      <w:rPr>
        <w:rFonts w:ascii="ff5" w:hAnsi="ff5"/>
        <w:sz w:val="20"/>
      </w:rPr>
    </w:tblStylePr>
    <w:tblStylePr w:type="nwCell">
      <w:rPr>
        <w:rFonts w:ascii="ff5" w:hAnsi="ff5"/>
        <w:sz w:val="20"/>
      </w:rPr>
    </w:tblStylePr>
    <w:tblStylePr w:type="seCell">
      <w:rPr>
        <w:rFonts w:ascii="ff5" w:hAnsi="ff5"/>
        <w:sz w:val="20"/>
      </w:rPr>
    </w:tblStylePr>
    <w:tblStylePr w:type="swCell">
      <w:rPr>
        <w:rFonts w:ascii="ff5" w:hAnsi="ff5"/>
        <w:sz w:val="20"/>
      </w:rPr>
    </w:tblStylePr>
  </w:style>
  <w:style w:type="table" w:customStyle="1" w:styleId="CSCTableOlive">
    <w:name w:val="CSC Table Oliv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f5" w:hAnsi="ff5"/>
        <w:b/>
        <w:color w:val="FFFFFF" w:themeColor="background1"/>
        <w:sz w:val="20"/>
      </w:rPr>
      <w:tblPr/>
      <w:tcPr>
        <w:shd w:val="clear" w:color="auto" w:fill="53682B" w:themeFill="accent2"/>
      </w:tcPr>
    </w:tblStylePr>
    <w:tblStylePr w:type="lastRow">
      <w:rPr>
        <w:rFonts w:ascii="ff5" w:hAnsi="ff5"/>
        <w:sz w:val="20"/>
      </w:rPr>
    </w:tblStylePr>
    <w:tblStylePr w:type="firstCol">
      <w:rPr>
        <w:rFonts w:ascii="ff5" w:hAnsi="ff5"/>
        <w:sz w:val="20"/>
      </w:rPr>
    </w:tblStylePr>
    <w:tblStylePr w:type="lastCol">
      <w:rPr>
        <w:rFonts w:ascii="ff5" w:hAnsi="ff5"/>
        <w:sz w:val="20"/>
      </w:rPr>
    </w:tblStylePr>
    <w:tblStylePr w:type="band1Vert">
      <w:rPr>
        <w:rFonts w:ascii="ff5" w:hAnsi="ff5"/>
        <w:sz w:val="20"/>
      </w:rPr>
    </w:tblStylePr>
    <w:tblStylePr w:type="band2Vert">
      <w:rPr>
        <w:rFonts w:ascii="ff5" w:hAnsi="ff5"/>
        <w:sz w:val="20"/>
      </w:rPr>
    </w:tblStylePr>
    <w:tblStylePr w:type="band1Horz">
      <w:rPr>
        <w:rFonts w:ascii="ff5" w:hAnsi="ff5"/>
        <w:sz w:val="20"/>
      </w:rPr>
    </w:tblStylePr>
    <w:tblStylePr w:type="band2Horz">
      <w:rPr>
        <w:rFonts w:ascii="ff5" w:hAnsi="ff5"/>
        <w:sz w:val="20"/>
      </w:rPr>
      <w:tblPr/>
      <w:tcPr>
        <w:shd w:val="clear" w:color="auto" w:fill="DFE9CB" w:themeFill="accent2" w:themeFillTint="33"/>
      </w:tcPr>
    </w:tblStylePr>
    <w:tblStylePr w:type="neCell">
      <w:rPr>
        <w:rFonts w:ascii="ff5" w:hAnsi="ff5"/>
        <w:sz w:val="20"/>
      </w:rPr>
    </w:tblStylePr>
    <w:tblStylePr w:type="nwCell">
      <w:rPr>
        <w:rFonts w:ascii="ff5" w:hAnsi="ff5"/>
        <w:sz w:val="20"/>
      </w:rPr>
    </w:tblStylePr>
    <w:tblStylePr w:type="seCell">
      <w:rPr>
        <w:rFonts w:ascii="ff5" w:hAnsi="ff5"/>
        <w:sz w:val="20"/>
      </w:rPr>
    </w:tblStylePr>
    <w:tblStylePr w:type="swCell">
      <w:rPr>
        <w:rFonts w:ascii="ff5" w:hAnsi="ff5"/>
        <w:sz w:val="20"/>
      </w:rPr>
    </w:tblStylePr>
  </w:style>
  <w:style w:type="table" w:customStyle="1" w:styleId="CSCTableSweetpotato">
    <w:name w:val="CSC Table Sweet potato"/>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f5" w:hAnsi="ff5"/>
        <w:b/>
        <w:color w:val="FFFFFF" w:themeColor="background1"/>
        <w:sz w:val="20"/>
      </w:rPr>
      <w:tblPr/>
      <w:tcPr>
        <w:shd w:val="clear" w:color="auto" w:fill="C75B12" w:themeFill="accent3"/>
      </w:tcPr>
    </w:tblStylePr>
    <w:tblStylePr w:type="lastRow">
      <w:rPr>
        <w:rFonts w:ascii="ff5" w:hAnsi="ff5"/>
        <w:sz w:val="20"/>
      </w:rPr>
    </w:tblStylePr>
    <w:tblStylePr w:type="firstCol">
      <w:rPr>
        <w:rFonts w:ascii="ff5" w:hAnsi="ff5"/>
        <w:sz w:val="20"/>
      </w:rPr>
    </w:tblStylePr>
    <w:tblStylePr w:type="lastCol">
      <w:rPr>
        <w:rFonts w:ascii="ff5" w:hAnsi="ff5"/>
        <w:sz w:val="20"/>
      </w:rPr>
    </w:tblStylePr>
    <w:tblStylePr w:type="band1Vert">
      <w:rPr>
        <w:rFonts w:ascii="ff5" w:hAnsi="ff5"/>
        <w:sz w:val="20"/>
      </w:rPr>
    </w:tblStylePr>
    <w:tblStylePr w:type="band2Vert">
      <w:rPr>
        <w:rFonts w:ascii="ff5" w:hAnsi="ff5"/>
        <w:sz w:val="20"/>
      </w:rPr>
    </w:tblStylePr>
    <w:tblStylePr w:type="band1Horz">
      <w:rPr>
        <w:rFonts w:ascii="ff5" w:hAnsi="ff5"/>
        <w:sz w:val="20"/>
      </w:rPr>
    </w:tblStylePr>
    <w:tblStylePr w:type="band2Horz">
      <w:rPr>
        <w:rFonts w:ascii="ff5" w:hAnsi="ff5"/>
        <w:sz w:val="20"/>
      </w:rPr>
      <w:tblPr/>
      <w:tcPr>
        <w:shd w:val="clear" w:color="auto" w:fill="FADCC9" w:themeFill="accent3" w:themeFillTint="33"/>
        <w:tcMar>
          <w:top w:w="108" w:type="dxa"/>
          <w:left w:w="108" w:type="dxa"/>
          <w:bottom w:w="108" w:type="dxa"/>
          <w:right w:w="108" w:type="dxa"/>
        </w:tcMar>
      </w:tcPr>
    </w:tblStylePr>
    <w:tblStylePr w:type="neCell">
      <w:rPr>
        <w:rFonts w:ascii="ff5" w:hAnsi="ff5"/>
        <w:sz w:val="20"/>
      </w:rPr>
    </w:tblStylePr>
    <w:tblStylePr w:type="nwCell">
      <w:rPr>
        <w:rFonts w:ascii="ff5" w:hAnsi="ff5"/>
        <w:sz w:val="20"/>
      </w:rPr>
    </w:tblStylePr>
    <w:tblStylePr w:type="seCell">
      <w:rPr>
        <w:rFonts w:ascii="ff5" w:hAnsi="ff5"/>
        <w:sz w:val="20"/>
      </w:rPr>
    </w:tblStylePr>
    <w:tblStylePr w:type="swCell">
      <w:rPr>
        <w:rFonts w:ascii="ff5" w:hAnsi="ff5"/>
        <w:sz w:val="20"/>
      </w:rPr>
    </w:tblStylePr>
  </w:style>
  <w:style w:type="character" w:customStyle="1" w:styleId="jsgrdq">
    <w:name w:val="jsgrdq"/>
    <w:basedOn w:val="DefaultParagraphFont"/>
    <w:rsid w:val="00FE0AD7"/>
  </w:style>
  <w:style w:type="character" w:styleId="UnresolvedMention">
    <w:name w:val="Unresolved Mention"/>
    <w:basedOn w:val="DefaultParagraphFont"/>
    <w:uiPriority w:val="99"/>
    <w:unhideWhenUsed/>
    <w:rsid w:val="00FE0AD7"/>
    <w:rPr>
      <w:color w:val="605E5C"/>
      <w:shd w:val="clear" w:color="auto" w:fill="E1DFDD"/>
    </w:rPr>
  </w:style>
  <w:style w:type="character" w:styleId="CommentReference">
    <w:name w:val="annotation reference"/>
    <w:basedOn w:val="DefaultParagraphFont"/>
    <w:semiHidden/>
    <w:unhideWhenUsed/>
    <w:rsid w:val="007344C8"/>
    <w:rPr>
      <w:sz w:val="16"/>
      <w:szCs w:val="16"/>
    </w:rPr>
  </w:style>
  <w:style w:type="paragraph" w:styleId="CommentText">
    <w:name w:val="annotation text"/>
    <w:basedOn w:val="Normal"/>
    <w:link w:val="CommentTextChar"/>
    <w:semiHidden/>
    <w:unhideWhenUsed/>
    <w:rsid w:val="007344C8"/>
    <w:rPr>
      <w:sz w:val="20"/>
      <w:szCs w:val="20"/>
    </w:rPr>
  </w:style>
  <w:style w:type="character" w:customStyle="1" w:styleId="CommentTextChar">
    <w:name w:val="Comment Text Char"/>
    <w:basedOn w:val="DefaultParagraphFont"/>
    <w:link w:val="CommentText"/>
    <w:semiHidden/>
    <w:rsid w:val="007344C8"/>
    <w:rPr>
      <w:sz w:val="20"/>
      <w:szCs w:val="20"/>
    </w:rPr>
  </w:style>
  <w:style w:type="paragraph" w:styleId="CommentSubject">
    <w:name w:val="annotation subject"/>
    <w:basedOn w:val="CommentText"/>
    <w:next w:val="CommentText"/>
    <w:link w:val="CommentSubjectChar"/>
    <w:semiHidden/>
    <w:unhideWhenUsed/>
    <w:rsid w:val="007344C8"/>
    <w:rPr>
      <w:b/>
      <w:bCs/>
    </w:rPr>
  </w:style>
  <w:style w:type="character" w:customStyle="1" w:styleId="CommentSubjectChar">
    <w:name w:val="Comment Subject Char"/>
    <w:basedOn w:val="CommentTextChar"/>
    <w:link w:val="CommentSubject"/>
    <w:semiHidden/>
    <w:rsid w:val="007344C8"/>
    <w:rPr>
      <w:b/>
      <w:bCs/>
      <w:sz w:val="20"/>
      <w:szCs w:val="20"/>
    </w:rPr>
  </w:style>
  <w:style w:type="character" w:styleId="Mention">
    <w:name w:val="Mention"/>
    <w:basedOn w:val="DefaultParagraphFont"/>
    <w:uiPriority w:val="99"/>
    <w:unhideWhenUsed/>
    <w:rsid w:val="007344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1188">
      <w:bodyDiv w:val="1"/>
      <w:marLeft w:val="0"/>
      <w:marRight w:val="0"/>
      <w:marTop w:val="0"/>
      <w:marBottom w:val="0"/>
      <w:divBdr>
        <w:top w:val="none" w:sz="0" w:space="0" w:color="auto"/>
        <w:left w:val="none" w:sz="0" w:space="0" w:color="auto"/>
        <w:bottom w:val="none" w:sz="0" w:space="0" w:color="auto"/>
        <w:right w:val="none" w:sz="0" w:space="0" w:color="auto"/>
      </w:divBdr>
    </w:div>
    <w:div w:id="423451935">
      <w:bodyDiv w:val="1"/>
      <w:marLeft w:val="0"/>
      <w:marRight w:val="0"/>
      <w:marTop w:val="0"/>
      <w:marBottom w:val="0"/>
      <w:divBdr>
        <w:top w:val="none" w:sz="0" w:space="0" w:color="auto"/>
        <w:left w:val="none" w:sz="0" w:space="0" w:color="auto"/>
        <w:bottom w:val="none" w:sz="0" w:space="0" w:color="auto"/>
        <w:right w:val="none" w:sz="0" w:space="0" w:color="auto"/>
      </w:divBdr>
    </w:div>
    <w:div w:id="1114321397">
      <w:bodyDiv w:val="1"/>
      <w:marLeft w:val="0"/>
      <w:marRight w:val="0"/>
      <w:marTop w:val="0"/>
      <w:marBottom w:val="0"/>
      <w:divBdr>
        <w:top w:val="none" w:sz="0" w:space="0" w:color="auto"/>
        <w:left w:val="none" w:sz="0" w:space="0" w:color="auto"/>
        <w:bottom w:val="none" w:sz="0" w:space="0" w:color="auto"/>
        <w:right w:val="none" w:sz="0" w:space="0" w:color="auto"/>
      </w:divBdr>
    </w:div>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 w:id="1752002115">
      <w:bodyDiv w:val="1"/>
      <w:marLeft w:val="0"/>
      <w:marRight w:val="0"/>
      <w:marTop w:val="0"/>
      <w:marBottom w:val="0"/>
      <w:divBdr>
        <w:top w:val="none" w:sz="0" w:space="0" w:color="auto"/>
        <w:left w:val="none" w:sz="0" w:space="0" w:color="auto"/>
        <w:bottom w:val="none" w:sz="0" w:space="0" w:color="auto"/>
        <w:right w:val="none" w:sz="0" w:space="0" w:color="auto"/>
      </w:divBdr>
    </w:div>
    <w:div w:id="2011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s://www.cardinia.vic.gov.au" TargetMode="External"/><Relationship Id="rId1" Type="http://schemas.openxmlformats.org/officeDocument/2006/relationships/hyperlink" Target="mailto:mail@cardinia.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Templates\Office%202020\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600BCDEE56991646AC91A182FB310285" ma:contentTypeVersion="13" ma:contentTypeDescription="Create a new document." ma:contentTypeScope="" ma:versionID="4e6caf2dcf2f5e17e7e1377fb1be6445">
  <xsd:schema xmlns:xsd="http://www.w3.org/2001/XMLSchema" xmlns:xs="http://www.w3.org/2001/XMLSchema" xmlns:p="http://schemas.microsoft.com/office/2006/metadata/properties" xmlns:ns3="cad36900-b2dc-4c92-af6c-8bacf3216b0d" xmlns:ns4="dacca0c0-181f-4a2f-80e5-213543d85916" targetNamespace="http://schemas.microsoft.com/office/2006/metadata/properties" ma:root="true" ma:fieldsID="d874f3ea33e3f2e54f9089e8bfa0c30e" ns3:_="" ns4:_="">
    <xsd:import namespace="cad36900-b2dc-4c92-af6c-8bacf3216b0d"/>
    <xsd:import namespace="dacca0c0-181f-4a2f-80e5-213543d859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36900-b2dc-4c92-af6c-8bacf3216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ca0c0-181f-4a2f-80e5-213543d8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F7128E-F434-4096-B94C-0FDA66C9B23F}">
  <ds:schemaRefs>
    <ds:schemaRef ds:uri="http://schemas.microsoft.com/sharepoint/v3/contenttype/forms"/>
  </ds:schemaRefs>
</ds:datastoreItem>
</file>

<file path=customXml/itemProps3.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4.xml><?xml version="1.0" encoding="utf-8"?>
<ds:datastoreItem xmlns:ds="http://schemas.openxmlformats.org/officeDocument/2006/customXml" ds:itemID="{06B292BE-1498-42E2-B005-4829CCCB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36900-b2dc-4c92-af6c-8bacf3216b0d"/>
    <ds:schemaRef ds:uri="dacca0c0-181f-4a2f-80e5-213543d8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D8A6B8-70CB-4AA6-8E95-6C42D4C5977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1F08A02-7633-4A5F-8C20-A41FFFB7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0</TotalTime>
  <Pages>2</Pages>
  <Words>584</Words>
  <Characters>3329</Characters>
  <Application>Microsoft Office Word</Application>
  <DocSecurity>0</DocSecurity>
  <Lines>27</Lines>
  <Paragraphs>7</Paragraphs>
  <ScaleCrop>false</ScaleCrop>
  <Company>Cardinia Shire Council</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Hopgood</dc:creator>
  <cp:keywords/>
  <cp:lastModifiedBy>Rosie Hopgood</cp:lastModifiedBy>
  <cp:revision>14</cp:revision>
  <cp:lastPrinted>2014-03-04T16:33:00Z</cp:lastPrinted>
  <dcterms:created xsi:type="dcterms:W3CDTF">2021-08-10T22:09:00Z</dcterms:created>
  <dcterms:modified xsi:type="dcterms:W3CDTF">2021-08-11T01:53:00Z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0x010100600BCDEE56991646AC91A182FB310285</vt:lpwstr>
  </property>
  <property fmtid="{D5CDD505-2E9C-101B-9397-08002B2CF9AE}" pid="3" name="RevIMBCS">
    <vt:lpwstr>6;#Planning (Business Plan)|aeca1183-09bb-4124-8d99-51a469fbf210</vt:lpwstr>
  </property>
  <property fmtid="{D5CDD505-2E9C-101B-9397-08002B2CF9AE}" pid="4" name="_dlc_DocIdItemGuid">
    <vt:lpwstr>e964d2df-3ab9-4c51-a97e-97329d8655c7</vt:lpwstr>
  </property>
</Properties>
</file>