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8744" w14:textId="29BB201F" w:rsidR="008A325F" w:rsidRDefault="00BE1E0B" w:rsidP="008A325F">
      <w:pPr>
        <w:rPr>
          <w:color w:val="FFFFFF" w:themeColor="background1"/>
          <w:sz w:val="32"/>
          <w:szCs w:val="32"/>
        </w:rPr>
      </w:pPr>
      <w:bookmarkStart w:id="0" w:name="_GoBack"/>
      <w:r>
        <w:rPr>
          <w:noProof/>
          <w:color w:val="FFFFFF" w:themeColor="background1"/>
          <w:sz w:val="32"/>
          <w:szCs w:val="32"/>
        </w:rPr>
        <w:drawing>
          <wp:anchor distT="0" distB="0" distL="114300" distR="114300" simplePos="0" relativeHeight="251658240"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A325F" w:rsidRPr="00DF7A15">
        <w:rPr>
          <w:noProof/>
        </w:rPr>
        <w:drawing>
          <wp:anchor distT="0" distB="0" distL="114300" distR="114300" simplePos="0" relativeHeight="251658242"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1BF7B2CC" w:rsidR="008A325F" w:rsidRDefault="008A325F" w:rsidP="008A325F">
      <w:pPr>
        <w:pStyle w:val="Title"/>
        <w:tabs>
          <w:tab w:val="left" w:pos="2184"/>
        </w:tabs>
      </w:pPr>
      <w:r>
        <w:rPr>
          <w:noProof/>
        </w:rPr>
        <w:drawing>
          <wp:anchor distT="0" distB="0" distL="114300" distR="114300" simplePos="0" relativeHeight="251658241" behindDoc="1" locked="0" layoutInCell="1" allowOverlap="1" wp14:anchorId="47D6829E" wp14:editId="08190980">
            <wp:simplePos x="0" y="0"/>
            <wp:positionH relativeFrom="margin">
              <wp:posOffset>93980</wp:posOffset>
            </wp:positionH>
            <wp:positionV relativeFrom="margin">
              <wp:posOffset>408940</wp:posOffset>
            </wp:positionV>
            <wp:extent cx="460375" cy="269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0375" cy="269240"/>
                    </a:xfrm>
                    <a:prstGeom prst="rect">
                      <a:avLst/>
                    </a:prstGeom>
                  </pic:spPr>
                </pic:pic>
              </a:graphicData>
            </a:graphic>
            <wp14:sizeRelH relativeFrom="margin">
              <wp14:pctWidth>0</wp14:pctWidth>
            </wp14:sizeRelH>
            <wp14:sizeRelV relativeFrom="margin">
              <wp14:pctHeight>0</wp14:pctHeight>
            </wp14:sizeRelV>
          </wp:anchor>
        </w:drawing>
      </w:r>
      <w:r w:rsidR="00444634">
        <w:t>Education</w:t>
      </w:r>
      <w:r>
        <w:tab/>
      </w:r>
    </w:p>
    <w:p w14:paraId="39B6F18F" w14:textId="77777777" w:rsidR="005403B2" w:rsidRDefault="005403B2" w:rsidP="00284B54">
      <w:pPr>
        <w:rPr>
          <w:noProof/>
        </w:rPr>
      </w:pPr>
    </w:p>
    <w:p w14:paraId="3AA832DA" w14:textId="77777777" w:rsidR="005403B2" w:rsidRDefault="005403B2" w:rsidP="00284B54">
      <w:pPr>
        <w:rPr>
          <w:noProof/>
        </w:rPr>
      </w:pPr>
    </w:p>
    <w:p w14:paraId="43E48E3D" w14:textId="77777777" w:rsidR="005403B2" w:rsidRDefault="005403B2" w:rsidP="00284B54">
      <w:pPr>
        <w:rPr>
          <w:noProof/>
        </w:rPr>
      </w:pPr>
    </w:p>
    <w:p w14:paraId="2ACD6F3A" w14:textId="2E6E5BA8" w:rsidR="00284B54" w:rsidRDefault="00284B54" w:rsidP="005C0AA9">
      <w:pPr>
        <w:rPr>
          <w:noProof/>
        </w:rPr>
      </w:pPr>
    </w:p>
    <w:p w14:paraId="5ABEF9EC" w14:textId="6B86ADEB" w:rsidR="005C0AA9" w:rsidRDefault="005C0AA9" w:rsidP="005C0AA9">
      <w:pPr>
        <w:rPr>
          <w:noProof/>
        </w:rPr>
      </w:pPr>
    </w:p>
    <w:p w14:paraId="28CB12C0" w14:textId="77777777" w:rsidR="005C0AA9" w:rsidRDefault="005C0AA9" w:rsidP="005C0AA9">
      <w:pPr>
        <w:rPr>
          <w:noProof/>
        </w:rPr>
      </w:pPr>
    </w:p>
    <w:p w14:paraId="06CF0D8C" w14:textId="181CFAC7" w:rsidR="00064A68" w:rsidRDefault="004C7213" w:rsidP="008C33B6">
      <w:pPr>
        <w:pStyle w:val="Heading1"/>
        <w:rPr>
          <w:noProof/>
          <w:lang w:eastAsia="en-AU"/>
        </w:rPr>
      </w:pPr>
      <w:r>
        <w:rPr>
          <w:noProof/>
          <w:lang w:eastAsia="en-AU"/>
        </w:rPr>
        <w:t>Domain overview</w:t>
      </w:r>
    </w:p>
    <w:p w14:paraId="0AA9B319" w14:textId="77777777" w:rsidR="004D5D1B" w:rsidRDefault="004D5D1B" w:rsidP="004D5D1B">
      <w:r>
        <w:t xml:space="preserve">Access to education plays a vital role in promoting health and wellbeing, providing a sense of community and enhancing future financial security. </w:t>
      </w:r>
    </w:p>
    <w:p w14:paraId="653B341C" w14:textId="2C881BDA" w:rsidR="00CC459B" w:rsidRDefault="00CC459B" w:rsidP="00CC459B">
      <w:pPr>
        <w:pStyle w:val="Heading2"/>
      </w:pPr>
      <w:r>
        <w:t xml:space="preserve">Strategic </w:t>
      </w:r>
      <w:r w:rsidR="005544CE">
        <w:t>o</w:t>
      </w:r>
      <w:r>
        <w:t>bjective</w:t>
      </w:r>
    </w:p>
    <w:p w14:paraId="52BA7151" w14:textId="77777777" w:rsidR="00BD25C6" w:rsidRDefault="00BD25C6" w:rsidP="00BD25C6">
      <w:r>
        <w:t>Increase participation in local education</w:t>
      </w:r>
    </w:p>
    <w:p w14:paraId="575156BD" w14:textId="77777777" w:rsidR="00CC459B" w:rsidRPr="002D5DC7" w:rsidRDefault="00CC459B" w:rsidP="00CC459B">
      <w:pPr>
        <w:pStyle w:val="Heading2"/>
      </w:pPr>
      <w:r w:rsidRPr="00CC459B">
        <w:t xml:space="preserve">Links to Council Plan </w:t>
      </w:r>
      <w:r w:rsidRPr="758BB75F">
        <w:t xml:space="preserve"> </w:t>
      </w:r>
    </w:p>
    <w:p w14:paraId="4D903B76" w14:textId="77777777" w:rsidR="00ED72E2" w:rsidRDefault="00ED72E2" w:rsidP="00ED72E2">
      <w:r>
        <w:t xml:space="preserve">4.3 Improve local learning and employment pathway opportunities through strategic partnerships. </w:t>
      </w:r>
    </w:p>
    <w:p w14:paraId="27F65C02" w14:textId="0BB5945C" w:rsidR="004C7213" w:rsidRDefault="004C7213" w:rsidP="00437874">
      <w:pPr>
        <w:pStyle w:val="Heading2"/>
      </w:pPr>
      <w:r>
        <w:t xml:space="preserve">About </w:t>
      </w:r>
      <w:r w:rsidR="00444634">
        <w:t>education</w:t>
      </w:r>
    </w:p>
    <w:p w14:paraId="3D86C88C" w14:textId="77777777" w:rsidR="0079177E" w:rsidRDefault="0079177E" w:rsidP="0079177E">
      <w:pPr>
        <w:rPr>
          <w:lang w:eastAsia="en-US"/>
        </w:rPr>
      </w:pPr>
      <w:bookmarkStart w:id="1" w:name="_Hlk79493450"/>
      <w:r w:rsidRPr="004A0D36">
        <w:rPr>
          <w:lang w:eastAsia="en-US"/>
        </w:rPr>
        <w:t>Data about education in Cardinia Shire identifies:</w:t>
      </w:r>
      <w:r>
        <w:rPr>
          <w:lang w:eastAsia="en-US"/>
        </w:rPr>
        <w:t xml:space="preserve"> </w:t>
      </w:r>
    </w:p>
    <w:p w14:paraId="76C867A4" w14:textId="263AB01C" w:rsidR="0079177E" w:rsidRDefault="0AF82377" w:rsidP="0079177E">
      <w:pPr>
        <w:pStyle w:val="Bulletlistmultilevel"/>
        <w:numPr>
          <w:ilvl w:val="0"/>
          <w:numId w:val="16"/>
        </w:numPr>
        <w:rPr>
          <w:lang w:eastAsia="en-US"/>
        </w:rPr>
      </w:pPr>
      <w:r w:rsidRPr="709C5D49">
        <w:rPr>
          <w:lang w:eastAsia="en-US"/>
        </w:rPr>
        <w:t xml:space="preserve">Lower rates of year 12 completion </w:t>
      </w:r>
      <w:r w:rsidR="0C493C76" w:rsidRPr="709C5D49">
        <w:rPr>
          <w:lang w:eastAsia="en-US"/>
        </w:rPr>
        <w:t xml:space="preserve">at </w:t>
      </w:r>
      <w:r w:rsidRPr="709C5D49">
        <w:rPr>
          <w:lang w:eastAsia="en-US"/>
        </w:rPr>
        <w:t xml:space="preserve">45%, compared to Greater Melbourne 59%. </w:t>
      </w:r>
    </w:p>
    <w:p w14:paraId="013CF50B" w14:textId="599CDAB4" w:rsidR="0079177E" w:rsidRDefault="0AF82377" w:rsidP="0079177E">
      <w:pPr>
        <w:pStyle w:val="Bulletlistmultilevel"/>
        <w:numPr>
          <w:ilvl w:val="0"/>
          <w:numId w:val="16"/>
        </w:numPr>
        <w:rPr>
          <w:lang w:eastAsia="en-US"/>
        </w:rPr>
      </w:pPr>
      <w:r w:rsidRPr="709C5D49">
        <w:rPr>
          <w:lang w:eastAsia="en-US"/>
        </w:rPr>
        <w:t xml:space="preserve">Higher rates of vocational qualifications </w:t>
      </w:r>
      <w:r w:rsidR="0152C27C" w:rsidRPr="709C5D49">
        <w:rPr>
          <w:lang w:eastAsia="en-US"/>
        </w:rPr>
        <w:t xml:space="preserve">at </w:t>
      </w:r>
      <w:r w:rsidRPr="709C5D49">
        <w:rPr>
          <w:lang w:eastAsia="en-US"/>
        </w:rPr>
        <w:t>25%</w:t>
      </w:r>
      <w:r w:rsidR="27832E45" w:rsidRPr="709C5D49">
        <w:rPr>
          <w:lang w:eastAsia="en-US"/>
        </w:rPr>
        <w:t>,</w:t>
      </w:r>
      <w:r w:rsidRPr="709C5D49">
        <w:rPr>
          <w:lang w:eastAsia="en-US"/>
        </w:rPr>
        <w:t xml:space="preserve"> compared to Greater Melbourne </w:t>
      </w:r>
      <w:r w:rsidR="3A32BF4F" w:rsidRPr="709C5D49">
        <w:rPr>
          <w:lang w:eastAsia="en-US"/>
        </w:rPr>
        <w:t xml:space="preserve">at </w:t>
      </w:r>
      <w:r w:rsidRPr="709C5D49">
        <w:rPr>
          <w:lang w:eastAsia="en-US"/>
        </w:rPr>
        <w:t>15%.</w:t>
      </w:r>
    </w:p>
    <w:p w14:paraId="1A916138" w14:textId="1E8C953D" w:rsidR="0079177E" w:rsidRDefault="0AF82377" w:rsidP="0079177E">
      <w:pPr>
        <w:pStyle w:val="Bulletlistmultilevel"/>
        <w:numPr>
          <w:ilvl w:val="0"/>
          <w:numId w:val="16"/>
        </w:numPr>
        <w:rPr>
          <w:lang w:eastAsia="en-US"/>
        </w:rPr>
      </w:pPr>
      <w:r w:rsidRPr="709C5D49">
        <w:rPr>
          <w:lang w:eastAsia="en-US"/>
        </w:rPr>
        <w:t xml:space="preserve">Lower rates of university qualifications </w:t>
      </w:r>
      <w:r w:rsidR="7DF90B3D" w:rsidRPr="709C5D49">
        <w:rPr>
          <w:lang w:eastAsia="en-US"/>
        </w:rPr>
        <w:t xml:space="preserve">at </w:t>
      </w:r>
      <w:r w:rsidRPr="709C5D49">
        <w:rPr>
          <w:lang w:eastAsia="en-US"/>
        </w:rPr>
        <w:t>24%</w:t>
      </w:r>
      <w:r w:rsidR="7E8A7FF0" w:rsidRPr="709C5D49">
        <w:rPr>
          <w:lang w:eastAsia="en-US"/>
        </w:rPr>
        <w:t>,</w:t>
      </w:r>
      <w:r w:rsidRPr="709C5D49">
        <w:rPr>
          <w:lang w:eastAsia="en-US"/>
        </w:rPr>
        <w:t xml:space="preserve"> compared to Greater Melbourne </w:t>
      </w:r>
      <w:r w:rsidR="3B763F96" w:rsidRPr="709C5D49">
        <w:rPr>
          <w:lang w:eastAsia="en-US"/>
        </w:rPr>
        <w:t xml:space="preserve">at </w:t>
      </w:r>
      <w:r w:rsidRPr="709C5D49">
        <w:rPr>
          <w:lang w:eastAsia="en-US"/>
        </w:rPr>
        <w:t>37%.</w:t>
      </w:r>
    </w:p>
    <w:p w14:paraId="564B59FD" w14:textId="77777777" w:rsidR="0079177E" w:rsidRDefault="0079177E" w:rsidP="0079177E">
      <w:pPr>
        <w:pStyle w:val="Bulletlistmultilevel"/>
        <w:numPr>
          <w:ilvl w:val="0"/>
          <w:numId w:val="16"/>
        </w:numPr>
        <w:rPr>
          <w:lang w:eastAsia="en-US"/>
        </w:rPr>
      </w:pPr>
      <w:r>
        <w:rPr>
          <w:lang w:eastAsia="en-US"/>
        </w:rPr>
        <w:t>There are 28 kindergartens, 29 primary schools and 15 secondary schools in Cardinia Shire.</w:t>
      </w:r>
    </w:p>
    <w:p w14:paraId="23C8308A" w14:textId="77777777" w:rsidR="0079177E" w:rsidRDefault="0079177E" w:rsidP="0079177E">
      <w:pPr>
        <w:pStyle w:val="Bulletlistmultilevel"/>
        <w:numPr>
          <w:ilvl w:val="0"/>
          <w:numId w:val="16"/>
        </w:numPr>
        <w:rPr>
          <w:lang w:eastAsia="en-US"/>
        </w:rPr>
      </w:pPr>
      <w:r>
        <w:rPr>
          <w:lang w:eastAsia="en-US"/>
        </w:rPr>
        <w:t>There is one TAFE campus in Pakenham and the closest u</w:t>
      </w:r>
      <w:r w:rsidRPr="00651A4D">
        <w:rPr>
          <w:lang w:eastAsia="en-US"/>
        </w:rPr>
        <w:t>niversity is</w:t>
      </w:r>
      <w:r>
        <w:rPr>
          <w:lang w:eastAsia="en-US"/>
        </w:rPr>
        <w:t xml:space="preserve"> in Berwick. </w:t>
      </w:r>
    </w:p>
    <w:p w14:paraId="51FAF666" w14:textId="77777777" w:rsidR="0079177E" w:rsidRDefault="0079177E" w:rsidP="0079177E">
      <w:pPr>
        <w:pStyle w:val="Bulletlistmultilevel"/>
        <w:numPr>
          <w:ilvl w:val="0"/>
          <w:numId w:val="16"/>
        </w:numPr>
        <w:rPr>
          <w:lang w:eastAsia="en-US"/>
        </w:rPr>
      </w:pPr>
      <w:r w:rsidRPr="00651A4D">
        <w:rPr>
          <w:lang w:eastAsia="en-US"/>
        </w:rPr>
        <w:t xml:space="preserve">There are libraries in Pakenham and Emerald, and mobile library </w:t>
      </w:r>
      <w:r>
        <w:rPr>
          <w:lang w:eastAsia="en-US"/>
        </w:rPr>
        <w:t xml:space="preserve">stops in 12 other locations. </w:t>
      </w:r>
    </w:p>
    <w:p w14:paraId="23CB7FD9" w14:textId="77777777" w:rsidR="0079177E" w:rsidRPr="00651A4D" w:rsidRDefault="0079177E" w:rsidP="0079177E">
      <w:pPr>
        <w:pStyle w:val="Bulletlistmultilevel"/>
        <w:numPr>
          <w:ilvl w:val="0"/>
          <w:numId w:val="16"/>
        </w:numPr>
        <w:rPr>
          <w:lang w:eastAsia="en-US"/>
        </w:rPr>
      </w:pPr>
      <w:r>
        <w:rPr>
          <w:lang w:eastAsia="en-US"/>
        </w:rPr>
        <w:t xml:space="preserve">There are 8 community centres and neighbourhood houses. </w:t>
      </w:r>
    </w:p>
    <w:p w14:paraId="50F464AC" w14:textId="77777777" w:rsidR="0079177E" w:rsidRPr="00927FF9" w:rsidRDefault="0079177E" w:rsidP="0079177E">
      <w:pPr>
        <w:pStyle w:val="Bulletlistmultilevel"/>
        <w:numPr>
          <w:ilvl w:val="0"/>
          <w:numId w:val="16"/>
        </w:numPr>
        <w:rPr>
          <w:lang w:eastAsia="en-US"/>
        </w:rPr>
      </w:pPr>
      <w:r>
        <w:rPr>
          <w:lang w:eastAsia="en-US"/>
        </w:rPr>
        <w:t xml:space="preserve">There is a University of the Third Age (U3A) located in Pakenham and Emerald. </w:t>
      </w:r>
    </w:p>
    <w:p w14:paraId="06827981" w14:textId="1086CCA6" w:rsidR="005E2F42" w:rsidRDefault="00444634" w:rsidP="005E2F42">
      <w:pPr>
        <w:pStyle w:val="Heading2"/>
      </w:pPr>
      <w:r>
        <w:t>Education</w:t>
      </w:r>
      <w:r w:rsidR="005E2F42" w:rsidRPr="75FEA35D">
        <w:rPr>
          <w:szCs w:val="28"/>
        </w:rPr>
        <w:t xml:space="preserve"> </w:t>
      </w:r>
      <w:r w:rsidR="00EB1CCB">
        <w:rPr>
          <w:szCs w:val="28"/>
        </w:rPr>
        <w:t>l</w:t>
      </w:r>
      <w:r w:rsidR="005E2F42" w:rsidRPr="75FEA35D">
        <w:rPr>
          <w:szCs w:val="28"/>
        </w:rPr>
        <w:t xml:space="preserve">iveability </w:t>
      </w:r>
      <w:r w:rsidR="00EB1CCB">
        <w:t>i</w:t>
      </w:r>
      <w:r w:rsidR="005E2F42">
        <w:t xml:space="preserve">ndicators </w:t>
      </w:r>
    </w:p>
    <w:bookmarkEnd w:id="1"/>
    <w:p w14:paraId="171BD5F6" w14:textId="5CF3D236" w:rsidR="00AB28BC" w:rsidRDefault="198531E8" w:rsidP="00AB28BC">
      <w:pPr>
        <w:pStyle w:val="Bulletlistmultilevel"/>
        <w:numPr>
          <w:ilvl w:val="0"/>
          <w:numId w:val="16"/>
        </w:numPr>
      </w:pPr>
      <w:r>
        <w:t>Primary school proximity: 80% dwellings located ≤ 880m from a government primary school</w:t>
      </w:r>
      <w:r w:rsidR="410D60E8">
        <w:t>.</w:t>
      </w:r>
      <w:r>
        <w:t xml:space="preserve"> </w:t>
      </w:r>
    </w:p>
    <w:p w14:paraId="21EBF55E" w14:textId="7F7D8951" w:rsidR="00AB28BC" w:rsidRDefault="198531E8" w:rsidP="00AB28BC">
      <w:pPr>
        <w:pStyle w:val="Bulletlistmultilevel"/>
        <w:numPr>
          <w:ilvl w:val="0"/>
          <w:numId w:val="16"/>
        </w:numPr>
      </w:pPr>
      <w:r>
        <w:t>Primary school availability: 1,500 dwellings per government primary school</w:t>
      </w:r>
      <w:r w:rsidR="174439B0">
        <w:t>.</w:t>
      </w:r>
      <w:r>
        <w:t xml:space="preserve"> </w:t>
      </w:r>
    </w:p>
    <w:p w14:paraId="7430D70F" w14:textId="47A552B1" w:rsidR="00AB28BC" w:rsidRDefault="198531E8" w:rsidP="00AB28BC">
      <w:pPr>
        <w:pStyle w:val="Bulletlistmultilevel"/>
        <w:numPr>
          <w:ilvl w:val="0"/>
          <w:numId w:val="16"/>
        </w:numPr>
      </w:pPr>
      <w:r>
        <w:t>Primary school access: measured as a pedshed; calculated as the ratio of area within 1.6km street network buffer to the area within a 1.6km Euclidian (as the crow flies) buffer around a neighbourhood activity centre. The higher the ratio, the higher the pedestrian access (≥0.60 is desirable)</w:t>
      </w:r>
      <w:r w:rsidR="5D0C7A83">
        <w:t>.</w:t>
      </w:r>
    </w:p>
    <w:p w14:paraId="10B75855" w14:textId="72FD33DC" w:rsidR="00AB28BC" w:rsidRDefault="198531E8" w:rsidP="00AB28BC">
      <w:pPr>
        <w:pStyle w:val="Bulletlistmultilevel"/>
        <w:numPr>
          <w:ilvl w:val="0"/>
          <w:numId w:val="16"/>
        </w:numPr>
      </w:pPr>
      <w:r>
        <w:t>Primary school traffic volume exposure: measured as a ration: total length of roads carrying &gt;3,000 vehicles/day to the total length of roads carrying ≤ 3,000 vehicles/day within a 1.6km street network buffer around a primary school. The higher the ration, the higher the traffic volume exposure (≤0.50 is desirable)</w:t>
      </w:r>
      <w:r w:rsidR="0FE433C5">
        <w:t>.</w:t>
      </w:r>
      <w:r>
        <w:t xml:space="preserve"> </w:t>
      </w:r>
    </w:p>
    <w:p w14:paraId="64C46E59" w14:textId="35418636" w:rsidR="00AB28BC" w:rsidRDefault="198531E8" w:rsidP="00AB28BC">
      <w:pPr>
        <w:pStyle w:val="Bulletlistmultilevel"/>
        <w:numPr>
          <w:ilvl w:val="0"/>
          <w:numId w:val="16"/>
        </w:numPr>
      </w:pPr>
      <w:r>
        <w:t>Secondary school availability: number of dwellings per government secondary school (6,500 dwellings)</w:t>
      </w:r>
      <w:r w:rsidR="1FBAE588">
        <w:t>.</w:t>
      </w:r>
      <w:r>
        <w:t xml:space="preserve"> </w:t>
      </w:r>
    </w:p>
    <w:p w14:paraId="3CFBE719" w14:textId="33DFF4B5" w:rsidR="004C7213" w:rsidRDefault="6167F0B7" w:rsidP="00437874">
      <w:pPr>
        <w:pStyle w:val="Heading2"/>
      </w:pPr>
      <w:r>
        <w:t xml:space="preserve">The role of </w:t>
      </w:r>
      <w:r w:rsidR="6975CBFF">
        <w:t>education</w:t>
      </w:r>
      <w:r>
        <w:t xml:space="preserve"> in our C</w:t>
      </w:r>
      <w:r w:rsidR="00800998">
        <w:t>OVID</w:t>
      </w:r>
      <w:r>
        <w:t>-19 recovery</w:t>
      </w:r>
    </w:p>
    <w:p w14:paraId="41CB6C11" w14:textId="2D681A1E" w:rsidR="00855AD1" w:rsidRDefault="0A01CF83" w:rsidP="00855AD1">
      <w:pPr>
        <w:rPr>
          <w:lang w:eastAsia="en-US"/>
        </w:rPr>
      </w:pPr>
      <w:r w:rsidRPr="709C5D49">
        <w:rPr>
          <w:lang w:eastAsia="en-US"/>
        </w:rPr>
        <w:t>As a result of the COVID-19 pandemic, schools and community education facilities have been closed and many classes and programs have been delivered online. The pandemic has had an impact on many young people’s mental health, resulting in their ability to learn being impaired. There is also evidence showing an increase in non-attendance across secondary schools which may decrease educational attainment and transitioning to tertiary education. Due to working from home, schools are not seeing kids every</w:t>
      </w:r>
      <w:r w:rsidR="75212ACD" w:rsidRPr="709C5D49">
        <w:rPr>
          <w:lang w:eastAsia="en-US"/>
        </w:rPr>
        <w:t xml:space="preserve"> </w:t>
      </w:r>
      <w:r w:rsidRPr="709C5D49">
        <w:rPr>
          <w:lang w:eastAsia="en-US"/>
        </w:rPr>
        <w:t xml:space="preserve">day which may pose child safety risks and flow-on impacts on child protection services. </w:t>
      </w:r>
    </w:p>
    <w:p w14:paraId="33FD9906" w14:textId="77777777" w:rsidR="00855AD1" w:rsidRDefault="00855AD1" w:rsidP="00855AD1">
      <w:pPr>
        <w:rPr>
          <w:lang w:eastAsia="en-US"/>
        </w:rPr>
      </w:pPr>
    </w:p>
    <w:p w14:paraId="22E454A5" w14:textId="31BB93EE" w:rsidR="00855AD1" w:rsidRDefault="0A01CF83" w:rsidP="00855AD1">
      <w:pPr>
        <w:rPr>
          <w:lang w:eastAsia="en-US"/>
        </w:rPr>
      </w:pPr>
      <w:r w:rsidRPr="709C5D49">
        <w:rPr>
          <w:lang w:eastAsia="en-US"/>
        </w:rPr>
        <w:t xml:space="preserve">Schools and community education facilities </w:t>
      </w:r>
      <w:r w:rsidR="106865E7" w:rsidRPr="709C5D49">
        <w:rPr>
          <w:lang w:eastAsia="en-US"/>
        </w:rPr>
        <w:t>are</w:t>
      </w:r>
      <w:r w:rsidRPr="709C5D49">
        <w:rPr>
          <w:lang w:eastAsia="en-US"/>
        </w:rPr>
        <w:t xml:space="preserve"> an important place for social connection and provide people with the opportunity to gain qualifications and skills for future employment. </w:t>
      </w:r>
    </w:p>
    <w:p w14:paraId="7250D020" w14:textId="04C70666" w:rsidR="00ED1DF8" w:rsidRDefault="00ED1DF8" w:rsidP="00ED1DF8">
      <w:pPr>
        <w:pStyle w:val="Heading2"/>
      </w:pPr>
      <w:r>
        <w:t xml:space="preserve">The role of </w:t>
      </w:r>
      <w:r w:rsidR="00444634">
        <w:t>education</w:t>
      </w:r>
      <w:r>
        <w:t xml:space="preserve"> in addressing climate change</w:t>
      </w:r>
    </w:p>
    <w:p w14:paraId="089A12F6" w14:textId="77777777" w:rsidR="000C7E27" w:rsidRDefault="000C7E27" w:rsidP="000C7E27">
      <w:pPr>
        <w:rPr>
          <w:lang w:eastAsia="en-US"/>
        </w:rPr>
      </w:pPr>
      <w:r w:rsidRPr="3C7B8A3A">
        <w:rPr>
          <w:lang w:eastAsia="en-US"/>
        </w:rPr>
        <w:t xml:space="preserve">Education is critical to addressing climate change. It increases knowledge among the younger generations, highlights the urgent need for climate action, encourages changes in behaviour and promotes new ways of thinking. Education, informed decision making, and environmental awareness plays a key role in the capability of individuals and communities to effectively mitigate and adapt to climate change. </w:t>
      </w:r>
    </w:p>
    <w:p w14:paraId="078C4CD2" w14:textId="42B53DB7" w:rsidR="00AC07E0" w:rsidRDefault="00AC07E0" w:rsidP="00AC07E0">
      <w:pPr>
        <w:pStyle w:val="Heading2"/>
      </w:pPr>
      <w:r w:rsidRPr="00AC07E0">
        <w:t xml:space="preserve">When thinking about the future of </w:t>
      </w:r>
      <w:r w:rsidR="00444634">
        <w:t>education</w:t>
      </w:r>
      <w:r w:rsidRPr="00AC07E0">
        <w:t xml:space="preserve"> in Cardinia Shire, the following issues are relevant:</w:t>
      </w:r>
    </w:p>
    <w:p w14:paraId="03DD7E6D" w14:textId="77777777" w:rsidR="009C1146" w:rsidRDefault="009C1146" w:rsidP="009C1146">
      <w:pPr>
        <w:pStyle w:val="Bulletlistmultilevel"/>
        <w:numPr>
          <w:ilvl w:val="0"/>
          <w:numId w:val="16"/>
        </w:numPr>
      </w:pPr>
      <w:r>
        <w:t xml:space="preserve">An increase in connectivity to the virtual world, and the use of digital and online resources, as well as varying degrees of digital literacy and preferences.  </w:t>
      </w:r>
    </w:p>
    <w:p w14:paraId="6347C2EF" w14:textId="60692552" w:rsidR="009C1146" w:rsidRDefault="201D07CA" w:rsidP="009C1146">
      <w:pPr>
        <w:pStyle w:val="Bulletlistmultilevel"/>
        <w:numPr>
          <w:ilvl w:val="0"/>
          <w:numId w:val="16"/>
        </w:numPr>
      </w:pPr>
      <w:r>
        <w:t>How to deliver 3-year</w:t>
      </w:r>
      <w:r w:rsidR="5FCFB930">
        <w:t>-</w:t>
      </w:r>
      <w:r>
        <w:t xml:space="preserve">old kindergarten with the limitations of available infrastructure and workforce shortages. </w:t>
      </w:r>
    </w:p>
    <w:p w14:paraId="530E3286" w14:textId="3CC9A56A" w:rsidR="009C1146" w:rsidRDefault="201D07CA" w:rsidP="009C1146">
      <w:pPr>
        <w:pStyle w:val="Bulletlistmultilevel"/>
        <w:numPr>
          <w:ilvl w:val="0"/>
          <w:numId w:val="16"/>
        </w:numPr>
      </w:pPr>
      <w:r>
        <w:t>Change management for the roll-out of 3-year</w:t>
      </w:r>
      <w:r w:rsidR="7C03D325">
        <w:t>-</w:t>
      </w:r>
      <w:r>
        <w:t xml:space="preserve">old kinder, with changes to traditional hours of kindergarten. </w:t>
      </w:r>
    </w:p>
    <w:p w14:paraId="62B52781" w14:textId="0D3C7252" w:rsidR="009C1146" w:rsidRDefault="201D07CA" w:rsidP="009C1146">
      <w:pPr>
        <w:pStyle w:val="Bulletlistmultilevel"/>
        <w:numPr>
          <w:ilvl w:val="0"/>
          <w:numId w:val="16"/>
        </w:numPr>
      </w:pPr>
      <w:r>
        <w:t>Schools and education providers adapting to and supporting the growing cultural diversity of Cardinia</w:t>
      </w:r>
      <w:r w:rsidR="38358078">
        <w:t xml:space="preserve"> Shire</w:t>
      </w:r>
      <w:r>
        <w:t xml:space="preserve"> residents. </w:t>
      </w:r>
    </w:p>
    <w:p w14:paraId="5AB95E1F" w14:textId="37C8D9C0" w:rsidR="009C1146" w:rsidRDefault="201D07CA" w:rsidP="009C1146">
      <w:pPr>
        <w:pStyle w:val="Bulletlistmultilevel"/>
        <w:numPr>
          <w:ilvl w:val="0"/>
          <w:numId w:val="16"/>
        </w:numPr>
      </w:pPr>
      <w:r>
        <w:t>Population growth resulting in larger and newer schools, creating pressure on the system</w:t>
      </w:r>
      <w:r w:rsidR="0A8EBC9E">
        <w:t>.</w:t>
      </w:r>
    </w:p>
    <w:p w14:paraId="145CB86F" w14:textId="1EDB9932" w:rsidR="009C1146" w:rsidRDefault="201D07CA" w:rsidP="009C1146">
      <w:pPr>
        <w:pStyle w:val="Bulletlistmultilevel"/>
        <w:numPr>
          <w:ilvl w:val="0"/>
          <w:numId w:val="16"/>
        </w:numPr>
      </w:pPr>
      <w:r>
        <w:t xml:space="preserve">Attracting a university / higher education campus into the </w:t>
      </w:r>
      <w:r w:rsidR="55232973">
        <w:t>s</w:t>
      </w:r>
      <w:r>
        <w:t>hire</w:t>
      </w:r>
      <w:r w:rsidR="63534BBF">
        <w:t>.</w:t>
      </w:r>
    </w:p>
    <w:p w14:paraId="441C46C0" w14:textId="22B6C4CA" w:rsidR="009C1146" w:rsidRDefault="201D07CA" w:rsidP="009C1146">
      <w:pPr>
        <w:pStyle w:val="Bulletlistmultilevel"/>
        <w:numPr>
          <w:ilvl w:val="0"/>
          <w:numId w:val="16"/>
        </w:numPr>
      </w:pPr>
      <w:r w:rsidRPr="709C5D49">
        <w:rPr>
          <w:lang w:eastAsia="en-US"/>
        </w:rPr>
        <w:t>COVID</w:t>
      </w:r>
      <w:r w:rsidR="19C80090" w:rsidRPr="709C5D49">
        <w:rPr>
          <w:lang w:eastAsia="en-US"/>
        </w:rPr>
        <w:t>-19</w:t>
      </w:r>
      <w:r w:rsidRPr="709C5D49">
        <w:rPr>
          <w:lang w:eastAsia="en-US"/>
        </w:rPr>
        <w:t xml:space="preserve"> has created a need for additional wrap around support for many students during peak transition times, as this is when students are most vulnerable.</w:t>
      </w:r>
    </w:p>
    <w:p w14:paraId="0BD31815" w14:textId="77777777" w:rsidR="009C1146" w:rsidRDefault="009C1146" w:rsidP="009C1146">
      <w:pPr>
        <w:pStyle w:val="Bulletlistmultilevel"/>
        <w:numPr>
          <w:ilvl w:val="0"/>
          <w:numId w:val="16"/>
        </w:numPr>
      </w:pPr>
      <w:r>
        <w:t>Opportunities for continuous learning into adulthood.</w:t>
      </w:r>
    </w:p>
    <w:p w14:paraId="3C4F996C" w14:textId="77777777" w:rsidR="009C1146" w:rsidRDefault="009C1146" w:rsidP="009C1146">
      <w:pPr>
        <w:pStyle w:val="Bulletlistmultilevel"/>
        <w:numPr>
          <w:ilvl w:val="0"/>
          <w:numId w:val="16"/>
        </w:numPr>
      </w:pPr>
      <w:r>
        <w:t>Plan Melbourne 2050 policies such as:</w:t>
      </w:r>
    </w:p>
    <w:p w14:paraId="54BD9C20" w14:textId="77777777" w:rsidR="009C1146" w:rsidRDefault="009C1146" w:rsidP="009C1146">
      <w:pPr>
        <w:pStyle w:val="Bulletlevel2CSC"/>
        <w:numPr>
          <w:ilvl w:val="1"/>
          <w:numId w:val="16"/>
        </w:numPr>
      </w:pPr>
      <w:r>
        <w:t>1.2.3 Support the provision of telecommunications infrastructure.</w:t>
      </w:r>
    </w:p>
    <w:p w14:paraId="091B53F1" w14:textId="77777777" w:rsidR="009C1146" w:rsidRDefault="009C1146" w:rsidP="009C1146">
      <w:pPr>
        <w:pStyle w:val="Bulletlevel2CSC"/>
        <w:numPr>
          <w:ilvl w:val="1"/>
          <w:numId w:val="16"/>
        </w:numPr>
      </w:pPr>
      <w:r>
        <w:t>2.2.5 Require development in growth areas to be sequenced and staged to better link infrastructure delivery to land release.</w:t>
      </w:r>
    </w:p>
    <w:p w14:paraId="786FEFA2" w14:textId="77777777" w:rsidR="009C1146" w:rsidRDefault="009C1146" w:rsidP="009C1146">
      <w:pPr>
        <w:pStyle w:val="Bulletlevel2CSC"/>
        <w:numPr>
          <w:ilvl w:val="1"/>
          <w:numId w:val="16"/>
        </w:numPr>
      </w:pPr>
      <w:r>
        <w:t>3.3.4 Locate schools and other regional facilities near existing public transport and provide safe walking and cycling routes and drop-off zones.</w:t>
      </w:r>
    </w:p>
    <w:p w14:paraId="794904B2" w14:textId="77777777" w:rsidR="009C1146" w:rsidRDefault="009C1146" w:rsidP="009C1146">
      <w:pPr>
        <w:pStyle w:val="Bulletlevel2CSC"/>
        <w:numPr>
          <w:ilvl w:val="1"/>
          <w:numId w:val="16"/>
        </w:numPr>
      </w:pPr>
      <w:r>
        <w:t>5.3.1 Facilitate a whole-of-government approach to the delivery of social infrastructure.</w:t>
      </w:r>
    </w:p>
    <w:p w14:paraId="014621C5" w14:textId="77777777" w:rsidR="009C1146" w:rsidRDefault="009C1146" w:rsidP="009C1146">
      <w:pPr>
        <w:pStyle w:val="Bulletlevel2CSC"/>
        <w:numPr>
          <w:ilvl w:val="1"/>
          <w:numId w:val="16"/>
        </w:numPr>
      </w:pPr>
      <w:r>
        <w:t>5.3.2 Create health and education precincts to support neighbourhoods.</w:t>
      </w:r>
    </w:p>
    <w:p w14:paraId="7A8A34D7" w14:textId="21AE74F2" w:rsidR="009C1146" w:rsidRPr="00746F9C" w:rsidRDefault="201D07CA" w:rsidP="009C1146">
      <w:pPr>
        <w:pStyle w:val="Bulletlevel2CSC"/>
        <w:numPr>
          <w:ilvl w:val="1"/>
          <w:numId w:val="16"/>
        </w:numPr>
      </w:pPr>
      <w:r>
        <w:t>6.2.1 Mitigate exposure to natural hazards and adapt to the impacts of climate change</w:t>
      </w:r>
      <w:r w:rsidR="76216EE3">
        <w:t>.</w:t>
      </w:r>
    </w:p>
    <w:p w14:paraId="3E0D7816" w14:textId="77777777" w:rsidR="000C7E27" w:rsidRPr="000C7E27" w:rsidRDefault="000C7E27" w:rsidP="000C7E27">
      <w:pPr>
        <w:rPr>
          <w:lang w:eastAsia="en-US"/>
        </w:rPr>
      </w:pPr>
    </w:p>
    <w:sectPr w:rsidR="000C7E27" w:rsidRPr="000C7E27"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A882" w14:textId="77777777" w:rsidR="00594D21" w:rsidRDefault="00594D21" w:rsidP="00756052">
      <w:r>
        <w:separator/>
      </w:r>
    </w:p>
    <w:p w14:paraId="425264DC" w14:textId="77777777" w:rsidR="00594D21" w:rsidRDefault="00594D21"/>
  </w:endnote>
  <w:endnote w:type="continuationSeparator" w:id="0">
    <w:p w14:paraId="487F30DA" w14:textId="77777777" w:rsidR="00594D21" w:rsidRDefault="00594D21" w:rsidP="00756052">
      <w:r>
        <w:continuationSeparator/>
      </w:r>
    </w:p>
    <w:p w14:paraId="5281EA18" w14:textId="77777777" w:rsidR="00594D21" w:rsidRDefault="00594D21"/>
  </w:endnote>
  <w:endnote w:type="continuationNotice" w:id="1">
    <w:p w14:paraId="2A5431E8" w14:textId="77777777" w:rsidR="00594D21" w:rsidRDefault="0059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EE1B" w14:textId="77777777" w:rsidR="00594D21" w:rsidRDefault="00594D21" w:rsidP="00756052">
      <w:r>
        <w:separator/>
      </w:r>
    </w:p>
    <w:p w14:paraId="049F416D" w14:textId="77777777" w:rsidR="00594D21" w:rsidRDefault="00594D21"/>
  </w:footnote>
  <w:footnote w:type="continuationSeparator" w:id="0">
    <w:p w14:paraId="78324A79" w14:textId="77777777" w:rsidR="00594D21" w:rsidRDefault="00594D21" w:rsidP="00756052">
      <w:r>
        <w:continuationSeparator/>
      </w:r>
    </w:p>
    <w:p w14:paraId="3C600EF3" w14:textId="77777777" w:rsidR="00594D21" w:rsidRDefault="00594D21"/>
  </w:footnote>
  <w:footnote w:type="continuationNotice" w:id="1">
    <w:p w14:paraId="0F7F8632" w14:textId="77777777" w:rsidR="00594D21" w:rsidRDefault="00594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lvl w:ilvl="0">
      <w:start w:val="1"/>
      <w:numFmt w:val="decimal"/>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9"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2"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18"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2"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8"/>
  </w:num>
  <w:num w:numId="3">
    <w:abstractNumId w:val="2"/>
  </w:num>
  <w:num w:numId="4">
    <w:abstractNumId w:val="2"/>
  </w:num>
  <w:num w:numId="5">
    <w:abstractNumId w:val="5"/>
  </w:num>
  <w:num w:numId="6">
    <w:abstractNumId w:val="5"/>
  </w:num>
  <w:num w:numId="7">
    <w:abstractNumId w:val="7"/>
  </w:num>
  <w:num w:numId="8">
    <w:abstractNumId w:val="18"/>
  </w:num>
  <w:num w:numId="9">
    <w:abstractNumId w:val="0"/>
  </w:num>
  <w:num w:numId="10">
    <w:abstractNumId w:val="21"/>
  </w:num>
  <w:num w:numId="11">
    <w:abstractNumId w:val="11"/>
  </w:num>
  <w:num w:numId="12">
    <w:abstractNumId w:val="14"/>
  </w:num>
  <w:num w:numId="13">
    <w:abstractNumId w:val="13"/>
  </w:num>
  <w:num w:numId="14">
    <w:abstractNumId w:val="10"/>
  </w:num>
  <w:num w:numId="15">
    <w:abstractNumId w:val="0"/>
  </w:num>
  <w:num w:numId="16">
    <w:abstractNumId w:val="19"/>
  </w:num>
  <w:num w:numId="17">
    <w:abstractNumId w:val="19"/>
  </w:num>
  <w:num w:numId="18">
    <w:abstractNumId w:val="19"/>
  </w:num>
  <w:num w:numId="19">
    <w:abstractNumId w:val="0"/>
  </w:num>
  <w:num w:numId="20">
    <w:abstractNumId w:val="0"/>
  </w:num>
  <w:num w:numId="21">
    <w:abstractNumId w:val="0"/>
  </w:num>
  <w:num w:numId="22">
    <w:abstractNumId w:val="20"/>
  </w:num>
  <w:num w:numId="23">
    <w:abstractNumId w:val="16"/>
  </w:num>
  <w:num w:numId="24">
    <w:abstractNumId w:val="15"/>
  </w:num>
  <w:num w:numId="25">
    <w:abstractNumId w:val="6"/>
  </w:num>
  <w:num w:numId="26">
    <w:abstractNumId w:val="12"/>
  </w:num>
  <w:num w:numId="27">
    <w:abstractNumId w:val="9"/>
  </w:num>
  <w:num w:numId="28">
    <w:abstractNumId w:val="1"/>
  </w:num>
  <w:num w:numId="29">
    <w:abstractNumId w:val="23"/>
  </w:num>
  <w:num w:numId="30">
    <w:abstractNumId w:val="4"/>
  </w:num>
  <w:num w:numId="31">
    <w:abstractNumId w:val="22"/>
  </w:num>
  <w:num w:numId="32">
    <w:abstractNumId w:val="17"/>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5A9A"/>
    <w:rsid w:val="000065FA"/>
    <w:rsid w:val="0001029C"/>
    <w:rsid w:val="00027AC5"/>
    <w:rsid w:val="000300C4"/>
    <w:rsid w:val="00033AC3"/>
    <w:rsid w:val="00034D73"/>
    <w:rsid w:val="000353BD"/>
    <w:rsid w:val="000405A2"/>
    <w:rsid w:val="00045C32"/>
    <w:rsid w:val="00046498"/>
    <w:rsid w:val="00046E8A"/>
    <w:rsid w:val="00047F61"/>
    <w:rsid w:val="00055C7A"/>
    <w:rsid w:val="0006109B"/>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B7D1E"/>
    <w:rsid w:val="000C1A4E"/>
    <w:rsid w:val="000C235B"/>
    <w:rsid w:val="000C3551"/>
    <w:rsid w:val="000C670F"/>
    <w:rsid w:val="000C76C1"/>
    <w:rsid w:val="000C76E1"/>
    <w:rsid w:val="000C7E27"/>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2513"/>
    <w:rsid w:val="00117201"/>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E61"/>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4B54"/>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984"/>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4CA3"/>
    <w:rsid w:val="0043745E"/>
    <w:rsid w:val="00437874"/>
    <w:rsid w:val="00437C9B"/>
    <w:rsid w:val="00443B76"/>
    <w:rsid w:val="00444634"/>
    <w:rsid w:val="004475BB"/>
    <w:rsid w:val="0045133A"/>
    <w:rsid w:val="00451530"/>
    <w:rsid w:val="004545E7"/>
    <w:rsid w:val="0046071D"/>
    <w:rsid w:val="00461AE2"/>
    <w:rsid w:val="00463134"/>
    <w:rsid w:val="00465919"/>
    <w:rsid w:val="00473070"/>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13"/>
    <w:rsid w:val="004C7240"/>
    <w:rsid w:val="004C7F7B"/>
    <w:rsid w:val="004D5D1B"/>
    <w:rsid w:val="004D5EA5"/>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2C1E"/>
    <w:rsid w:val="0053449E"/>
    <w:rsid w:val="00536EF9"/>
    <w:rsid w:val="005403B2"/>
    <w:rsid w:val="00547220"/>
    <w:rsid w:val="005473A4"/>
    <w:rsid w:val="005479E6"/>
    <w:rsid w:val="00551934"/>
    <w:rsid w:val="005544CE"/>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06AD"/>
    <w:rsid w:val="00593D87"/>
    <w:rsid w:val="00594D21"/>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0AA9"/>
    <w:rsid w:val="005C0D00"/>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1EC"/>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35F4"/>
    <w:rsid w:val="00694D70"/>
    <w:rsid w:val="00694F3D"/>
    <w:rsid w:val="006951D1"/>
    <w:rsid w:val="00695E65"/>
    <w:rsid w:val="006A0DD7"/>
    <w:rsid w:val="006A2F2F"/>
    <w:rsid w:val="006A4F5A"/>
    <w:rsid w:val="006A56F1"/>
    <w:rsid w:val="006A635F"/>
    <w:rsid w:val="006B0415"/>
    <w:rsid w:val="006B0A7F"/>
    <w:rsid w:val="006B3FB9"/>
    <w:rsid w:val="006B71B5"/>
    <w:rsid w:val="006C1C35"/>
    <w:rsid w:val="006C4F09"/>
    <w:rsid w:val="006D095A"/>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302A6"/>
    <w:rsid w:val="00732391"/>
    <w:rsid w:val="00732636"/>
    <w:rsid w:val="00732E19"/>
    <w:rsid w:val="007344C8"/>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177E"/>
    <w:rsid w:val="00793CBF"/>
    <w:rsid w:val="0079524E"/>
    <w:rsid w:val="00796BC4"/>
    <w:rsid w:val="0079703C"/>
    <w:rsid w:val="007A235E"/>
    <w:rsid w:val="007A23F4"/>
    <w:rsid w:val="007A2549"/>
    <w:rsid w:val="007A37D5"/>
    <w:rsid w:val="007A4ED4"/>
    <w:rsid w:val="007A5A1C"/>
    <w:rsid w:val="007A66CD"/>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0998"/>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216F"/>
    <w:rsid w:val="008521A4"/>
    <w:rsid w:val="0085329C"/>
    <w:rsid w:val="008545CA"/>
    <w:rsid w:val="00855AD1"/>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325F"/>
    <w:rsid w:val="008A721E"/>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E83"/>
    <w:rsid w:val="008F406F"/>
    <w:rsid w:val="008F73DF"/>
    <w:rsid w:val="00905516"/>
    <w:rsid w:val="0090576B"/>
    <w:rsid w:val="00910363"/>
    <w:rsid w:val="00911DC8"/>
    <w:rsid w:val="00914982"/>
    <w:rsid w:val="00914B24"/>
    <w:rsid w:val="00915B61"/>
    <w:rsid w:val="00915F86"/>
    <w:rsid w:val="009170A7"/>
    <w:rsid w:val="0092120C"/>
    <w:rsid w:val="00922171"/>
    <w:rsid w:val="009247EA"/>
    <w:rsid w:val="00925371"/>
    <w:rsid w:val="00926645"/>
    <w:rsid w:val="00931AD2"/>
    <w:rsid w:val="00933286"/>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1794"/>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1146"/>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0DFC"/>
    <w:rsid w:val="00A11121"/>
    <w:rsid w:val="00A12A31"/>
    <w:rsid w:val="00A132C2"/>
    <w:rsid w:val="00A13857"/>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2665"/>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4476"/>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28BC"/>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4859"/>
    <w:rsid w:val="00B50B15"/>
    <w:rsid w:val="00B510C3"/>
    <w:rsid w:val="00B51847"/>
    <w:rsid w:val="00B5257B"/>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5C6"/>
    <w:rsid w:val="00BD287D"/>
    <w:rsid w:val="00BD4621"/>
    <w:rsid w:val="00BD718D"/>
    <w:rsid w:val="00BE1E0B"/>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641D4"/>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557"/>
    <w:rsid w:val="00CC2A4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34E"/>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0BBB"/>
    <w:rsid w:val="00D51B1A"/>
    <w:rsid w:val="00D55D1A"/>
    <w:rsid w:val="00D62348"/>
    <w:rsid w:val="00D630EA"/>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9132B"/>
    <w:rsid w:val="00E92F1C"/>
    <w:rsid w:val="00E950AF"/>
    <w:rsid w:val="00E96342"/>
    <w:rsid w:val="00E979AF"/>
    <w:rsid w:val="00E97FCF"/>
    <w:rsid w:val="00EA5359"/>
    <w:rsid w:val="00EA5DBF"/>
    <w:rsid w:val="00EA6D81"/>
    <w:rsid w:val="00EA7DAF"/>
    <w:rsid w:val="00EB1AD4"/>
    <w:rsid w:val="00EB1CCB"/>
    <w:rsid w:val="00EB2530"/>
    <w:rsid w:val="00EB27A2"/>
    <w:rsid w:val="00EB6A86"/>
    <w:rsid w:val="00EC0CE9"/>
    <w:rsid w:val="00EC0E3E"/>
    <w:rsid w:val="00EC4630"/>
    <w:rsid w:val="00ED13A5"/>
    <w:rsid w:val="00ED1DF8"/>
    <w:rsid w:val="00ED271E"/>
    <w:rsid w:val="00ED44C4"/>
    <w:rsid w:val="00ED4913"/>
    <w:rsid w:val="00ED4B8C"/>
    <w:rsid w:val="00ED51C4"/>
    <w:rsid w:val="00ED5663"/>
    <w:rsid w:val="00ED72E2"/>
    <w:rsid w:val="00ED751D"/>
    <w:rsid w:val="00EE0AD5"/>
    <w:rsid w:val="00EE2D45"/>
    <w:rsid w:val="00EE43FF"/>
    <w:rsid w:val="00EE51E0"/>
    <w:rsid w:val="00EE53C5"/>
    <w:rsid w:val="00EE65A6"/>
    <w:rsid w:val="00EE6D6F"/>
    <w:rsid w:val="00EF01AB"/>
    <w:rsid w:val="00EF2A91"/>
    <w:rsid w:val="00EF3A68"/>
    <w:rsid w:val="00F02AD2"/>
    <w:rsid w:val="00F051C6"/>
    <w:rsid w:val="00F076B3"/>
    <w:rsid w:val="00F10B16"/>
    <w:rsid w:val="00F1138E"/>
    <w:rsid w:val="00F137C3"/>
    <w:rsid w:val="00F158AD"/>
    <w:rsid w:val="00F16B8E"/>
    <w:rsid w:val="00F17D5B"/>
    <w:rsid w:val="00F17EE1"/>
    <w:rsid w:val="00F219F7"/>
    <w:rsid w:val="00F21FB5"/>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156"/>
    <w:rsid w:val="00F6486E"/>
    <w:rsid w:val="00F66EDE"/>
    <w:rsid w:val="00F66F25"/>
    <w:rsid w:val="00F67852"/>
    <w:rsid w:val="00F6793B"/>
    <w:rsid w:val="00F70523"/>
    <w:rsid w:val="00F7187C"/>
    <w:rsid w:val="00F7202D"/>
    <w:rsid w:val="00F76C7C"/>
    <w:rsid w:val="00F81D3E"/>
    <w:rsid w:val="00F82E7F"/>
    <w:rsid w:val="00F83843"/>
    <w:rsid w:val="00F83D52"/>
    <w:rsid w:val="00F845E6"/>
    <w:rsid w:val="00F84C4C"/>
    <w:rsid w:val="00F85213"/>
    <w:rsid w:val="00F9032A"/>
    <w:rsid w:val="00F92D94"/>
    <w:rsid w:val="00F9538B"/>
    <w:rsid w:val="00F972B3"/>
    <w:rsid w:val="00FA195B"/>
    <w:rsid w:val="00FA43CD"/>
    <w:rsid w:val="00FA5407"/>
    <w:rsid w:val="00FA590E"/>
    <w:rsid w:val="00FA66CD"/>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E7650"/>
    <w:rsid w:val="00FF12CA"/>
    <w:rsid w:val="00FF15A7"/>
    <w:rsid w:val="00FF1E85"/>
    <w:rsid w:val="00FF2B59"/>
    <w:rsid w:val="00FF3C97"/>
    <w:rsid w:val="00FF5BFB"/>
    <w:rsid w:val="00FF7E35"/>
    <w:rsid w:val="0152C27C"/>
    <w:rsid w:val="0A01CF83"/>
    <w:rsid w:val="0A8EBC9E"/>
    <w:rsid w:val="0AF82377"/>
    <w:rsid w:val="0C493C76"/>
    <w:rsid w:val="0CF0E434"/>
    <w:rsid w:val="0EE1FA5A"/>
    <w:rsid w:val="0FE433C5"/>
    <w:rsid w:val="106865E7"/>
    <w:rsid w:val="174439B0"/>
    <w:rsid w:val="198531E8"/>
    <w:rsid w:val="19C80090"/>
    <w:rsid w:val="1B520F40"/>
    <w:rsid w:val="1E8ABF74"/>
    <w:rsid w:val="1EF1439D"/>
    <w:rsid w:val="1FBAE588"/>
    <w:rsid w:val="201D07CA"/>
    <w:rsid w:val="27832E45"/>
    <w:rsid w:val="35E9AFE6"/>
    <w:rsid w:val="38358078"/>
    <w:rsid w:val="3A32BF4F"/>
    <w:rsid w:val="3B763F96"/>
    <w:rsid w:val="410D60E8"/>
    <w:rsid w:val="43855AA8"/>
    <w:rsid w:val="47A39197"/>
    <w:rsid w:val="55232973"/>
    <w:rsid w:val="5D0C7A83"/>
    <w:rsid w:val="5FCFB930"/>
    <w:rsid w:val="6167F0B7"/>
    <w:rsid w:val="63534BBF"/>
    <w:rsid w:val="66F57B03"/>
    <w:rsid w:val="68914B64"/>
    <w:rsid w:val="6975CBFF"/>
    <w:rsid w:val="709C5D49"/>
    <w:rsid w:val="75212ACD"/>
    <w:rsid w:val="76216EE3"/>
    <w:rsid w:val="7A4B2D15"/>
    <w:rsid w:val="7C03D325"/>
    <w:rsid w:val="7DF90B3D"/>
    <w:rsid w:val="7E8A7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28CC0"/>
  <w14:discardImageEditingData/>
  <w15:docId w15:val="{B1F0456F-9195-487B-A6B1-0C0C1FB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uiPriority w:val="7"/>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unhideWhenUsed/>
    <w:rsid w:val="00FE0AD7"/>
    <w:rPr>
      <w:color w:val="605E5C"/>
      <w:shd w:val="clear" w:color="auto" w:fill="E1DFDD"/>
    </w:rPr>
  </w:style>
  <w:style w:type="character" w:styleId="CommentReference">
    <w:name w:val="annotation reference"/>
    <w:basedOn w:val="DefaultParagraphFont"/>
    <w:semiHidden/>
    <w:unhideWhenUsed/>
    <w:rsid w:val="007344C8"/>
    <w:rPr>
      <w:sz w:val="16"/>
      <w:szCs w:val="16"/>
    </w:rPr>
  </w:style>
  <w:style w:type="paragraph" w:styleId="CommentText">
    <w:name w:val="annotation text"/>
    <w:basedOn w:val="Normal"/>
    <w:link w:val="CommentTextChar"/>
    <w:semiHidden/>
    <w:unhideWhenUsed/>
    <w:rsid w:val="007344C8"/>
    <w:rPr>
      <w:sz w:val="20"/>
      <w:szCs w:val="20"/>
    </w:rPr>
  </w:style>
  <w:style w:type="character" w:customStyle="1" w:styleId="CommentTextChar">
    <w:name w:val="Comment Text Char"/>
    <w:basedOn w:val="DefaultParagraphFont"/>
    <w:link w:val="CommentText"/>
    <w:semiHidden/>
    <w:rsid w:val="007344C8"/>
    <w:rPr>
      <w:sz w:val="20"/>
      <w:szCs w:val="20"/>
    </w:rPr>
  </w:style>
  <w:style w:type="paragraph" w:styleId="CommentSubject">
    <w:name w:val="annotation subject"/>
    <w:basedOn w:val="CommentText"/>
    <w:next w:val="CommentText"/>
    <w:link w:val="CommentSubjectChar"/>
    <w:semiHidden/>
    <w:unhideWhenUsed/>
    <w:rsid w:val="007344C8"/>
    <w:rPr>
      <w:b/>
      <w:bCs/>
    </w:rPr>
  </w:style>
  <w:style w:type="character" w:customStyle="1" w:styleId="CommentSubjectChar">
    <w:name w:val="Comment Subject Char"/>
    <w:basedOn w:val="CommentTextChar"/>
    <w:link w:val="CommentSubject"/>
    <w:semiHidden/>
    <w:rsid w:val="007344C8"/>
    <w:rPr>
      <w:b/>
      <w:bCs/>
      <w:sz w:val="20"/>
      <w:szCs w:val="20"/>
    </w:rPr>
  </w:style>
  <w:style w:type="character" w:styleId="Mention">
    <w:name w:val="Mention"/>
    <w:basedOn w:val="DefaultParagraphFont"/>
    <w:uiPriority w:val="99"/>
    <w:unhideWhenUsed/>
    <w:rsid w:val="007344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C2D2A5A5-4AA0-421E-90FF-57DD58E2B307}">
  <ds:schemaRefs>
    <ds:schemaRef ds:uri="http://schemas.openxmlformats.org/officeDocument/2006/bibliography"/>
  </ds:schemaRefs>
</ds:datastoreItem>
</file>

<file path=customXml/itemProps5.xml><?xml version="1.0" encoding="utf-8"?>
<ds:datastoreItem xmlns:ds="http://schemas.openxmlformats.org/officeDocument/2006/customXml" ds:itemID="{83D8A6B8-70CB-4AA6-8E95-6C42D4C5977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acca0c0-181f-4a2f-80e5-213543d85916"/>
    <ds:schemaRef ds:uri="cad36900-b2dc-4c92-af6c-8bacf3216b0d"/>
    <ds:schemaRef ds:uri="http://www.w3.org/XML/1998/namespace"/>
  </ds:schemaRefs>
</ds:datastoreItem>
</file>

<file path=customXml/itemProps6.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57</TotalTime>
  <Pages>1</Pages>
  <Words>737</Words>
  <Characters>4205</Characters>
  <Application>Microsoft Office Word</Application>
  <DocSecurity>4</DocSecurity>
  <Lines>35</Lines>
  <Paragraphs>9</Paragraphs>
  <ScaleCrop>false</ScaleCrop>
  <Company>Cardinia Shire Council</Company>
  <LinksUpToDate>false</LinksUpToDate>
  <CharactersWithSpaces>4933</CharactersWithSpaces>
  <SharedDoc>false</SharedDoc>
  <HLinks>
    <vt:vector size="12" baseType="variant">
      <vt:variant>
        <vt:i4>524300</vt:i4>
      </vt:variant>
      <vt:variant>
        <vt:i4>3</vt:i4>
      </vt:variant>
      <vt:variant>
        <vt:i4>0</vt:i4>
      </vt:variant>
      <vt:variant>
        <vt:i4>5</vt:i4>
      </vt:variant>
      <vt:variant>
        <vt:lpwstr>https://www.cardinia.vic.gov.au/</vt:lpwstr>
      </vt:variant>
      <vt:variant>
        <vt:lpwstr/>
      </vt:variant>
      <vt:variant>
        <vt:i4>4784254</vt:i4>
      </vt:variant>
      <vt:variant>
        <vt:i4>0</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12</cp:revision>
  <cp:lastPrinted>2014-03-04T16:33:00Z</cp:lastPrinted>
  <dcterms:created xsi:type="dcterms:W3CDTF">2021-08-10T23:11:00Z</dcterms:created>
  <dcterms:modified xsi:type="dcterms:W3CDTF">2021-08-11T17:20:00Z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