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0D8C" w14:textId="423C73EE" w:rsidR="00064A68" w:rsidRDefault="00FE0AD7" w:rsidP="008C33B6">
      <w:pPr>
        <w:pStyle w:val="Heading1"/>
        <w:rPr>
          <w:noProof/>
          <w:lang w:eastAsia="en-AU"/>
        </w:rPr>
      </w:pPr>
      <w:r>
        <w:rPr>
          <w:noProof/>
          <w:lang w:eastAsia="en-AU"/>
        </w:rPr>
        <w:drawing>
          <wp:anchor distT="0" distB="0" distL="114300" distR="114300" simplePos="0" relativeHeight="251661824" behindDoc="0" locked="0" layoutInCell="1" allowOverlap="1" wp14:anchorId="3E9B0898" wp14:editId="558E5DB4">
            <wp:simplePos x="0" y="0"/>
            <wp:positionH relativeFrom="margin">
              <wp:posOffset>4817110</wp:posOffset>
            </wp:positionH>
            <wp:positionV relativeFrom="margin">
              <wp:posOffset>74295</wp:posOffset>
            </wp:positionV>
            <wp:extent cx="1386205" cy="139065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come_Wellbeing.png"/>
                    <pic:cNvPicPr/>
                  </pic:nvPicPr>
                  <pic:blipFill>
                    <a:blip r:embed="rId13">
                      <a:extLst>
                        <a:ext uri="{28A0092B-C50C-407E-A947-70E740481C1C}">
                          <a14:useLocalDpi xmlns:a14="http://schemas.microsoft.com/office/drawing/2010/main" val="0"/>
                        </a:ext>
                      </a:extLst>
                    </a:blip>
                    <a:stretch>
                      <a:fillRect/>
                    </a:stretch>
                  </pic:blipFill>
                  <pic:spPr>
                    <a:xfrm>
                      <a:off x="0" y="0"/>
                      <a:ext cx="1386205" cy="1390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t>About</w:t>
      </w:r>
    </w:p>
    <w:p w14:paraId="56FC0914" w14:textId="2429B4F1" w:rsidR="005A6051" w:rsidRDefault="00CD36A0" w:rsidP="00C615D1">
      <w:r w:rsidRPr="00CD36A0">
        <w:t>Healthy eating and active living are key factors to improving health and wellbeing and are associated with reducing the impact of lifestyle-related chronic disease, as well as improving mental health and wellbeing. Being able to eat healthy and live actively are dependent on planning, built environment, transport, food access and supply, rather than just the choices individuals make. Health reflects the complex interactions of a person’s genetics, lifestyle and environment and is fundamental to overall wellbeing.</w:t>
      </w:r>
    </w:p>
    <w:p w14:paraId="3CC55F66" w14:textId="77777777" w:rsidR="00FE0AD7" w:rsidRDefault="00FE0AD7" w:rsidP="00FE0AD7">
      <w:pPr>
        <w:pStyle w:val="Heading2"/>
      </w:pPr>
      <w:r w:rsidRPr="00236E19">
        <w:t>Key statistics</w:t>
      </w:r>
    </w:p>
    <w:p w14:paraId="5191C224" w14:textId="3BE3D4EC" w:rsidR="00CD36A0" w:rsidRDefault="00CD36A0" w:rsidP="00761DFB">
      <w:pPr>
        <w:pStyle w:val="Bulletlistmultilevel"/>
        <w:rPr>
          <w:lang w:eastAsia="en-US"/>
        </w:rPr>
      </w:pPr>
      <w:r w:rsidRPr="00CD36A0">
        <w:rPr>
          <w:lang w:eastAsia="en-US"/>
        </w:rPr>
        <w:t xml:space="preserve">Takeaway outlets, restaurants or cafes out number supermarkets or </w:t>
      </w:r>
      <w:r w:rsidR="00C423D3" w:rsidRPr="00CD36A0">
        <w:rPr>
          <w:lang w:eastAsia="en-US"/>
        </w:rPr>
        <w:t>greengrocer</w:t>
      </w:r>
      <w:r w:rsidR="00C423D3">
        <w:rPr>
          <w:lang w:eastAsia="en-US"/>
        </w:rPr>
        <w:t>s</w:t>
      </w:r>
      <w:r w:rsidRPr="00CD36A0">
        <w:rPr>
          <w:lang w:eastAsia="en-US"/>
        </w:rPr>
        <w:t xml:space="preserve"> 6:1</w:t>
      </w:r>
    </w:p>
    <w:p w14:paraId="17315A66" w14:textId="77777777" w:rsidR="00CD36A0" w:rsidRPr="00CD36A0" w:rsidRDefault="00CD36A0" w:rsidP="00761DFB">
      <w:pPr>
        <w:pStyle w:val="Bulletlistmultilevel"/>
        <w:rPr>
          <w:rStyle w:val="jsgrdq"/>
          <w:lang w:eastAsia="en-US"/>
        </w:rPr>
      </w:pPr>
      <w:r w:rsidRPr="00CD36A0">
        <w:rPr>
          <w:rStyle w:val="jsgrdq"/>
          <w:rFonts w:eastAsiaTheme="majorEastAsia"/>
          <w:color w:val="000000"/>
        </w:rPr>
        <w:t xml:space="preserve">53% complete </w:t>
      </w:r>
      <w:proofErr w:type="gramStart"/>
      <w:r w:rsidRPr="00CD36A0">
        <w:rPr>
          <w:rStyle w:val="jsgrdq"/>
          <w:rFonts w:eastAsiaTheme="majorEastAsia"/>
          <w:color w:val="000000"/>
        </w:rPr>
        <w:t>sufficient</w:t>
      </w:r>
      <w:proofErr w:type="gramEnd"/>
      <w:r w:rsidRPr="00CD36A0">
        <w:rPr>
          <w:rStyle w:val="jsgrdq"/>
          <w:rFonts w:eastAsiaTheme="majorEastAsia"/>
          <w:color w:val="000000"/>
        </w:rPr>
        <w:t xml:space="preserve"> physical activity</w:t>
      </w:r>
    </w:p>
    <w:p w14:paraId="3C9891DB" w14:textId="7482A016" w:rsidR="00CD36A0" w:rsidRPr="00CD36A0" w:rsidRDefault="00CD36A0" w:rsidP="00761DFB">
      <w:pPr>
        <w:pStyle w:val="Bulletlistmultilevel"/>
        <w:rPr>
          <w:rStyle w:val="jsgrdq"/>
          <w:lang w:eastAsia="en-US"/>
        </w:rPr>
      </w:pPr>
      <w:r w:rsidRPr="00CD36A0">
        <w:rPr>
          <w:rStyle w:val="jsgrdq"/>
          <w:rFonts w:eastAsiaTheme="majorEastAsia"/>
          <w:color w:val="000000"/>
        </w:rPr>
        <w:t xml:space="preserve">21% sit for more than 7 hours on a weekday </w:t>
      </w:r>
      <w:r w:rsidR="00C423D3">
        <w:rPr>
          <w:rStyle w:val="jsgrdq"/>
          <w:rFonts w:eastAsiaTheme="majorEastAsia"/>
          <w:color w:val="000000"/>
        </w:rPr>
        <w:t>(c</w:t>
      </w:r>
      <w:r w:rsidR="00C423D3" w:rsidRPr="00C423D3">
        <w:rPr>
          <w:rStyle w:val="jsgrdq"/>
          <w:rFonts w:eastAsiaTheme="majorEastAsia"/>
          <w:color w:val="000000"/>
        </w:rPr>
        <w:t>ompared to 13.9% on a weekend</w:t>
      </w:r>
      <w:r w:rsidR="00C423D3">
        <w:rPr>
          <w:rStyle w:val="jsgrdq"/>
          <w:rFonts w:eastAsiaTheme="majorEastAsia"/>
          <w:color w:val="000000"/>
        </w:rPr>
        <w:t>)</w:t>
      </w:r>
    </w:p>
    <w:p w14:paraId="613BAA48" w14:textId="59EEA73A" w:rsidR="00CD36A0" w:rsidRPr="00CD36A0" w:rsidRDefault="00CD36A0" w:rsidP="00761DFB">
      <w:pPr>
        <w:pStyle w:val="Bulletlistmultilevel"/>
        <w:rPr>
          <w:rStyle w:val="jsgrdq"/>
          <w:lang w:eastAsia="en-US"/>
        </w:rPr>
      </w:pPr>
      <w:r w:rsidRPr="00CD36A0">
        <w:rPr>
          <w:rStyle w:val="jsgrdq"/>
          <w:rFonts w:eastAsiaTheme="majorEastAsia"/>
          <w:color w:val="000000"/>
        </w:rPr>
        <w:t xml:space="preserve">95% don’t eat the recommended amount of fruit and vegetables </w:t>
      </w:r>
    </w:p>
    <w:p w14:paraId="2A7E1407" w14:textId="08C90CFE" w:rsidR="00CD36A0" w:rsidRPr="00CD36A0" w:rsidRDefault="00CD36A0" w:rsidP="00761DFB">
      <w:pPr>
        <w:pStyle w:val="Bulletlistmultilevel"/>
        <w:rPr>
          <w:rStyle w:val="jsgrdq"/>
          <w:lang w:eastAsia="en-US"/>
        </w:rPr>
      </w:pPr>
      <w:r w:rsidRPr="00CD36A0">
        <w:rPr>
          <w:rStyle w:val="jsgrdq"/>
          <w:rFonts w:eastAsiaTheme="majorEastAsia"/>
          <w:color w:val="000000"/>
        </w:rPr>
        <w:t>16% drink sugar-sweetened beverages daily and 14% eat takeaway meals or snacks more than once per week</w:t>
      </w:r>
      <w:r>
        <w:rPr>
          <w:rStyle w:val="jsgrdq"/>
          <w:rFonts w:eastAsiaTheme="majorEastAsia"/>
          <w:color w:val="000000"/>
        </w:rPr>
        <w:t xml:space="preserve"> (</w:t>
      </w:r>
      <w:r w:rsidR="00C423D3">
        <w:rPr>
          <w:rStyle w:val="jsgrdq"/>
          <w:rFonts w:eastAsiaTheme="majorEastAsia"/>
          <w:color w:val="000000"/>
        </w:rPr>
        <w:t>c</w:t>
      </w:r>
      <w:r w:rsidRPr="00CD36A0">
        <w:rPr>
          <w:rStyle w:val="jsgrdq"/>
          <w:rFonts w:eastAsiaTheme="majorEastAsia"/>
          <w:color w:val="000000"/>
        </w:rPr>
        <w:t>ompared to 10.1% Victoria</w:t>
      </w:r>
      <w:r>
        <w:rPr>
          <w:rStyle w:val="jsgrdq"/>
          <w:rFonts w:eastAsiaTheme="majorEastAsia"/>
          <w:color w:val="000000"/>
        </w:rPr>
        <w:t>)</w:t>
      </w:r>
    </w:p>
    <w:p w14:paraId="706385F5" w14:textId="77777777" w:rsidR="00CD36A0" w:rsidRPr="00CD36A0" w:rsidRDefault="00CD36A0" w:rsidP="00761DFB">
      <w:pPr>
        <w:pStyle w:val="Bulletlistmultilevel"/>
        <w:rPr>
          <w:rStyle w:val="jsgrdq"/>
          <w:lang w:eastAsia="en-US"/>
        </w:rPr>
      </w:pPr>
      <w:r w:rsidRPr="00CD36A0">
        <w:rPr>
          <w:rStyle w:val="jsgrdq"/>
          <w:rFonts w:eastAsiaTheme="majorEastAsia"/>
          <w:color w:val="000000"/>
        </w:rPr>
        <w:t xml:space="preserve">Highest organised sport participation of interface growth areas (14%) </w:t>
      </w:r>
    </w:p>
    <w:p w14:paraId="213DB3DF" w14:textId="572A2FFA" w:rsidR="00CD36A0" w:rsidRPr="00CD36A0" w:rsidRDefault="00CD36A0" w:rsidP="00761DFB">
      <w:pPr>
        <w:pStyle w:val="Bulletlistmultilevel"/>
        <w:rPr>
          <w:rStyle w:val="jsgrdq"/>
          <w:rFonts w:eastAsiaTheme="majorEastAsia"/>
          <w:color w:val="000000"/>
        </w:rPr>
      </w:pPr>
      <w:r w:rsidRPr="00CD36A0">
        <w:rPr>
          <w:rStyle w:val="jsgrdq"/>
          <w:rFonts w:eastAsiaTheme="majorEastAsia"/>
          <w:color w:val="000000"/>
        </w:rPr>
        <w:t xml:space="preserve">97% of households own a car and 75% of residents travel to work by car </w:t>
      </w:r>
    </w:p>
    <w:p w14:paraId="087F6BFB" w14:textId="1DA617DE" w:rsidR="00CD36A0" w:rsidRDefault="00CD36A0" w:rsidP="00761DFB">
      <w:pPr>
        <w:pStyle w:val="Bulletlistmultilevel"/>
        <w:rPr>
          <w:rStyle w:val="jsgrdq"/>
          <w:rFonts w:eastAsiaTheme="majorEastAsia"/>
          <w:color w:val="000000"/>
        </w:rPr>
      </w:pPr>
      <w:r>
        <w:rPr>
          <w:rStyle w:val="jsgrdq"/>
          <w:rFonts w:eastAsiaTheme="majorEastAsia"/>
          <w:color w:val="000000"/>
        </w:rPr>
        <w:t>58% of residents are overweight or obese</w:t>
      </w:r>
      <w:r>
        <w:rPr>
          <w:rStyle w:val="jsgrdq"/>
          <w:rFonts w:eastAsiaTheme="majorEastAsia"/>
          <w:color w:val="000000"/>
        </w:rPr>
        <w:tab/>
      </w:r>
    </w:p>
    <w:p w14:paraId="07EE596C" w14:textId="5D489C92" w:rsidR="00CD36A0" w:rsidRPr="00CD36A0" w:rsidRDefault="00CD36A0" w:rsidP="00761DFB">
      <w:pPr>
        <w:pStyle w:val="Bulletlistmultilevel"/>
        <w:rPr>
          <w:rStyle w:val="jsgrdq"/>
          <w:rFonts w:eastAsiaTheme="majorEastAsia"/>
          <w:color w:val="000000"/>
        </w:rPr>
      </w:pPr>
      <w:r>
        <w:rPr>
          <w:rStyle w:val="jsgrdq"/>
          <w:rFonts w:eastAsiaTheme="majorEastAsia"/>
          <w:color w:val="000000"/>
        </w:rPr>
        <w:t>Low walkability score of -1.3 (in the 15th percentile across Victoria)</w:t>
      </w:r>
    </w:p>
    <w:p w14:paraId="1EA4AC04" w14:textId="31EB0C25" w:rsidR="00FE0AD7" w:rsidRDefault="00FE0AD7" w:rsidP="00FE0AD7">
      <w:pPr>
        <w:pStyle w:val="Heading2"/>
      </w:pPr>
      <w:r>
        <w:t>Priority groups</w:t>
      </w:r>
    </w:p>
    <w:p w14:paraId="6E3D15AA" w14:textId="77777777" w:rsidR="00CD36A0" w:rsidRPr="00CD36A0" w:rsidRDefault="00CD36A0" w:rsidP="00761DFB">
      <w:pPr>
        <w:pStyle w:val="Bulletlistmultilevel"/>
        <w:rPr>
          <w:rStyle w:val="jsgrdq"/>
          <w:rFonts w:eastAsiaTheme="majorEastAsia"/>
          <w:color w:val="000000"/>
        </w:rPr>
      </w:pPr>
      <w:r w:rsidRPr="00CD36A0">
        <w:rPr>
          <w:rStyle w:val="jsgrdq"/>
          <w:rFonts w:eastAsiaTheme="majorEastAsia"/>
          <w:color w:val="000000"/>
        </w:rPr>
        <w:t>4% of children meet fruit and vegetable recommend serves compared to 6% of adults</w:t>
      </w:r>
    </w:p>
    <w:p w14:paraId="3874FF9D" w14:textId="77777777" w:rsidR="00CD36A0" w:rsidRPr="00CD36A0" w:rsidRDefault="00CD36A0" w:rsidP="00761DFB">
      <w:pPr>
        <w:pStyle w:val="Bulletlistmultilevel"/>
        <w:rPr>
          <w:rStyle w:val="jsgrdq"/>
          <w:rFonts w:eastAsiaTheme="majorEastAsia"/>
          <w:color w:val="000000"/>
        </w:rPr>
      </w:pPr>
      <w:r w:rsidRPr="00CD36A0">
        <w:rPr>
          <w:rStyle w:val="jsgrdq"/>
          <w:rFonts w:eastAsiaTheme="majorEastAsia"/>
          <w:color w:val="000000"/>
        </w:rPr>
        <w:t xml:space="preserve">Beaconsfield Upper has the lowest walkability score of -5.9 and Pakenham has the </w:t>
      </w:r>
    </w:p>
    <w:p w14:paraId="7B7EF064" w14:textId="77777777" w:rsidR="00CD36A0" w:rsidRPr="00CD36A0" w:rsidRDefault="00CD36A0" w:rsidP="00761DFB">
      <w:pPr>
        <w:pStyle w:val="Bulletlistmultilevel"/>
        <w:rPr>
          <w:rStyle w:val="jsgrdq"/>
          <w:rFonts w:eastAsiaTheme="majorEastAsia"/>
          <w:color w:val="000000"/>
        </w:rPr>
      </w:pPr>
      <w:r w:rsidRPr="00CD36A0">
        <w:rPr>
          <w:rStyle w:val="jsgrdq"/>
          <w:rFonts w:eastAsiaTheme="majorEastAsia"/>
          <w:color w:val="000000"/>
        </w:rPr>
        <w:t>highest -0.2</w:t>
      </w:r>
    </w:p>
    <w:p w14:paraId="52D399FF" w14:textId="77777777" w:rsidR="00CD36A0" w:rsidRPr="00CD36A0" w:rsidRDefault="00CD36A0" w:rsidP="00761DFB">
      <w:pPr>
        <w:pStyle w:val="Bulletlistmultilevel"/>
        <w:rPr>
          <w:rStyle w:val="jsgrdq"/>
          <w:rFonts w:eastAsiaTheme="majorEastAsia"/>
          <w:color w:val="000000"/>
        </w:rPr>
      </w:pPr>
      <w:r w:rsidRPr="00CD36A0">
        <w:rPr>
          <w:rStyle w:val="jsgrdq"/>
          <w:rFonts w:eastAsiaTheme="majorEastAsia"/>
          <w:color w:val="000000"/>
        </w:rPr>
        <w:t>Those experiencing financial hardship are less likely to regularly participate in physical activity</w:t>
      </w:r>
    </w:p>
    <w:p w14:paraId="13C77B9A" w14:textId="57076C53" w:rsidR="00C615D1" w:rsidRDefault="00FE0AD7" w:rsidP="00CD36A0">
      <w:pPr>
        <w:pStyle w:val="Heading2"/>
      </w:pPr>
      <w:r>
        <w:t>C</w:t>
      </w:r>
      <w:r w:rsidR="00D74A10">
        <w:t>OVID-19</w:t>
      </w:r>
      <w:r>
        <w:t xml:space="preserve"> impact</w:t>
      </w:r>
    </w:p>
    <w:p w14:paraId="1A912778" w14:textId="77777777" w:rsidR="00CD36A0" w:rsidRPr="00CD36A0" w:rsidRDefault="00CD36A0" w:rsidP="00761DFB">
      <w:pPr>
        <w:pStyle w:val="Bulletlistmultilevel"/>
        <w:rPr>
          <w:rStyle w:val="jsgrdq"/>
          <w:rFonts w:eastAsiaTheme="majorEastAsia"/>
          <w:color w:val="000000"/>
        </w:rPr>
      </w:pPr>
      <w:r w:rsidRPr="00CD36A0">
        <w:rPr>
          <w:rStyle w:val="jsgrdq"/>
          <w:rFonts w:eastAsiaTheme="majorEastAsia"/>
          <w:color w:val="000000"/>
        </w:rPr>
        <w:t>Issues accessing fresh food during COVID-19</w:t>
      </w:r>
    </w:p>
    <w:p w14:paraId="4DA3E276" w14:textId="77777777" w:rsidR="00CD36A0" w:rsidRPr="00CD36A0" w:rsidRDefault="00CD36A0" w:rsidP="00761DFB">
      <w:pPr>
        <w:pStyle w:val="Bulletlistmultilevel"/>
        <w:rPr>
          <w:rStyle w:val="jsgrdq"/>
          <w:rFonts w:eastAsiaTheme="majorEastAsia"/>
          <w:color w:val="000000"/>
        </w:rPr>
      </w:pPr>
      <w:r w:rsidRPr="00CD36A0">
        <w:rPr>
          <w:rStyle w:val="jsgrdq"/>
          <w:rFonts w:eastAsiaTheme="majorEastAsia"/>
          <w:color w:val="000000"/>
        </w:rPr>
        <w:t>30% were eating less healthy food and 46% were exercising less during lockdowns</w:t>
      </w:r>
    </w:p>
    <w:p w14:paraId="62F7A4A9" w14:textId="2707B40D" w:rsidR="00CD36A0" w:rsidRPr="00CD36A0" w:rsidRDefault="00CD36A0" w:rsidP="00761DFB">
      <w:pPr>
        <w:pStyle w:val="Bulletlistmultilevel"/>
        <w:rPr>
          <w:rStyle w:val="jsgrdq"/>
          <w:rFonts w:eastAsiaTheme="majorEastAsia"/>
          <w:color w:val="000000"/>
        </w:rPr>
      </w:pPr>
      <w:r w:rsidRPr="00CD36A0">
        <w:rPr>
          <w:rStyle w:val="jsgrdq"/>
          <w:rFonts w:eastAsiaTheme="majorEastAsia"/>
          <w:color w:val="000000"/>
        </w:rPr>
        <w:t>Social distancing restrictions highlighted the lack of open green space accessible to residents in growth areas of Melbourne</w:t>
      </w:r>
    </w:p>
    <w:p w14:paraId="4479CAC9" w14:textId="0FB662C4" w:rsidR="00FE0AD7" w:rsidRDefault="00FE0AD7" w:rsidP="00CD36A0">
      <w:pPr>
        <w:pStyle w:val="Heading2"/>
      </w:pPr>
      <w:r>
        <w:t>Climate impact</w:t>
      </w:r>
    </w:p>
    <w:p w14:paraId="2C8360B3" w14:textId="77777777" w:rsidR="00CD36A0" w:rsidRDefault="00CD36A0" w:rsidP="00761DFB">
      <w:pPr>
        <w:pStyle w:val="Bulletlistmultilevel"/>
        <w:rPr>
          <w:lang w:eastAsia="en-US"/>
        </w:rPr>
      </w:pPr>
      <w:r>
        <w:rPr>
          <w:lang w:eastAsia="en-US"/>
        </w:rPr>
        <w:t>Temperature and weather changes will impact food production, availability, and supply</w:t>
      </w:r>
    </w:p>
    <w:p w14:paraId="47216DFF" w14:textId="77777777" w:rsidR="00CD36A0" w:rsidRDefault="00CD36A0" w:rsidP="00761DFB">
      <w:pPr>
        <w:pStyle w:val="Bulletlistmultilevel"/>
        <w:rPr>
          <w:lang w:eastAsia="en-US"/>
        </w:rPr>
      </w:pPr>
      <w:r>
        <w:rPr>
          <w:lang w:eastAsia="en-US"/>
        </w:rPr>
        <w:t>Transport systems are a major contributor to greenhouse gas pollution, therefore increased public and active transport options are crucial to climate action.</w:t>
      </w:r>
    </w:p>
    <w:p w14:paraId="6885A79A" w14:textId="77777777" w:rsidR="00CD36A0" w:rsidRDefault="00CD36A0" w:rsidP="00761DFB">
      <w:pPr>
        <w:pStyle w:val="Bulletlistmultilevel"/>
        <w:rPr>
          <w:lang w:eastAsia="en-US"/>
        </w:rPr>
      </w:pPr>
      <w:r>
        <w:rPr>
          <w:lang w:eastAsia="en-US"/>
        </w:rPr>
        <w:t>People in areas with low tree canopy are more likely to experience heat-related stress and mortality</w:t>
      </w:r>
    </w:p>
    <w:p w14:paraId="6A7BA239" w14:textId="77777777" w:rsidR="00CD36A0" w:rsidRDefault="00CD36A0" w:rsidP="00761DFB">
      <w:pPr>
        <w:pStyle w:val="Bulletlistmultilevel"/>
        <w:rPr>
          <w:lang w:eastAsia="en-US"/>
        </w:rPr>
      </w:pPr>
      <w:r>
        <w:rPr>
          <w:lang w:eastAsia="en-US"/>
        </w:rPr>
        <w:t>Heat events and an increase in the number of days over 35 degrees will adversely affect the social and recreational outdoor activities</w:t>
      </w:r>
    </w:p>
    <w:p w14:paraId="4E828A61" w14:textId="240B5866" w:rsidR="00FE0AD7" w:rsidRDefault="00CD36A0" w:rsidP="00761DFB">
      <w:pPr>
        <w:pStyle w:val="Bulletlistmultilevel"/>
      </w:pPr>
      <w:r>
        <w:rPr>
          <w:lang w:eastAsia="en-US"/>
        </w:rPr>
        <w:t>Hardening and deterioration of outdoor sporting facilities resulting in cancellation of events</w:t>
      </w:r>
    </w:p>
    <w:p w14:paraId="628E5280" w14:textId="58A84099" w:rsidR="00FE0AD7" w:rsidRDefault="00FE0AD7" w:rsidP="009170A7"/>
    <w:p w14:paraId="49C31E46" w14:textId="77777777" w:rsidR="00FE0AD7" w:rsidRDefault="00FE0AD7" w:rsidP="009170A7">
      <w:bookmarkStart w:id="0" w:name="_GoBack"/>
      <w:bookmarkEnd w:id="0"/>
    </w:p>
    <w:sectPr w:rsidR="00FE0AD7" w:rsidSect="006C4F09">
      <w:headerReference w:type="even" r:id="rId14"/>
      <w:headerReference w:type="default" r:id="rId15"/>
      <w:footerReference w:type="even" r:id="rId16"/>
      <w:footerReference w:type="default" r:id="rId17"/>
      <w:headerReference w:type="first" r:id="rId18"/>
      <w:footerReference w:type="first" r:id="rId19"/>
      <w:pgSz w:w="11906" w:h="16838" w:code="9"/>
      <w:pgMar w:top="3686"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34F6" w14:textId="77777777" w:rsidR="00FE0AD7" w:rsidRDefault="00FE0AD7" w:rsidP="00756052">
      <w:r>
        <w:separator/>
      </w:r>
    </w:p>
    <w:p w14:paraId="51149284" w14:textId="77777777" w:rsidR="00FE0AD7" w:rsidRDefault="00FE0AD7"/>
  </w:endnote>
  <w:endnote w:type="continuationSeparator" w:id="0">
    <w:p w14:paraId="133B8F2C" w14:textId="77777777" w:rsidR="00FE0AD7" w:rsidRDefault="00FE0AD7" w:rsidP="00756052">
      <w:r>
        <w:continuationSeparator/>
      </w:r>
    </w:p>
    <w:p w14:paraId="6EF0541D" w14:textId="77777777" w:rsidR="00FE0AD7" w:rsidRDefault="00FE0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26F1" w14:textId="77777777" w:rsidR="007D4245" w:rsidRDefault="007D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58A9" w14:textId="77777777" w:rsidR="00FE0AD7" w:rsidRDefault="00FE0AD7" w:rsidP="00FE0AD7">
    <w:r w:rsidRPr="00FE0AD7">
      <w:t xml:space="preserve">For more information contact Cardinia Shire Council on 1300 787 624 or </w:t>
    </w:r>
    <w:hyperlink r:id="rId1" w:history="1">
      <w:r w:rsidRPr="00B16794">
        <w:rPr>
          <w:rStyle w:val="Hyperlink"/>
        </w:rPr>
        <w:t>mail@cardinia.vic.gov.au</w:t>
      </w:r>
    </w:hyperlink>
  </w:p>
  <w:p w14:paraId="43312583" w14:textId="77777777" w:rsidR="00FE0AD7" w:rsidRDefault="00FE0AD7">
    <w:pPr>
      <w:pStyle w:val="Footer"/>
      <w:rPr>
        <w:rStyle w:val="jsgrdq"/>
        <w:rFonts w:eastAsiaTheme="majorEastAsia"/>
        <w:color w:val="000000"/>
      </w:rPr>
    </w:pPr>
  </w:p>
  <w:p w14:paraId="6E1B7DBB" w14:textId="77777777" w:rsidR="00FE0AD7" w:rsidRDefault="00FE0AD7">
    <w:pPr>
      <w:pStyle w:val="Footer"/>
      <w:rPr>
        <w:rStyle w:val="jsgrdq"/>
        <w:rFonts w:eastAsiaTheme="majorEastAsia"/>
        <w:color w:val="000000"/>
      </w:rPr>
    </w:pPr>
  </w:p>
  <w:p w14:paraId="7D75C192" w14:textId="4F78F352" w:rsidR="00FE0AD7" w:rsidRDefault="00FE0AD7">
    <w:pPr>
      <w:pStyle w:val="Foote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r>
      <w:rPr>
        <w:rStyle w:val="jsgrdq"/>
        <w:rFonts w:eastAsiaTheme="majorEastAsia"/>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E6FE" w14:textId="77777777" w:rsidR="00FE0AD7" w:rsidRDefault="00FE0AD7" w:rsidP="00756052">
      <w:r>
        <w:separator/>
      </w:r>
    </w:p>
    <w:p w14:paraId="3DC758CB" w14:textId="77777777" w:rsidR="00FE0AD7" w:rsidRDefault="00FE0AD7"/>
  </w:footnote>
  <w:footnote w:type="continuationSeparator" w:id="0">
    <w:p w14:paraId="3AC95E59" w14:textId="77777777" w:rsidR="00FE0AD7" w:rsidRDefault="00FE0AD7" w:rsidP="00756052">
      <w:r>
        <w:continuationSeparator/>
      </w:r>
    </w:p>
    <w:p w14:paraId="5A354769" w14:textId="77777777" w:rsidR="00FE0AD7" w:rsidRDefault="00FE0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0BE0" w14:textId="77777777" w:rsidR="007D4245" w:rsidRDefault="007D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1AA2" w14:textId="77777777" w:rsidR="007D4245" w:rsidRDefault="007D4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5290" w14:textId="77777777" w:rsidR="002A7F39" w:rsidRDefault="002A7F39"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681C1890" wp14:editId="18E73DFB">
          <wp:simplePos x="0" y="0"/>
          <wp:positionH relativeFrom="page">
            <wp:posOffset>5678170</wp:posOffset>
          </wp:positionH>
          <wp:positionV relativeFrom="page">
            <wp:posOffset>360045</wp:posOffset>
          </wp:positionV>
          <wp:extent cx="1440000" cy="8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7A418EB6" wp14:editId="400CD5BA">
          <wp:simplePos x="0" y="0"/>
          <wp:positionH relativeFrom="page">
            <wp:posOffset>-31898</wp:posOffset>
          </wp:positionH>
          <wp:positionV relativeFrom="page">
            <wp:posOffset>-10633</wp:posOffset>
          </wp:positionV>
          <wp:extent cx="7632185" cy="2477386"/>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14:paraId="2896487D" w14:textId="4D9E22B8" w:rsidR="002A7F39" w:rsidRDefault="007D4245" w:rsidP="007D4245">
    <w:pPr>
      <w:pStyle w:val="Title"/>
    </w:pPr>
    <w:r w:rsidRPr="007D4245">
      <w:t>Healthy eating and active living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8"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1"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4"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7"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0" w15:restartNumberingAfterBreak="0">
    <w:nsid w:val="576B619A"/>
    <w:multiLevelType w:val="hybridMultilevel"/>
    <w:tmpl w:val="45926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50DD6"/>
    <w:multiLevelType w:val="hybridMultilevel"/>
    <w:tmpl w:val="19CC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4A732D"/>
    <w:multiLevelType w:val="hybridMultilevel"/>
    <w:tmpl w:val="C4FC7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3"/>
  </w:num>
  <w:num w:numId="2">
    <w:abstractNumId w:val="7"/>
  </w:num>
  <w:num w:numId="3">
    <w:abstractNumId w:val="2"/>
  </w:num>
  <w:num w:numId="4">
    <w:abstractNumId w:val="2"/>
  </w:num>
  <w:num w:numId="5">
    <w:abstractNumId w:val="4"/>
  </w:num>
  <w:num w:numId="6">
    <w:abstractNumId w:val="4"/>
  </w:num>
  <w:num w:numId="7">
    <w:abstractNumId w:val="6"/>
  </w:num>
  <w:num w:numId="8">
    <w:abstractNumId w:val="16"/>
  </w:num>
  <w:num w:numId="9">
    <w:abstractNumId w:val="0"/>
  </w:num>
  <w:num w:numId="10">
    <w:abstractNumId w:val="19"/>
  </w:num>
  <w:num w:numId="11">
    <w:abstractNumId w:val="10"/>
  </w:num>
  <w:num w:numId="12">
    <w:abstractNumId w:val="13"/>
  </w:num>
  <w:num w:numId="13">
    <w:abstractNumId w:val="12"/>
  </w:num>
  <w:num w:numId="14">
    <w:abstractNumId w:val="9"/>
  </w:num>
  <w:num w:numId="15">
    <w:abstractNumId w:val="0"/>
  </w:num>
  <w:num w:numId="16">
    <w:abstractNumId w:val="17"/>
  </w:num>
  <w:num w:numId="17">
    <w:abstractNumId w:val="17"/>
  </w:num>
  <w:num w:numId="18">
    <w:abstractNumId w:val="17"/>
  </w:num>
  <w:num w:numId="19">
    <w:abstractNumId w:val="0"/>
  </w:num>
  <w:num w:numId="20">
    <w:abstractNumId w:val="0"/>
  </w:num>
  <w:num w:numId="21">
    <w:abstractNumId w:val="0"/>
  </w:num>
  <w:num w:numId="22">
    <w:abstractNumId w:val="18"/>
  </w:num>
  <w:num w:numId="23">
    <w:abstractNumId w:val="15"/>
  </w:num>
  <w:num w:numId="24">
    <w:abstractNumId w:val="14"/>
  </w:num>
  <w:num w:numId="25">
    <w:abstractNumId w:val="5"/>
  </w:num>
  <w:num w:numId="26">
    <w:abstractNumId w:val="11"/>
  </w:num>
  <w:num w:numId="27">
    <w:abstractNumId w:val="8"/>
  </w:num>
  <w:num w:numId="28">
    <w:abstractNumId w:val="1"/>
  </w:num>
  <w:num w:numId="29">
    <w:abstractNumId w:val="20"/>
  </w:num>
  <w:num w:numId="30">
    <w:abstractNumId w:val="3"/>
  </w:num>
  <w:num w:numId="31">
    <w:abstractNumId w:val="22"/>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4A68"/>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A4B"/>
    <w:rsid w:val="00284355"/>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495"/>
    <w:rsid w:val="00362802"/>
    <w:rsid w:val="00365B1D"/>
    <w:rsid w:val="00370C38"/>
    <w:rsid w:val="003722B8"/>
    <w:rsid w:val="003723B1"/>
    <w:rsid w:val="0037449C"/>
    <w:rsid w:val="00374DC5"/>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122D"/>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632F5"/>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A6051"/>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500"/>
    <w:rsid w:val="00673A5B"/>
    <w:rsid w:val="0067651F"/>
    <w:rsid w:val="006767D9"/>
    <w:rsid w:val="006873F7"/>
    <w:rsid w:val="0068744B"/>
    <w:rsid w:val="00690649"/>
    <w:rsid w:val="00690C90"/>
    <w:rsid w:val="006911EB"/>
    <w:rsid w:val="00694D70"/>
    <w:rsid w:val="00694F3D"/>
    <w:rsid w:val="006951D1"/>
    <w:rsid w:val="00695E65"/>
    <w:rsid w:val="006A0DD7"/>
    <w:rsid w:val="006A2F2F"/>
    <w:rsid w:val="006A4F5A"/>
    <w:rsid w:val="006A56F1"/>
    <w:rsid w:val="006B0415"/>
    <w:rsid w:val="006B3FB9"/>
    <w:rsid w:val="006B71B5"/>
    <w:rsid w:val="006C1C35"/>
    <w:rsid w:val="006C4F09"/>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1D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3CBF"/>
    <w:rsid w:val="0079524E"/>
    <w:rsid w:val="00796BC4"/>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245"/>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33B6"/>
    <w:rsid w:val="008C5961"/>
    <w:rsid w:val="008C5D4B"/>
    <w:rsid w:val="008C7F57"/>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1121"/>
    <w:rsid w:val="00A12A31"/>
    <w:rsid w:val="00A132C2"/>
    <w:rsid w:val="00A13EA2"/>
    <w:rsid w:val="00A13EC5"/>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4D25"/>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3D3"/>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916"/>
    <w:rsid w:val="00CC70A6"/>
    <w:rsid w:val="00CD01A7"/>
    <w:rsid w:val="00CD36A0"/>
    <w:rsid w:val="00CE3984"/>
    <w:rsid w:val="00CE47BF"/>
    <w:rsid w:val="00CE530D"/>
    <w:rsid w:val="00CE5CF6"/>
    <w:rsid w:val="00CE6FB5"/>
    <w:rsid w:val="00CF201A"/>
    <w:rsid w:val="00CF3016"/>
    <w:rsid w:val="00CF357F"/>
    <w:rsid w:val="00CF742D"/>
    <w:rsid w:val="00CF7C14"/>
    <w:rsid w:val="00D00477"/>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63D11"/>
    <w:rsid w:val="00D70535"/>
    <w:rsid w:val="00D712A5"/>
    <w:rsid w:val="00D729CD"/>
    <w:rsid w:val="00D74A10"/>
    <w:rsid w:val="00D76764"/>
    <w:rsid w:val="00D82804"/>
    <w:rsid w:val="00D82B3C"/>
    <w:rsid w:val="00D9252A"/>
    <w:rsid w:val="00DA0D3D"/>
    <w:rsid w:val="00DA684D"/>
    <w:rsid w:val="00DB1778"/>
    <w:rsid w:val="00DB2DF5"/>
    <w:rsid w:val="00DB40FB"/>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3D66"/>
    <w:rsid w:val="00E27DA1"/>
    <w:rsid w:val="00E30C15"/>
    <w:rsid w:val="00E31563"/>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132B"/>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2D45"/>
    <w:rsid w:val="00EE43FF"/>
    <w:rsid w:val="00EE51E0"/>
    <w:rsid w:val="00EE53C5"/>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928CC0"/>
  <w14:discardImageEditingData/>
  <w15:docId w15:val="{142B07F6-9D1D-41B9-AB4C-831A00B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5.xml><?xml version="1.0" encoding="utf-8"?>
<ds:datastoreItem xmlns:ds="http://schemas.openxmlformats.org/officeDocument/2006/customXml" ds:itemID="{83D8A6B8-70CB-4AA6-8E95-6C42D4C5977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acca0c0-181f-4a2f-80e5-213543d85916"/>
    <ds:schemaRef ds:uri="cad36900-b2dc-4c92-af6c-8bacf3216b0d"/>
    <ds:schemaRef ds:uri="http://www.w3.org/XML/1998/namespace"/>
  </ds:schemaRefs>
</ds:datastoreItem>
</file>

<file path=customXml/itemProps6.xml><?xml version="1.0" encoding="utf-8"?>
<ds:datastoreItem xmlns:ds="http://schemas.openxmlformats.org/officeDocument/2006/customXml" ds:itemID="{45F10861-4CE3-4F89-B46C-D91825BC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106</TotalTime>
  <Pages>1</Pages>
  <Words>352</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Hopgood</dc:creator>
  <cp:lastModifiedBy>Rosie Hopgood</cp:lastModifiedBy>
  <cp:revision>6</cp:revision>
  <cp:lastPrinted>2014-03-03T21:33:00Z</cp:lastPrinted>
  <dcterms:created xsi:type="dcterms:W3CDTF">2021-07-16T03:57:00Z</dcterms:created>
  <dcterms:modified xsi:type="dcterms:W3CDTF">2021-08-03T00:10:00Z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