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0D8C" w14:textId="35129398" w:rsidR="00064A68" w:rsidRDefault="00245F52" w:rsidP="008C33B6">
      <w:pPr>
        <w:pStyle w:val="Heading1"/>
        <w:rPr>
          <w:noProof/>
          <w:lang w:eastAsia="en-AU"/>
        </w:rPr>
      </w:pPr>
      <w:r>
        <w:rPr>
          <w:noProof/>
          <w:lang w:eastAsia="en-AU"/>
        </w:rPr>
        <w:drawing>
          <wp:anchor distT="0" distB="0" distL="114300" distR="114300" simplePos="0" relativeHeight="251660800" behindDoc="0" locked="0" layoutInCell="1" allowOverlap="1" wp14:anchorId="3E9B0898" wp14:editId="26BED816">
            <wp:simplePos x="0" y="0"/>
            <wp:positionH relativeFrom="margin">
              <wp:align>right</wp:align>
            </wp:positionH>
            <wp:positionV relativeFrom="margin">
              <wp:posOffset>82459</wp:posOffset>
            </wp:positionV>
            <wp:extent cx="1386205" cy="136017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come_Wellbeing.png"/>
                    <pic:cNvPicPr/>
                  </pic:nvPicPr>
                  <pic:blipFill>
                    <a:blip r:embed="rId13">
                      <a:extLst>
                        <a:ext uri="{28A0092B-C50C-407E-A947-70E740481C1C}">
                          <a14:useLocalDpi xmlns:a14="http://schemas.microsoft.com/office/drawing/2010/main" val="0"/>
                        </a:ext>
                      </a:extLst>
                    </a:blip>
                    <a:stretch>
                      <a:fillRect/>
                    </a:stretch>
                  </pic:blipFill>
                  <pic:spPr>
                    <a:xfrm>
                      <a:off x="0" y="0"/>
                      <a:ext cx="1386205" cy="1360170"/>
                    </a:xfrm>
                    <a:prstGeom prst="rect">
                      <a:avLst/>
                    </a:prstGeom>
                  </pic:spPr>
                </pic:pic>
              </a:graphicData>
            </a:graphic>
            <wp14:sizeRelH relativeFrom="margin">
              <wp14:pctWidth>0</wp14:pctWidth>
            </wp14:sizeRelH>
            <wp14:sizeRelV relativeFrom="margin">
              <wp14:pctHeight>0</wp14:pctHeight>
            </wp14:sizeRelV>
          </wp:anchor>
        </w:drawing>
      </w:r>
      <w:r w:rsidR="00FE0AD7">
        <w:rPr>
          <w:noProof/>
          <w:lang w:eastAsia="en-AU"/>
        </w:rPr>
        <w:t>About</w:t>
      </w:r>
    </w:p>
    <w:p w14:paraId="382B7DD2" w14:textId="0046BECE" w:rsidR="00474164" w:rsidRPr="00474164" w:rsidRDefault="00474164" w:rsidP="00474164">
      <w:pPr>
        <w:spacing w:after="240"/>
      </w:pPr>
      <w:r w:rsidRPr="00474164">
        <w:t xml:space="preserve">Tobacco smoking is the leading preventable cause of ill health and death in Victoria. Smoking not only affects the health of individuals, but also those in environments with second-hand exposure to smoke.  </w:t>
      </w:r>
    </w:p>
    <w:p w14:paraId="7786A6E5" w14:textId="2ABFFF10" w:rsidR="00474164" w:rsidRPr="00474164" w:rsidRDefault="00474164" w:rsidP="00474164">
      <w:pPr>
        <w:spacing w:after="240"/>
      </w:pPr>
      <w:r w:rsidRPr="00474164">
        <w:t xml:space="preserve">Alcohol consumption is part of many social and cultural activities, however risky drinking culture and harmful levels of consumption have detrimental effects on individual injury and disease, as well as social and economic impacts across communities. Similarly, recreational drug use can impact a person’s physical and </w:t>
      </w:r>
      <w:r w:rsidR="00245F52">
        <w:br/>
      </w:r>
      <w:r w:rsidRPr="00474164">
        <w:t xml:space="preserve">emotional wellbeing and have negative consequences on social, family, work, and financial situation.  </w:t>
      </w:r>
    </w:p>
    <w:p w14:paraId="044874C5" w14:textId="77777777" w:rsidR="00474164" w:rsidRDefault="00474164" w:rsidP="00474164">
      <w:pPr>
        <w:spacing w:after="240"/>
      </w:pPr>
      <w:r w:rsidRPr="00474164">
        <w:t xml:space="preserve">Gambling harm is any adverse consequence that comes from gambling that leads to poorer health and wellbeing of the individual, family, community or population. These harms could be financial, relationship, emotional, health, work, cultural or criminal issues.  </w:t>
      </w:r>
    </w:p>
    <w:p w14:paraId="3CC55F66" w14:textId="457C65F4" w:rsidR="00FE0AD7" w:rsidRDefault="00FE0AD7" w:rsidP="00474164">
      <w:pPr>
        <w:pStyle w:val="Heading2"/>
      </w:pPr>
      <w:r w:rsidRPr="00236E19">
        <w:t>Key statistics</w:t>
      </w:r>
    </w:p>
    <w:p w14:paraId="50601DBA" w14:textId="1E23D8C4" w:rsidR="00A11642" w:rsidRDefault="00F81EE0" w:rsidP="00CB0789">
      <w:pPr>
        <w:pStyle w:val="Bulletlistmultilevel"/>
        <w:rPr>
          <w:lang w:eastAsia="en-US"/>
        </w:rPr>
      </w:pPr>
      <w:r w:rsidRPr="00F81EE0">
        <w:rPr>
          <w:lang w:eastAsia="en-US"/>
        </w:rPr>
        <w:t>15% of adults in Cardinia Shire smoke</w:t>
      </w:r>
    </w:p>
    <w:p w14:paraId="603F98C4" w14:textId="4582C14B" w:rsidR="00F81EE0" w:rsidRPr="00F81EE0" w:rsidRDefault="00F81EE0" w:rsidP="00CB0789">
      <w:pPr>
        <w:pStyle w:val="Bulletlistmultilevel"/>
        <w:rPr>
          <w:rStyle w:val="jsgrdq"/>
          <w:lang w:eastAsia="en-US"/>
        </w:rPr>
      </w:pPr>
      <w:r>
        <w:rPr>
          <w:rStyle w:val="jsgrdq"/>
          <w:rFonts w:eastAsiaTheme="majorEastAsia"/>
          <w:color w:val="000000"/>
        </w:rPr>
        <w:t>11% of pregnant mothers report smoking</w:t>
      </w:r>
    </w:p>
    <w:p w14:paraId="443E22C7" w14:textId="4C4F4762" w:rsidR="00F81EE0" w:rsidRPr="008E5972" w:rsidRDefault="008E5972" w:rsidP="00CB0789">
      <w:pPr>
        <w:pStyle w:val="Bulletlistmultilevel"/>
        <w:rPr>
          <w:rStyle w:val="jsgrdq"/>
          <w:lang w:eastAsia="en-US"/>
        </w:rPr>
      </w:pPr>
      <w:r>
        <w:rPr>
          <w:rStyle w:val="jsgrdq"/>
          <w:rFonts w:eastAsiaTheme="majorEastAsia"/>
          <w:color w:val="000000"/>
        </w:rPr>
        <w:t>$28.5M lost on poker machines in 2018</w:t>
      </w:r>
      <w:r w:rsidR="00CB0789" w:rsidRPr="00CB0789">
        <w:rPr>
          <w:rStyle w:val="jsgrdq"/>
          <w:rFonts w:eastAsiaTheme="majorEastAsia"/>
          <w:color w:val="000000"/>
        </w:rPr>
        <w:t>–</w:t>
      </w:r>
      <w:r>
        <w:rPr>
          <w:rStyle w:val="jsgrdq"/>
          <w:rFonts w:eastAsiaTheme="majorEastAsia"/>
          <w:color w:val="000000"/>
        </w:rPr>
        <w:t>19</w:t>
      </w:r>
    </w:p>
    <w:p w14:paraId="24DB4F34" w14:textId="77777777" w:rsidR="00A22680" w:rsidRPr="00A22680" w:rsidRDefault="00A22680" w:rsidP="00CB0789">
      <w:pPr>
        <w:pStyle w:val="Bulletlistmultilevel"/>
        <w:rPr>
          <w:rStyle w:val="jsgrdq"/>
          <w:lang w:eastAsia="en-US"/>
        </w:rPr>
      </w:pPr>
      <w:r w:rsidRPr="00A22680">
        <w:rPr>
          <w:rStyle w:val="jsgrdq"/>
          <w:rFonts w:eastAsiaTheme="majorEastAsia"/>
          <w:color w:val="000000"/>
        </w:rPr>
        <w:t xml:space="preserve">44% at increased risk of an alcohol related injury during a single occasion </w:t>
      </w:r>
    </w:p>
    <w:p w14:paraId="32C2C19A" w14:textId="2864248F" w:rsidR="00E3377A" w:rsidRPr="00FC6366" w:rsidRDefault="00FC6366" w:rsidP="00CB0789">
      <w:pPr>
        <w:pStyle w:val="Bulletlistmultilevel"/>
        <w:rPr>
          <w:rStyle w:val="jsgrdq"/>
          <w:lang w:eastAsia="en-US"/>
        </w:rPr>
      </w:pPr>
      <w:r>
        <w:rPr>
          <w:rStyle w:val="jsgrdq"/>
          <w:rFonts w:eastAsiaTheme="majorEastAsia"/>
          <w:color w:val="000000"/>
        </w:rPr>
        <w:t>26% agree getting drunk every now and then is okay</w:t>
      </w:r>
    </w:p>
    <w:p w14:paraId="467F65C8" w14:textId="1D3E4031" w:rsidR="00FC6366" w:rsidRPr="00FC6366" w:rsidRDefault="00FC6366" w:rsidP="00CB0789">
      <w:pPr>
        <w:pStyle w:val="Bulletlistmultilevel"/>
        <w:rPr>
          <w:rStyle w:val="jsgrdq"/>
          <w:lang w:eastAsia="en-US"/>
        </w:rPr>
      </w:pPr>
      <w:r>
        <w:rPr>
          <w:rStyle w:val="jsgrdq"/>
          <w:rFonts w:eastAsiaTheme="majorEastAsia"/>
          <w:color w:val="000000"/>
        </w:rPr>
        <w:t xml:space="preserve">0.6 off-license alcohol outlets </w:t>
      </w:r>
      <w:r w:rsidR="004F1E2D">
        <w:rPr>
          <w:rStyle w:val="jsgrdq"/>
          <w:rFonts w:eastAsiaTheme="majorEastAsia"/>
          <w:color w:val="000000"/>
        </w:rPr>
        <w:t xml:space="preserve">are </w:t>
      </w:r>
      <w:r>
        <w:rPr>
          <w:rStyle w:val="jsgrdq"/>
          <w:rFonts w:eastAsiaTheme="majorEastAsia"/>
          <w:color w:val="000000"/>
        </w:rPr>
        <w:t>within 800m of homes</w:t>
      </w:r>
      <w:bookmarkStart w:id="0" w:name="_GoBack"/>
      <w:bookmarkEnd w:id="0"/>
    </w:p>
    <w:p w14:paraId="0DB30855" w14:textId="485442D8" w:rsidR="00FC6366" w:rsidRPr="00FC6366" w:rsidRDefault="00FC6366" w:rsidP="00CB0789">
      <w:pPr>
        <w:pStyle w:val="Bulletlistmultilevel"/>
        <w:rPr>
          <w:rStyle w:val="jsgrdq"/>
          <w:lang w:eastAsia="en-US"/>
        </w:rPr>
      </w:pPr>
      <w:r>
        <w:rPr>
          <w:rStyle w:val="jsgrdq"/>
          <w:rFonts w:eastAsiaTheme="majorEastAsia"/>
          <w:color w:val="000000"/>
        </w:rPr>
        <w:t>In 2019</w:t>
      </w:r>
      <w:r w:rsidR="00A22680">
        <w:rPr>
          <w:rStyle w:val="jsgrdq"/>
          <w:rFonts w:eastAsiaTheme="majorEastAsia"/>
          <w:color w:val="000000"/>
        </w:rPr>
        <w:t>,</w:t>
      </w:r>
      <w:r>
        <w:rPr>
          <w:rStyle w:val="jsgrdq"/>
          <w:rFonts w:eastAsiaTheme="majorEastAsia"/>
          <w:color w:val="000000"/>
        </w:rPr>
        <w:t xml:space="preserve"> 476 alcohol-related hospital admissions and 329 ambulance attendances</w:t>
      </w:r>
    </w:p>
    <w:p w14:paraId="3B9E875A" w14:textId="45E7945C" w:rsidR="00FC6366" w:rsidRPr="00CB5329" w:rsidRDefault="00CB5329" w:rsidP="00CB0789">
      <w:pPr>
        <w:pStyle w:val="Bulletlistmultilevel"/>
        <w:rPr>
          <w:rStyle w:val="jsgrdq"/>
          <w:lang w:eastAsia="en-US"/>
        </w:rPr>
      </w:pPr>
      <w:r>
        <w:rPr>
          <w:rStyle w:val="jsgrdq"/>
          <w:rFonts w:eastAsiaTheme="majorEastAsia"/>
          <w:color w:val="000000"/>
        </w:rPr>
        <w:t>61% have an increased lifetime risk of alcohol related harm</w:t>
      </w:r>
    </w:p>
    <w:p w14:paraId="60336A8E" w14:textId="4272A7AA" w:rsidR="00CB5329" w:rsidRPr="00A11642" w:rsidRDefault="00CB5329" w:rsidP="00CB0789">
      <w:pPr>
        <w:pStyle w:val="Bulletlistmultilevel"/>
        <w:rPr>
          <w:lang w:eastAsia="en-US"/>
        </w:rPr>
      </w:pPr>
      <w:r>
        <w:rPr>
          <w:rStyle w:val="jsgrdq"/>
          <w:rFonts w:eastAsiaTheme="majorEastAsia"/>
          <w:color w:val="000000"/>
        </w:rPr>
        <w:t xml:space="preserve">In </w:t>
      </w:r>
      <w:r w:rsidR="00CB0789" w:rsidRPr="00CB0789">
        <w:rPr>
          <w:rStyle w:val="jsgrdq"/>
          <w:rFonts w:eastAsiaTheme="majorEastAsia"/>
          <w:color w:val="000000"/>
        </w:rPr>
        <w:t>201</w:t>
      </w:r>
      <w:r w:rsidR="00CB0789">
        <w:rPr>
          <w:rStyle w:val="jsgrdq"/>
          <w:rFonts w:eastAsiaTheme="majorEastAsia"/>
          <w:color w:val="000000"/>
        </w:rPr>
        <w:t>8</w:t>
      </w:r>
      <w:bookmarkStart w:id="1" w:name="_Hlk78877589"/>
      <w:r w:rsidR="00CB0789" w:rsidRPr="00CB0789">
        <w:rPr>
          <w:rStyle w:val="jsgrdq"/>
          <w:rFonts w:eastAsiaTheme="majorEastAsia"/>
          <w:color w:val="000000"/>
        </w:rPr>
        <w:t>–</w:t>
      </w:r>
      <w:bookmarkEnd w:id="1"/>
      <w:r w:rsidR="00CB0789" w:rsidRPr="00CB0789">
        <w:rPr>
          <w:rStyle w:val="jsgrdq"/>
          <w:rFonts w:eastAsiaTheme="majorEastAsia"/>
          <w:color w:val="000000"/>
        </w:rPr>
        <w:t>19</w:t>
      </w:r>
      <w:r w:rsidR="00A22680">
        <w:rPr>
          <w:rStyle w:val="jsgrdq"/>
          <w:rFonts w:eastAsiaTheme="majorEastAsia"/>
          <w:color w:val="000000"/>
        </w:rPr>
        <w:t>,</w:t>
      </w:r>
      <w:r>
        <w:rPr>
          <w:rStyle w:val="jsgrdq"/>
          <w:rFonts w:eastAsiaTheme="majorEastAsia"/>
          <w:color w:val="000000"/>
        </w:rPr>
        <w:t xml:space="preserve"> 25 illicit drug related hospital admissions per 10,000 population</w:t>
      </w:r>
    </w:p>
    <w:p w14:paraId="1EA4AC04" w14:textId="5AC8448B" w:rsidR="00FE0AD7" w:rsidRDefault="00FE0AD7" w:rsidP="00FE0AD7">
      <w:pPr>
        <w:pStyle w:val="Heading2"/>
      </w:pPr>
      <w:r>
        <w:t>Priority groups</w:t>
      </w:r>
    </w:p>
    <w:p w14:paraId="2F78E489" w14:textId="77777777" w:rsidR="00100C6B" w:rsidRPr="00100C6B" w:rsidRDefault="00100C6B" w:rsidP="00CB0789">
      <w:pPr>
        <w:pStyle w:val="Bulletlistmultilevel"/>
      </w:pPr>
      <w:r w:rsidRPr="00100C6B">
        <w:t xml:space="preserve">Males are more likely to drink at risky levels and be illicit drug users who presented to emergency department, ambulance attendance and episodes of care </w:t>
      </w:r>
    </w:p>
    <w:p w14:paraId="4BE4354F" w14:textId="7340128F" w:rsidR="00100C6B" w:rsidRPr="00100C6B" w:rsidRDefault="00100C6B" w:rsidP="00CB0789">
      <w:pPr>
        <w:pStyle w:val="Bulletlistmultilevel"/>
      </w:pPr>
      <w:r w:rsidRPr="00100C6B">
        <w:t xml:space="preserve">Smoking is higher in people employed in </w:t>
      </w:r>
      <w:r w:rsidR="00A22680">
        <w:t>m</w:t>
      </w:r>
      <w:r w:rsidRPr="00100C6B">
        <w:t xml:space="preserve">anufacturing, </w:t>
      </w:r>
      <w:r w:rsidR="00A22680">
        <w:t>c</w:t>
      </w:r>
      <w:r w:rsidRPr="00100C6B">
        <w:t xml:space="preserve">onstruction, </w:t>
      </w:r>
      <w:r w:rsidR="00A22680">
        <w:t>a</w:t>
      </w:r>
      <w:r w:rsidRPr="00100C6B">
        <w:t xml:space="preserve">ccommodation </w:t>
      </w:r>
      <w:r w:rsidR="00A22680">
        <w:t>and</w:t>
      </w:r>
      <w:r w:rsidRPr="00100C6B">
        <w:t xml:space="preserve"> </w:t>
      </w:r>
      <w:r w:rsidR="00A22680">
        <w:t>r</w:t>
      </w:r>
      <w:r w:rsidRPr="00100C6B">
        <w:t xml:space="preserve">estaurant, </w:t>
      </w:r>
      <w:r w:rsidR="00A22680">
        <w:t>p</w:t>
      </w:r>
      <w:r w:rsidRPr="00100C6B">
        <w:t xml:space="preserve">ersonal </w:t>
      </w:r>
      <w:r w:rsidR="00A22680">
        <w:t>and</w:t>
      </w:r>
      <w:r w:rsidRPr="00100C6B">
        <w:t xml:space="preserve"> </w:t>
      </w:r>
      <w:r w:rsidR="00A22680">
        <w:t>o</w:t>
      </w:r>
      <w:r w:rsidRPr="00100C6B">
        <w:t xml:space="preserve">ther </w:t>
      </w:r>
      <w:r w:rsidR="00A22680">
        <w:t>s</w:t>
      </w:r>
      <w:r w:rsidRPr="00100C6B">
        <w:t xml:space="preserve">ervices  </w:t>
      </w:r>
    </w:p>
    <w:p w14:paraId="0DE6E6D7" w14:textId="44303DB7" w:rsidR="00100C6B" w:rsidRDefault="00100C6B" w:rsidP="00CB0789">
      <w:pPr>
        <w:pStyle w:val="Bulletlistmultilevel"/>
      </w:pPr>
      <w:r w:rsidRPr="00100C6B">
        <w:t xml:space="preserve">Pokies are </w:t>
      </w:r>
      <w:r w:rsidR="004F1E2D">
        <w:t xml:space="preserve">most </w:t>
      </w:r>
      <w:r w:rsidRPr="00100C6B">
        <w:t xml:space="preserve">concentrated in Officer and Pakenham </w:t>
      </w:r>
    </w:p>
    <w:p w14:paraId="13C77B9A" w14:textId="39E128CC" w:rsidR="00C615D1" w:rsidRDefault="00FE0AD7" w:rsidP="00100C6B">
      <w:pPr>
        <w:pStyle w:val="Heading2"/>
      </w:pPr>
      <w:r>
        <w:t>C</w:t>
      </w:r>
      <w:r w:rsidR="00D74A10">
        <w:t>OVID-19</w:t>
      </w:r>
      <w:r>
        <w:t xml:space="preserve"> impact</w:t>
      </w:r>
    </w:p>
    <w:p w14:paraId="540A8CF4" w14:textId="3070D249" w:rsidR="00913F86" w:rsidRPr="00913F86" w:rsidRDefault="00913F86" w:rsidP="00CB0789">
      <w:pPr>
        <w:pStyle w:val="Bulletlistmultilevel"/>
      </w:pPr>
      <w:r w:rsidRPr="00913F86">
        <w:t xml:space="preserve">COVID-19 has increased alcohol availability through increases in online sales, take-away and delivery and reducing regulation such as proof of age and sales to intoxicated people </w:t>
      </w:r>
    </w:p>
    <w:p w14:paraId="33CE54A4" w14:textId="77777777" w:rsidR="00913F86" w:rsidRPr="00913F86" w:rsidRDefault="00913F86" w:rsidP="00CB0789">
      <w:pPr>
        <w:pStyle w:val="Bulletlistmultilevel"/>
      </w:pPr>
      <w:r w:rsidRPr="00913F86">
        <w:t xml:space="preserve">20% of residents said they drink more alcohol during lockdowns </w:t>
      </w:r>
    </w:p>
    <w:p w14:paraId="5BE83BF6" w14:textId="77777777" w:rsidR="0079346A" w:rsidRDefault="0079346A" w:rsidP="0079346A">
      <w:pPr>
        <w:pStyle w:val="Heading2"/>
      </w:pPr>
      <w:r>
        <w:t>Climate impact</w:t>
      </w:r>
    </w:p>
    <w:p w14:paraId="49C31E46" w14:textId="7A2AA222" w:rsidR="00FE0AD7" w:rsidRDefault="0079346A" w:rsidP="00CB0789">
      <w:pPr>
        <w:pStyle w:val="Bulletlistmultilevel"/>
      </w:pPr>
      <w:r w:rsidRPr="0079346A">
        <w:t>Prolonged heat or extreme weather events create chronic stress situations increasing the risk of alcohol and substance abuse</w:t>
      </w:r>
    </w:p>
    <w:sectPr w:rsidR="00FE0AD7" w:rsidSect="006C4F09">
      <w:footerReference w:type="default" r:id="rId14"/>
      <w:headerReference w:type="first" r:id="rId15"/>
      <w:footerReference w:type="first" r:id="rId16"/>
      <w:pgSz w:w="11906" w:h="16838" w:code="9"/>
      <w:pgMar w:top="3686"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1BA61" w14:textId="77777777" w:rsidR="0009152F" w:rsidRDefault="0009152F" w:rsidP="00756052">
      <w:r>
        <w:separator/>
      </w:r>
    </w:p>
    <w:p w14:paraId="69B7F6F3" w14:textId="77777777" w:rsidR="0009152F" w:rsidRDefault="0009152F"/>
  </w:endnote>
  <w:endnote w:type="continuationSeparator" w:id="0">
    <w:p w14:paraId="2A0014D8" w14:textId="77777777" w:rsidR="0009152F" w:rsidRDefault="0009152F" w:rsidP="00756052">
      <w:r>
        <w:continuationSeparator/>
      </w:r>
    </w:p>
    <w:p w14:paraId="602C7A0F" w14:textId="77777777" w:rsidR="0009152F" w:rsidRDefault="00091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58A9" w14:textId="77777777" w:rsidR="00FE0AD7" w:rsidRDefault="00FE0AD7" w:rsidP="00FE0AD7">
    <w:r w:rsidRPr="00FE0AD7">
      <w:t xml:space="preserve">For more information contact Cardinia Shire Council on 1300 787 624 or </w:t>
    </w:r>
    <w:hyperlink r:id="rId1" w:history="1">
      <w:r w:rsidRPr="00B16794">
        <w:rPr>
          <w:rStyle w:val="Hyperlink"/>
        </w:rPr>
        <w:t>mail@cardinia.vic.gov.au</w:t>
      </w:r>
    </w:hyperlink>
  </w:p>
  <w:p w14:paraId="43312583" w14:textId="77777777" w:rsidR="00FE0AD7" w:rsidRDefault="00FE0AD7">
    <w:pPr>
      <w:pStyle w:val="Footer"/>
      <w:rPr>
        <w:rStyle w:val="jsgrdq"/>
        <w:rFonts w:eastAsiaTheme="majorEastAsia"/>
        <w:color w:val="000000"/>
      </w:rPr>
    </w:pPr>
  </w:p>
  <w:p w14:paraId="6E1B7DBB" w14:textId="77777777" w:rsidR="00FE0AD7" w:rsidRDefault="00FE0AD7">
    <w:pPr>
      <w:pStyle w:val="Footer"/>
      <w:rPr>
        <w:rStyle w:val="jsgrdq"/>
        <w:rFonts w:eastAsiaTheme="majorEastAsia"/>
        <w:color w:val="000000"/>
      </w:rPr>
    </w:pPr>
  </w:p>
  <w:p w14:paraId="7D75C192" w14:textId="4F78F352" w:rsidR="00FE0AD7" w:rsidRDefault="00FE0AD7">
    <w:pPr>
      <w:pStyle w:val="Foote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r>
      <w:rPr>
        <w:rStyle w:val="jsgrdq"/>
        <w:rFonts w:eastAsiaTheme="majorEastAsia"/>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3B7F4" w14:textId="77777777" w:rsidR="0009152F" w:rsidRDefault="0009152F" w:rsidP="00756052">
      <w:r>
        <w:separator/>
      </w:r>
    </w:p>
    <w:p w14:paraId="3484FF55" w14:textId="77777777" w:rsidR="0009152F" w:rsidRDefault="0009152F"/>
  </w:footnote>
  <w:footnote w:type="continuationSeparator" w:id="0">
    <w:p w14:paraId="6A423DB9" w14:textId="77777777" w:rsidR="0009152F" w:rsidRDefault="0009152F" w:rsidP="00756052">
      <w:r>
        <w:continuationSeparator/>
      </w:r>
    </w:p>
    <w:p w14:paraId="0A46E51C" w14:textId="77777777" w:rsidR="0009152F" w:rsidRDefault="000915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5290" w14:textId="77777777" w:rsidR="002A7F39" w:rsidRDefault="002A7F39" w:rsidP="002A7F39">
    <w:pPr>
      <w:rPr>
        <w:color w:val="FFFFFF" w:themeColor="background1"/>
        <w:sz w:val="32"/>
        <w:szCs w:val="32"/>
      </w:rPr>
    </w:pPr>
    <w:r>
      <w:rPr>
        <w:noProof/>
        <w:color w:val="FFFFFF" w:themeColor="background1"/>
        <w:sz w:val="32"/>
        <w:szCs w:val="32"/>
      </w:rPr>
      <w:drawing>
        <wp:anchor distT="0" distB="0" distL="114300" distR="114300" simplePos="0" relativeHeight="251659264" behindDoc="0" locked="0" layoutInCell="1" allowOverlap="1" wp14:anchorId="681C1890" wp14:editId="18E73DFB">
          <wp:simplePos x="0" y="0"/>
          <wp:positionH relativeFrom="page">
            <wp:posOffset>5678170</wp:posOffset>
          </wp:positionH>
          <wp:positionV relativeFrom="page">
            <wp:posOffset>360045</wp:posOffset>
          </wp:positionV>
          <wp:extent cx="1440000" cy="84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0288" behindDoc="1" locked="0" layoutInCell="0" allowOverlap="1" wp14:anchorId="7A418EB6" wp14:editId="400CD5BA">
          <wp:simplePos x="0" y="0"/>
          <wp:positionH relativeFrom="page">
            <wp:posOffset>-31898</wp:posOffset>
          </wp:positionH>
          <wp:positionV relativeFrom="page">
            <wp:posOffset>-10633</wp:posOffset>
          </wp:positionV>
          <wp:extent cx="7632185" cy="2477386"/>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14:paraId="2896487D" w14:textId="0A5CBD26" w:rsidR="002A7F39" w:rsidRDefault="0079227C" w:rsidP="0079227C">
    <w:pPr>
      <w:pStyle w:val="Title"/>
    </w:pPr>
    <w:r w:rsidRPr="0079227C">
      <w:t>Tobacco, alcohol, drugs and gambling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F342A9"/>
    <w:multiLevelType w:val="hybridMultilevel"/>
    <w:tmpl w:val="1F12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D3F5FDA"/>
    <w:multiLevelType w:val="hybridMultilevel"/>
    <w:tmpl w:val="089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13393"/>
    <w:multiLevelType w:val="hybridMultilevel"/>
    <w:tmpl w:val="95F8C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613998"/>
    <w:multiLevelType w:val="hybridMultilevel"/>
    <w:tmpl w:val="95AEC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52D37"/>
    <w:multiLevelType w:val="hybridMultilevel"/>
    <w:tmpl w:val="82B28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1" w15:restartNumberingAfterBreak="0">
    <w:nsid w:val="220719D8"/>
    <w:multiLevelType w:val="hybridMultilevel"/>
    <w:tmpl w:val="32B8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4" w15:restartNumberingAfterBreak="0">
    <w:nsid w:val="298B7ADA"/>
    <w:multiLevelType w:val="hybridMultilevel"/>
    <w:tmpl w:val="7AAC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A70424"/>
    <w:multiLevelType w:val="hybridMultilevel"/>
    <w:tmpl w:val="0D8C2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409003F7"/>
    <w:multiLevelType w:val="hybridMultilevel"/>
    <w:tmpl w:val="7E7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4" w15:restartNumberingAfterBreak="0">
    <w:nsid w:val="509A6115"/>
    <w:multiLevelType w:val="hybridMultilevel"/>
    <w:tmpl w:val="5A7C9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6B619A"/>
    <w:multiLevelType w:val="hybridMultilevel"/>
    <w:tmpl w:val="45926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332FE5"/>
    <w:multiLevelType w:val="hybridMultilevel"/>
    <w:tmpl w:val="30B01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E31216E"/>
    <w:multiLevelType w:val="hybridMultilevel"/>
    <w:tmpl w:val="7CC63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
  </w:num>
  <w:num w:numId="4">
    <w:abstractNumId w:val="2"/>
  </w:num>
  <w:num w:numId="5">
    <w:abstractNumId w:val="5"/>
  </w:num>
  <w:num w:numId="6">
    <w:abstractNumId w:val="5"/>
  </w:num>
  <w:num w:numId="7">
    <w:abstractNumId w:val="9"/>
  </w:num>
  <w:num w:numId="8">
    <w:abstractNumId w:val="20"/>
  </w:num>
  <w:num w:numId="9">
    <w:abstractNumId w:val="0"/>
  </w:num>
  <w:num w:numId="10">
    <w:abstractNumId w:val="23"/>
  </w:num>
  <w:num w:numId="11">
    <w:abstractNumId w:val="13"/>
  </w:num>
  <w:num w:numId="12">
    <w:abstractNumId w:val="17"/>
  </w:num>
  <w:num w:numId="13">
    <w:abstractNumId w:val="16"/>
  </w:num>
  <w:num w:numId="14">
    <w:abstractNumId w:val="12"/>
  </w:num>
  <w:num w:numId="15">
    <w:abstractNumId w:val="0"/>
  </w:num>
  <w:num w:numId="16">
    <w:abstractNumId w:val="21"/>
  </w:num>
  <w:num w:numId="17">
    <w:abstractNumId w:val="21"/>
  </w:num>
  <w:num w:numId="18">
    <w:abstractNumId w:val="21"/>
  </w:num>
  <w:num w:numId="19">
    <w:abstractNumId w:val="0"/>
  </w:num>
  <w:num w:numId="20">
    <w:abstractNumId w:val="0"/>
  </w:num>
  <w:num w:numId="21">
    <w:abstractNumId w:val="0"/>
  </w:num>
  <w:num w:numId="22">
    <w:abstractNumId w:val="22"/>
  </w:num>
  <w:num w:numId="23">
    <w:abstractNumId w:val="19"/>
  </w:num>
  <w:num w:numId="24">
    <w:abstractNumId w:val="18"/>
  </w:num>
  <w:num w:numId="25">
    <w:abstractNumId w:val="6"/>
  </w:num>
  <w:num w:numId="26">
    <w:abstractNumId w:val="14"/>
  </w:num>
  <w:num w:numId="27">
    <w:abstractNumId w:val="11"/>
  </w:num>
  <w:num w:numId="28">
    <w:abstractNumId w:val="1"/>
  </w:num>
  <w:num w:numId="29">
    <w:abstractNumId w:val="25"/>
  </w:num>
  <w:num w:numId="30">
    <w:abstractNumId w:val="3"/>
  </w:num>
  <w:num w:numId="31">
    <w:abstractNumId w:val="8"/>
  </w:num>
  <w:num w:numId="32">
    <w:abstractNumId w:val="15"/>
  </w:num>
  <w:num w:numId="33">
    <w:abstractNumId w:val="7"/>
  </w:num>
  <w:num w:numId="34">
    <w:abstractNumId w:val="28"/>
  </w:num>
  <w:num w:numId="35">
    <w:abstractNumId w:val="26"/>
  </w:num>
  <w:num w:numId="36">
    <w:abstractNumId w:val="4"/>
  </w:num>
  <w:num w:numId="3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65FA"/>
    <w:rsid w:val="0001029C"/>
    <w:rsid w:val="00027AC5"/>
    <w:rsid w:val="000300C4"/>
    <w:rsid w:val="00033AC3"/>
    <w:rsid w:val="00034D73"/>
    <w:rsid w:val="000353BD"/>
    <w:rsid w:val="000405A2"/>
    <w:rsid w:val="00045C32"/>
    <w:rsid w:val="00046498"/>
    <w:rsid w:val="00047F61"/>
    <w:rsid w:val="00055C7A"/>
    <w:rsid w:val="00063997"/>
    <w:rsid w:val="00064A68"/>
    <w:rsid w:val="00065254"/>
    <w:rsid w:val="00065C0D"/>
    <w:rsid w:val="00074A01"/>
    <w:rsid w:val="0008005A"/>
    <w:rsid w:val="0008026E"/>
    <w:rsid w:val="00082AD3"/>
    <w:rsid w:val="000851DC"/>
    <w:rsid w:val="0009152F"/>
    <w:rsid w:val="00092F88"/>
    <w:rsid w:val="00092FBA"/>
    <w:rsid w:val="00093396"/>
    <w:rsid w:val="0009420D"/>
    <w:rsid w:val="000A1287"/>
    <w:rsid w:val="000A4852"/>
    <w:rsid w:val="000A4C5C"/>
    <w:rsid w:val="000A5213"/>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0C6B"/>
    <w:rsid w:val="001010FC"/>
    <w:rsid w:val="00101C0B"/>
    <w:rsid w:val="001024FB"/>
    <w:rsid w:val="00104139"/>
    <w:rsid w:val="00104E81"/>
    <w:rsid w:val="0010681D"/>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45F52"/>
    <w:rsid w:val="002504C0"/>
    <w:rsid w:val="00255ACC"/>
    <w:rsid w:val="0025629D"/>
    <w:rsid w:val="00260450"/>
    <w:rsid w:val="002626F9"/>
    <w:rsid w:val="00265994"/>
    <w:rsid w:val="00267E49"/>
    <w:rsid w:val="002701AD"/>
    <w:rsid w:val="00272B4E"/>
    <w:rsid w:val="00281664"/>
    <w:rsid w:val="00283A4B"/>
    <w:rsid w:val="00284355"/>
    <w:rsid w:val="00287645"/>
    <w:rsid w:val="00287D46"/>
    <w:rsid w:val="002933AA"/>
    <w:rsid w:val="002A10B2"/>
    <w:rsid w:val="002A2271"/>
    <w:rsid w:val="002A5D54"/>
    <w:rsid w:val="002A7F39"/>
    <w:rsid w:val="002B0EC7"/>
    <w:rsid w:val="002B525B"/>
    <w:rsid w:val="002B5EA0"/>
    <w:rsid w:val="002B7DA3"/>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C08"/>
    <w:rsid w:val="003534C9"/>
    <w:rsid w:val="00357C44"/>
    <w:rsid w:val="00361F26"/>
    <w:rsid w:val="00362495"/>
    <w:rsid w:val="00362802"/>
    <w:rsid w:val="00365B1D"/>
    <w:rsid w:val="00370C38"/>
    <w:rsid w:val="003722B8"/>
    <w:rsid w:val="003723B1"/>
    <w:rsid w:val="0037449C"/>
    <w:rsid w:val="00374DC5"/>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164"/>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122D"/>
    <w:rsid w:val="004E444D"/>
    <w:rsid w:val="004E4A89"/>
    <w:rsid w:val="004E4D48"/>
    <w:rsid w:val="004E6995"/>
    <w:rsid w:val="004E7872"/>
    <w:rsid w:val="004F04E0"/>
    <w:rsid w:val="004F19B8"/>
    <w:rsid w:val="004F1E2D"/>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632F5"/>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A6051"/>
    <w:rsid w:val="005B1D98"/>
    <w:rsid w:val="005B1E2E"/>
    <w:rsid w:val="005B2D52"/>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4993"/>
    <w:rsid w:val="005E6A56"/>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500"/>
    <w:rsid w:val="00673A5B"/>
    <w:rsid w:val="0067651F"/>
    <w:rsid w:val="006767D9"/>
    <w:rsid w:val="006873F7"/>
    <w:rsid w:val="0068744B"/>
    <w:rsid w:val="00690649"/>
    <w:rsid w:val="00690C90"/>
    <w:rsid w:val="006911EB"/>
    <w:rsid w:val="00694D70"/>
    <w:rsid w:val="00694F3D"/>
    <w:rsid w:val="006951D1"/>
    <w:rsid w:val="00695E65"/>
    <w:rsid w:val="006A0DD7"/>
    <w:rsid w:val="006A2F2F"/>
    <w:rsid w:val="006A4F5A"/>
    <w:rsid w:val="006A56F1"/>
    <w:rsid w:val="006B0415"/>
    <w:rsid w:val="006B3FB9"/>
    <w:rsid w:val="006B71B5"/>
    <w:rsid w:val="006C1C35"/>
    <w:rsid w:val="006C4F09"/>
    <w:rsid w:val="006D095A"/>
    <w:rsid w:val="006D3928"/>
    <w:rsid w:val="006D61AD"/>
    <w:rsid w:val="006E0E6D"/>
    <w:rsid w:val="006E1C25"/>
    <w:rsid w:val="006E36AC"/>
    <w:rsid w:val="006E44C2"/>
    <w:rsid w:val="006E468C"/>
    <w:rsid w:val="006E66A1"/>
    <w:rsid w:val="006F0BD6"/>
    <w:rsid w:val="006F41B2"/>
    <w:rsid w:val="006F4332"/>
    <w:rsid w:val="006F5371"/>
    <w:rsid w:val="006F676E"/>
    <w:rsid w:val="00704AEA"/>
    <w:rsid w:val="007071F8"/>
    <w:rsid w:val="00711E46"/>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6CDD"/>
    <w:rsid w:val="007878E6"/>
    <w:rsid w:val="00787979"/>
    <w:rsid w:val="0079043F"/>
    <w:rsid w:val="0079227C"/>
    <w:rsid w:val="0079346A"/>
    <w:rsid w:val="00793CBF"/>
    <w:rsid w:val="0079524E"/>
    <w:rsid w:val="00796BC4"/>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245"/>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282C"/>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33B6"/>
    <w:rsid w:val="008C5961"/>
    <w:rsid w:val="008C5D4B"/>
    <w:rsid w:val="008C7F57"/>
    <w:rsid w:val="008D32BA"/>
    <w:rsid w:val="008D3BDF"/>
    <w:rsid w:val="008D5D65"/>
    <w:rsid w:val="008D6D44"/>
    <w:rsid w:val="008E08E4"/>
    <w:rsid w:val="008E0F30"/>
    <w:rsid w:val="008E5972"/>
    <w:rsid w:val="008F3314"/>
    <w:rsid w:val="008F387E"/>
    <w:rsid w:val="008F3E83"/>
    <w:rsid w:val="008F406F"/>
    <w:rsid w:val="00905516"/>
    <w:rsid w:val="0090576B"/>
    <w:rsid w:val="00910363"/>
    <w:rsid w:val="00911DC8"/>
    <w:rsid w:val="00913F86"/>
    <w:rsid w:val="0091493D"/>
    <w:rsid w:val="00914982"/>
    <w:rsid w:val="00914B24"/>
    <w:rsid w:val="00915B61"/>
    <w:rsid w:val="00915F86"/>
    <w:rsid w:val="009170A7"/>
    <w:rsid w:val="0092120C"/>
    <w:rsid w:val="00922171"/>
    <w:rsid w:val="009247EA"/>
    <w:rsid w:val="00926645"/>
    <w:rsid w:val="00931AD2"/>
    <w:rsid w:val="00933E64"/>
    <w:rsid w:val="00935609"/>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3405"/>
    <w:rsid w:val="0098392F"/>
    <w:rsid w:val="009966E5"/>
    <w:rsid w:val="00996B54"/>
    <w:rsid w:val="00997DF0"/>
    <w:rsid w:val="009A1B7C"/>
    <w:rsid w:val="009A1E5F"/>
    <w:rsid w:val="009A3425"/>
    <w:rsid w:val="009A6D51"/>
    <w:rsid w:val="009B19C4"/>
    <w:rsid w:val="009B3CAA"/>
    <w:rsid w:val="009B5181"/>
    <w:rsid w:val="009B5ED3"/>
    <w:rsid w:val="009C00C1"/>
    <w:rsid w:val="009C2AEA"/>
    <w:rsid w:val="009C2BE0"/>
    <w:rsid w:val="009C6EA1"/>
    <w:rsid w:val="009D0241"/>
    <w:rsid w:val="009E0FF6"/>
    <w:rsid w:val="009E5749"/>
    <w:rsid w:val="009E5B1B"/>
    <w:rsid w:val="009E61B3"/>
    <w:rsid w:val="009E62C8"/>
    <w:rsid w:val="009F1141"/>
    <w:rsid w:val="009F59C3"/>
    <w:rsid w:val="009F75E4"/>
    <w:rsid w:val="00A00EDD"/>
    <w:rsid w:val="00A017C9"/>
    <w:rsid w:val="00A0328C"/>
    <w:rsid w:val="00A10212"/>
    <w:rsid w:val="00A10AEC"/>
    <w:rsid w:val="00A11121"/>
    <w:rsid w:val="00A11642"/>
    <w:rsid w:val="00A12A31"/>
    <w:rsid w:val="00A132C2"/>
    <w:rsid w:val="00A13EA2"/>
    <w:rsid w:val="00A13EC5"/>
    <w:rsid w:val="00A15A48"/>
    <w:rsid w:val="00A173E8"/>
    <w:rsid w:val="00A17C99"/>
    <w:rsid w:val="00A20432"/>
    <w:rsid w:val="00A22538"/>
    <w:rsid w:val="00A22680"/>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C3709"/>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E4D25"/>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5F5"/>
    <w:rsid w:val="00C615D1"/>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0789"/>
    <w:rsid w:val="00CB1EEF"/>
    <w:rsid w:val="00CB5329"/>
    <w:rsid w:val="00CC2A4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1B1A"/>
    <w:rsid w:val="00D62348"/>
    <w:rsid w:val="00D63D11"/>
    <w:rsid w:val="00D70535"/>
    <w:rsid w:val="00D712A5"/>
    <w:rsid w:val="00D729CD"/>
    <w:rsid w:val="00D74A10"/>
    <w:rsid w:val="00D76764"/>
    <w:rsid w:val="00D82804"/>
    <w:rsid w:val="00D82B3C"/>
    <w:rsid w:val="00D9252A"/>
    <w:rsid w:val="00DA0D3D"/>
    <w:rsid w:val="00DA684D"/>
    <w:rsid w:val="00DB1778"/>
    <w:rsid w:val="00DB2DF5"/>
    <w:rsid w:val="00DB40FB"/>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256F"/>
    <w:rsid w:val="00E13C2E"/>
    <w:rsid w:val="00E167AD"/>
    <w:rsid w:val="00E17953"/>
    <w:rsid w:val="00E20589"/>
    <w:rsid w:val="00E20AB5"/>
    <w:rsid w:val="00E21185"/>
    <w:rsid w:val="00E23D66"/>
    <w:rsid w:val="00E27DA1"/>
    <w:rsid w:val="00E30C15"/>
    <w:rsid w:val="00E31563"/>
    <w:rsid w:val="00E3377A"/>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132B"/>
    <w:rsid w:val="00E92F1C"/>
    <w:rsid w:val="00E950AF"/>
    <w:rsid w:val="00E979AF"/>
    <w:rsid w:val="00E97FCF"/>
    <w:rsid w:val="00EA5359"/>
    <w:rsid w:val="00EA7DAF"/>
    <w:rsid w:val="00EB1AD4"/>
    <w:rsid w:val="00EB2530"/>
    <w:rsid w:val="00EB27A2"/>
    <w:rsid w:val="00EB5FED"/>
    <w:rsid w:val="00EB6A86"/>
    <w:rsid w:val="00EC0CE9"/>
    <w:rsid w:val="00EC0E3E"/>
    <w:rsid w:val="00ED13A5"/>
    <w:rsid w:val="00ED271E"/>
    <w:rsid w:val="00ED44C4"/>
    <w:rsid w:val="00ED4913"/>
    <w:rsid w:val="00ED4B8C"/>
    <w:rsid w:val="00ED51C4"/>
    <w:rsid w:val="00ED5663"/>
    <w:rsid w:val="00EE2D45"/>
    <w:rsid w:val="00EE43FF"/>
    <w:rsid w:val="00EE51E0"/>
    <w:rsid w:val="00EE53C5"/>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1EE0"/>
    <w:rsid w:val="00F82E7F"/>
    <w:rsid w:val="00F83843"/>
    <w:rsid w:val="00F83D52"/>
    <w:rsid w:val="00F845E6"/>
    <w:rsid w:val="00F85213"/>
    <w:rsid w:val="00F9032A"/>
    <w:rsid w:val="00F92D94"/>
    <w:rsid w:val="00F9538B"/>
    <w:rsid w:val="00F972B3"/>
    <w:rsid w:val="00FA195B"/>
    <w:rsid w:val="00FA43CD"/>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366"/>
    <w:rsid w:val="00FC6AAD"/>
    <w:rsid w:val="00FC6D54"/>
    <w:rsid w:val="00FC7EC0"/>
    <w:rsid w:val="00FD24D4"/>
    <w:rsid w:val="00FD25A4"/>
    <w:rsid w:val="00FD3465"/>
    <w:rsid w:val="00FD40FA"/>
    <w:rsid w:val="00FE0AD7"/>
    <w:rsid w:val="00FE11E6"/>
    <w:rsid w:val="00FE1B8E"/>
    <w:rsid w:val="00FE2FD2"/>
    <w:rsid w:val="00FE401F"/>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928CC0"/>
  <w14:discardImageEditingData/>
  <w15:docId w15:val="{142B07F6-9D1D-41B9-AB4C-831A00BD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21"/>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21"/>
      </w:numPr>
      <w:spacing w:after="60"/>
    </w:pPr>
  </w:style>
  <w:style w:type="paragraph" w:customStyle="1" w:styleId="Numberlevel3CSC">
    <w:name w:val="Number level 3 CSC"/>
    <w:basedOn w:val="Normal"/>
    <w:semiHidden/>
    <w:qFormat/>
    <w:rsid w:val="002B5EA0"/>
    <w:pPr>
      <w:numPr>
        <w:ilvl w:val="2"/>
        <w:numId w:val="21"/>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semiHidden/>
    <w:unhideWhenUsed/>
    <w:rsid w:val="00FE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188">
      <w:bodyDiv w:val="1"/>
      <w:marLeft w:val="0"/>
      <w:marRight w:val="0"/>
      <w:marTop w:val="0"/>
      <w:marBottom w:val="0"/>
      <w:divBdr>
        <w:top w:val="none" w:sz="0" w:space="0" w:color="auto"/>
        <w:left w:val="none" w:sz="0" w:space="0" w:color="auto"/>
        <w:bottom w:val="none" w:sz="0" w:space="0" w:color="auto"/>
        <w:right w:val="none" w:sz="0" w:space="0" w:color="auto"/>
      </w:divBdr>
    </w:div>
    <w:div w:id="271326819">
      <w:bodyDiv w:val="1"/>
      <w:marLeft w:val="0"/>
      <w:marRight w:val="0"/>
      <w:marTop w:val="0"/>
      <w:marBottom w:val="0"/>
      <w:divBdr>
        <w:top w:val="none" w:sz="0" w:space="0" w:color="auto"/>
        <w:left w:val="none" w:sz="0" w:space="0" w:color="auto"/>
        <w:bottom w:val="none" w:sz="0" w:space="0" w:color="auto"/>
        <w:right w:val="none" w:sz="0" w:space="0" w:color="auto"/>
      </w:divBdr>
      <w:divsChild>
        <w:div w:id="1483421653">
          <w:marLeft w:val="0"/>
          <w:marRight w:val="0"/>
          <w:marTop w:val="0"/>
          <w:marBottom w:val="0"/>
          <w:divBdr>
            <w:top w:val="none" w:sz="0" w:space="0" w:color="auto"/>
            <w:left w:val="none" w:sz="0" w:space="0" w:color="auto"/>
            <w:bottom w:val="none" w:sz="0" w:space="0" w:color="auto"/>
            <w:right w:val="none" w:sz="0" w:space="0" w:color="auto"/>
          </w:divBdr>
        </w:div>
      </w:divsChild>
    </w:div>
    <w:div w:id="298458469">
      <w:bodyDiv w:val="1"/>
      <w:marLeft w:val="0"/>
      <w:marRight w:val="0"/>
      <w:marTop w:val="0"/>
      <w:marBottom w:val="0"/>
      <w:divBdr>
        <w:top w:val="none" w:sz="0" w:space="0" w:color="auto"/>
        <w:left w:val="none" w:sz="0" w:space="0" w:color="auto"/>
        <w:bottom w:val="none" w:sz="0" w:space="0" w:color="auto"/>
        <w:right w:val="none" w:sz="0" w:space="0" w:color="auto"/>
      </w:divBdr>
    </w:div>
    <w:div w:id="423451935">
      <w:bodyDiv w:val="1"/>
      <w:marLeft w:val="0"/>
      <w:marRight w:val="0"/>
      <w:marTop w:val="0"/>
      <w:marBottom w:val="0"/>
      <w:divBdr>
        <w:top w:val="none" w:sz="0" w:space="0" w:color="auto"/>
        <w:left w:val="none" w:sz="0" w:space="0" w:color="auto"/>
        <w:bottom w:val="none" w:sz="0" w:space="0" w:color="auto"/>
        <w:right w:val="none" w:sz="0" w:space="0" w:color="auto"/>
      </w:divBdr>
    </w:div>
    <w:div w:id="1114321397">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600BCDEE56991646AC91A182FB310285" ma:contentTypeVersion="13" ma:contentTypeDescription="Create a new document." ma:contentTypeScope="" ma:versionID="4e6caf2dcf2f5e17e7e1377fb1be6445">
  <xsd:schema xmlns:xsd="http://www.w3.org/2001/XMLSchema" xmlns:xs="http://www.w3.org/2001/XMLSchema" xmlns:p="http://schemas.microsoft.com/office/2006/metadata/properties" xmlns:ns3="cad36900-b2dc-4c92-af6c-8bacf3216b0d" xmlns:ns4="dacca0c0-181f-4a2f-80e5-213543d85916" targetNamespace="http://schemas.microsoft.com/office/2006/metadata/properties" ma:root="true" ma:fieldsID="d874f3ea33e3f2e54f9089e8bfa0c30e" ns3:_="" ns4:_="">
    <xsd:import namespace="cad36900-b2dc-4c92-af6c-8bacf3216b0d"/>
    <xsd:import namespace="dacca0c0-181f-4a2f-80e5-213543d85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900-b2dc-4c92-af6c-8bacf321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ca0c0-181f-4a2f-80e5-213543d8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D8A6B8-70CB-4AA6-8E95-6C42D4C59773}">
  <ds:schemaRefs>
    <ds:schemaRef ds:uri="http://schemas.openxmlformats.org/package/2006/metadata/core-properties"/>
    <ds:schemaRef ds:uri="http://purl.org/dc/elements/1.1/"/>
    <ds:schemaRef ds:uri="http://purl.org/dc/dcmitype/"/>
    <ds:schemaRef ds:uri="http://schemas.microsoft.com/office/infopath/2007/PartnerControls"/>
    <ds:schemaRef ds:uri="cad36900-b2dc-4c92-af6c-8bacf3216b0d"/>
    <ds:schemaRef ds:uri="http://schemas.microsoft.com/office/2006/metadata/properties"/>
    <ds:schemaRef ds:uri="http://schemas.microsoft.com/office/2006/documentManagement/types"/>
    <ds:schemaRef ds:uri="http://purl.org/dc/terms/"/>
    <ds:schemaRef ds:uri="dacca0c0-181f-4a2f-80e5-213543d85916"/>
    <ds:schemaRef ds:uri="http://www.w3.org/XML/1998/namespace"/>
  </ds:schemaRefs>
</ds:datastoreItem>
</file>

<file path=customXml/itemProps3.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4.xml><?xml version="1.0" encoding="utf-8"?>
<ds:datastoreItem xmlns:ds="http://schemas.openxmlformats.org/officeDocument/2006/customXml" ds:itemID="{06B292BE-1498-42E2-B005-4829CCCB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900-b2dc-4c92-af6c-8bacf3216b0d"/>
    <ds:schemaRef ds:uri="dacca0c0-181f-4a2f-80e5-213543d8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6.xml><?xml version="1.0" encoding="utf-8"?>
<ds:datastoreItem xmlns:ds="http://schemas.openxmlformats.org/officeDocument/2006/customXml" ds:itemID="{6FACB439-243E-47AB-ADAA-1CDD83DD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236</TotalTime>
  <Pages>1</Pages>
  <Words>325</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Hopgood</dc:creator>
  <cp:lastModifiedBy>Rosie Hopgood</cp:lastModifiedBy>
  <cp:revision>16</cp:revision>
  <cp:lastPrinted>2014-03-03T21:33:00Z</cp:lastPrinted>
  <dcterms:created xsi:type="dcterms:W3CDTF">2021-07-16T04:12:00Z</dcterms:created>
  <dcterms:modified xsi:type="dcterms:W3CDTF">2021-08-03T00:12:00Z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0x010100600BCDEE56991646AC91A182FB310285</vt:lpwstr>
  </property>
  <property fmtid="{D5CDD505-2E9C-101B-9397-08002B2CF9AE}" pid="3" name="RevIMBCS">
    <vt:lpwstr>6;#Planning (Business Plan)|aeca1183-09bb-4124-8d99-51a469fbf210</vt:lpwstr>
  </property>
  <property fmtid="{D5CDD505-2E9C-101B-9397-08002B2CF9AE}" pid="4" name="_dlc_DocIdItemGuid">
    <vt:lpwstr>e964d2df-3ab9-4c51-a97e-97329d8655c7</vt:lpwstr>
  </property>
</Properties>
</file>