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0D8C" w14:textId="423C73EE" w:rsidR="00064A68" w:rsidRDefault="00FE0AD7" w:rsidP="008C33B6">
      <w:pPr>
        <w:pStyle w:val="Heading1"/>
        <w:rPr>
          <w:noProof/>
          <w:lang w:eastAsia="en-AU"/>
        </w:rPr>
      </w:pPr>
      <w:r>
        <w:rPr>
          <w:noProof/>
          <w:lang w:eastAsia="en-AU"/>
        </w:rPr>
        <w:drawing>
          <wp:anchor distT="0" distB="0" distL="114300" distR="114300" simplePos="0" relativeHeight="251660800" behindDoc="0" locked="0" layoutInCell="1" allowOverlap="1" wp14:anchorId="3E9B0898" wp14:editId="1294538C">
            <wp:simplePos x="0" y="0"/>
            <wp:positionH relativeFrom="margin">
              <wp:posOffset>4819650</wp:posOffset>
            </wp:positionH>
            <wp:positionV relativeFrom="margin">
              <wp:posOffset>30480</wp:posOffset>
            </wp:positionV>
            <wp:extent cx="1386205" cy="1484630"/>
            <wp:effectExtent l="0" t="0" r="444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come_Wellbeing.png"/>
                    <pic:cNvPicPr/>
                  </pic:nvPicPr>
                  <pic:blipFill>
                    <a:blip r:embed="rId13">
                      <a:extLst>
                        <a:ext uri="{28A0092B-C50C-407E-A947-70E740481C1C}">
                          <a14:useLocalDpi xmlns:a14="http://schemas.microsoft.com/office/drawing/2010/main" val="0"/>
                        </a:ext>
                      </a:extLst>
                    </a:blip>
                    <a:stretch>
                      <a:fillRect/>
                    </a:stretch>
                  </pic:blipFill>
                  <pic:spPr>
                    <a:xfrm>
                      <a:off x="0" y="0"/>
                      <a:ext cx="1386205" cy="14846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t>About</w:t>
      </w:r>
    </w:p>
    <w:p w14:paraId="2A16A0B4" w14:textId="448FAD66" w:rsidR="005A6051" w:rsidRDefault="00A13EC5" w:rsidP="00C615D1">
      <w:r w:rsidRPr="00A13EC5">
        <w:t>Neighbourhoods which are perceived as safe foster community participation, encourage physical activity, community connectedness and add to the health and wellbeing of residents and visitors. Ensuring safety for all regardless of age, gender or background is important for creating a more liveable Cardinia Shire.</w:t>
      </w:r>
    </w:p>
    <w:p w14:paraId="56FC0914" w14:textId="77777777" w:rsidR="005A6051" w:rsidRDefault="005A6051" w:rsidP="00C615D1"/>
    <w:p w14:paraId="3CC55F66" w14:textId="77777777" w:rsidR="00FE0AD7" w:rsidRDefault="00FE0AD7" w:rsidP="00FE0AD7">
      <w:pPr>
        <w:pStyle w:val="Heading2"/>
      </w:pPr>
      <w:r w:rsidRPr="00236E19">
        <w:t>Key statistics</w:t>
      </w:r>
    </w:p>
    <w:p w14:paraId="145299C5" w14:textId="77777777" w:rsidR="004E1AB7" w:rsidRPr="00374DC5" w:rsidRDefault="004E1AB7" w:rsidP="00ED751D">
      <w:pPr>
        <w:pStyle w:val="Bulletlistmultilevel"/>
        <w:rPr>
          <w:rStyle w:val="jsgrdq"/>
          <w:lang w:eastAsia="en-US"/>
        </w:rPr>
      </w:pPr>
      <w:r>
        <w:rPr>
          <w:rStyle w:val="jsgrdq"/>
          <w:rFonts w:eastAsiaTheme="majorEastAsia"/>
          <w:color w:val="000000"/>
        </w:rPr>
        <w:t>75% residents felt their estate is a safe place during the day</w:t>
      </w:r>
    </w:p>
    <w:p w14:paraId="7C05DD2A" w14:textId="38D9DBFB" w:rsidR="004E1AB7" w:rsidRPr="00E9132B" w:rsidRDefault="004E1AB7" w:rsidP="00ED751D">
      <w:pPr>
        <w:pStyle w:val="Bulletlistmultilevel"/>
        <w:rPr>
          <w:rStyle w:val="jsgrdq"/>
          <w:lang w:eastAsia="en-US"/>
        </w:rPr>
      </w:pPr>
      <w:r>
        <w:rPr>
          <w:rStyle w:val="jsgrdq"/>
          <w:rFonts w:eastAsiaTheme="majorEastAsia"/>
          <w:color w:val="000000"/>
        </w:rPr>
        <w:t>58% residents felt safe in their area at night</w:t>
      </w:r>
    </w:p>
    <w:p w14:paraId="24968EFB" w14:textId="77777777" w:rsidR="004E1AB7" w:rsidRPr="00374DC5" w:rsidRDefault="004E1AB7" w:rsidP="00ED751D">
      <w:pPr>
        <w:pStyle w:val="Bulletlistmultilevel"/>
        <w:rPr>
          <w:rStyle w:val="jsgrdq"/>
          <w:lang w:eastAsia="en-US"/>
        </w:rPr>
      </w:pPr>
      <w:r>
        <w:rPr>
          <w:rStyle w:val="jsgrdq"/>
          <w:rFonts w:eastAsiaTheme="majorEastAsia"/>
          <w:color w:val="000000"/>
        </w:rPr>
        <w:t>7,750 criminal incidents in 2020, or 21 per day</w:t>
      </w:r>
    </w:p>
    <w:p w14:paraId="6DC9B704" w14:textId="1CD7198D" w:rsidR="004E1AB7" w:rsidRPr="009E61B3" w:rsidRDefault="004E1AB7" w:rsidP="00ED751D">
      <w:pPr>
        <w:pStyle w:val="Bulletlistmultilevel"/>
        <w:rPr>
          <w:rStyle w:val="jsgrdq"/>
          <w:lang w:eastAsia="en-US"/>
        </w:rPr>
      </w:pPr>
      <w:r>
        <w:rPr>
          <w:rStyle w:val="jsgrdq"/>
          <w:rFonts w:eastAsiaTheme="majorEastAsia"/>
          <w:color w:val="000000"/>
        </w:rPr>
        <w:t>2017</w:t>
      </w:r>
      <w:r w:rsidR="00ED751D">
        <w:rPr>
          <w:rStyle w:val="jsgrdq"/>
          <w:rFonts w:eastAsiaTheme="majorEastAsia"/>
          <w:color w:val="000000"/>
        </w:rPr>
        <w:t>–</w:t>
      </w:r>
      <w:r>
        <w:rPr>
          <w:rStyle w:val="jsgrdq"/>
          <w:rFonts w:eastAsiaTheme="majorEastAsia"/>
          <w:color w:val="000000"/>
        </w:rPr>
        <w:t>2018 a total of 3,984 Cardinia residents admitted to hospital due to unintentional injury. (A rate of 1</w:t>
      </w:r>
      <w:r w:rsidR="0012564B">
        <w:rPr>
          <w:rStyle w:val="jsgrdq"/>
          <w:rFonts w:eastAsiaTheme="majorEastAsia"/>
          <w:color w:val="000000"/>
        </w:rPr>
        <w:t>,</w:t>
      </w:r>
      <w:r>
        <w:rPr>
          <w:rStyle w:val="jsgrdq"/>
          <w:rFonts w:eastAsiaTheme="majorEastAsia"/>
          <w:color w:val="000000"/>
        </w:rPr>
        <w:t>901.5/100,000 population)</w:t>
      </w:r>
    </w:p>
    <w:p w14:paraId="742EB071" w14:textId="49E08378" w:rsidR="00E1256F" w:rsidRPr="00E9132B" w:rsidRDefault="00E9132B" w:rsidP="00ED751D">
      <w:pPr>
        <w:pStyle w:val="Bulletlistmultilevel"/>
        <w:rPr>
          <w:rStyle w:val="jsgrdq"/>
          <w:lang w:eastAsia="en-US"/>
        </w:rPr>
      </w:pPr>
      <w:r>
        <w:rPr>
          <w:lang w:eastAsia="en-US"/>
        </w:rPr>
        <w:t xml:space="preserve">46% </w:t>
      </w:r>
      <w:r>
        <w:rPr>
          <w:rStyle w:val="jsgrdq"/>
          <w:rFonts w:eastAsiaTheme="majorEastAsia"/>
          <w:color w:val="000000"/>
        </w:rPr>
        <w:t>of all crime was property and deception offences</w:t>
      </w:r>
    </w:p>
    <w:p w14:paraId="06EE249A" w14:textId="09FD02EB" w:rsidR="009E61B3" w:rsidRPr="00673500" w:rsidRDefault="004E1AB7" w:rsidP="00ED751D">
      <w:pPr>
        <w:pStyle w:val="Bulletlistmultilevel"/>
        <w:rPr>
          <w:rStyle w:val="jsgrdq"/>
          <w:lang w:eastAsia="en-US"/>
        </w:rPr>
      </w:pPr>
      <w:r w:rsidRPr="0012564B">
        <w:rPr>
          <w:rStyle w:val="jsgrdq"/>
          <w:rFonts w:eastAsiaTheme="majorEastAsia"/>
          <w:color w:val="000000"/>
        </w:rPr>
        <w:t xml:space="preserve">In </w:t>
      </w:r>
      <w:r w:rsidR="00673500" w:rsidRPr="0012564B">
        <w:rPr>
          <w:rStyle w:val="jsgrdq"/>
          <w:rFonts w:eastAsiaTheme="majorEastAsia"/>
          <w:color w:val="000000"/>
        </w:rPr>
        <w:t>2014</w:t>
      </w:r>
      <w:r w:rsidR="00ED751D">
        <w:rPr>
          <w:rStyle w:val="jsgrdq"/>
          <w:rFonts w:eastAsiaTheme="majorEastAsia"/>
          <w:color w:val="000000"/>
        </w:rPr>
        <w:t>–</w:t>
      </w:r>
      <w:r w:rsidR="00673500" w:rsidRPr="0012564B">
        <w:rPr>
          <w:rStyle w:val="jsgrdq"/>
          <w:rFonts w:eastAsiaTheme="majorEastAsia"/>
          <w:color w:val="000000"/>
        </w:rPr>
        <w:t>19 there were 38 fatalities, 449 serious and 972 other injuries on our roads</w:t>
      </w:r>
      <w:r w:rsidR="00AB7FAC" w:rsidRPr="0012564B">
        <w:rPr>
          <w:rStyle w:val="jsgrdq"/>
          <w:rFonts w:eastAsiaTheme="majorEastAsia"/>
          <w:color w:val="000000"/>
        </w:rPr>
        <w:t xml:space="preserve"> (half of all TAC claims were for residents</w:t>
      </w:r>
      <w:r w:rsidR="0012564B">
        <w:rPr>
          <w:rStyle w:val="jsgrdq"/>
          <w:rFonts w:eastAsiaTheme="majorEastAsia"/>
          <w:color w:val="000000"/>
        </w:rPr>
        <w:t xml:space="preserve"> </w:t>
      </w:r>
      <w:r w:rsidR="00AB7FAC" w:rsidRPr="0012564B">
        <w:rPr>
          <w:rStyle w:val="jsgrdq"/>
          <w:rFonts w:eastAsiaTheme="majorEastAsia"/>
          <w:color w:val="000000"/>
        </w:rPr>
        <w:t>18</w:t>
      </w:r>
      <w:r w:rsidR="00ED751D">
        <w:rPr>
          <w:rStyle w:val="jsgrdq"/>
          <w:rFonts w:eastAsiaTheme="majorEastAsia"/>
          <w:color w:val="000000"/>
        </w:rPr>
        <w:t>–</w:t>
      </w:r>
      <w:r w:rsidR="00AB7FAC" w:rsidRPr="0012564B">
        <w:rPr>
          <w:rStyle w:val="jsgrdq"/>
          <w:rFonts w:eastAsiaTheme="majorEastAsia"/>
          <w:color w:val="000000"/>
        </w:rPr>
        <w:t>25 years and 40</w:t>
      </w:r>
      <w:r w:rsidR="00ED751D">
        <w:rPr>
          <w:rStyle w:val="jsgrdq"/>
          <w:rFonts w:eastAsiaTheme="majorEastAsia"/>
          <w:color w:val="000000"/>
        </w:rPr>
        <w:t>–</w:t>
      </w:r>
      <w:r w:rsidR="00AB7FAC" w:rsidRPr="0012564B">
        <w:rPr>
          <w:rStyle w:val="jsgrdq"/>
          <w:rFonts w:eastAsiaTheme="majorEastAsia"/>
          <w:color w:val="000000"/>
        </w:rPr>
        <w:t>59 years</w:t>
      </w:r>
      <w:r w:rsidR="0012564B">
        <w:rPr>
          <w:rStyle w:val="jsgrdq"/>
          <w:rFonts w:eastAsiaTheme="majorEastAsia"/>
          <w:color w:val="000000"/>
        </w:rPr>
        <w:t>)</w:t>
      </w:r>
    </w:p>
    <w:p w14:paraId="68F3758D" w14:textId="2F505BAE" w:rsidR="00673500" w:rsidRPr="00FE0AD7" w:rsidRDefault="005632F5" w:rsidP="00ED751D">
      <w:pPr>
        <w:pStyle w:val="Bulletlistmultilevel"/>
        <w:rPr>
          <w:rStyle w:val="jsgrdq"/>
          <w:lang w:eastAsia="en-US"/>
        </w:rPr>
      </w:pPr>
      <w:r>
        <w:rPr>
          <w:rStyle w:val="jsgrdq"/>
          <w:rFonts w:eastAsiaTheme="majorEastAsia"/>
          <w:color w:val="000000"/>
        </w:rPr>
        <w:t>Since 1891 there have been 29 significant natural incidents, including bushfires, grassfires, floods, storms and heatwaves</w:t>
      </w:r>
      <w:bookmarkStart w:id="0" w:name="_GoBack"/>
      <w:bookmarkEnd w:id="0"/>
    </w:p>
    <w:p w14:paraId="1EA4AC04" w14:textId="5AC8448B" w:rsidR="00FE0AD7" w:rsidRDefault="00FE0AD7" w:rsidP="00FE0AD7">
      <w:pPr>
        <w:pStyle w:val="Heading2"/>
      </w:pPr>
      <w:r>
        <w:t>Priority groups</w:t>
      </w:r>
    </w:p>
    <w:p w14:paraId="6422B291" w14:textId="53504C10" w:rsidR="00796BC4" w:rsidRPr="00796BC4" w:rsidRDefault="00796BC4" w:rsidP="00ED751D">
      <w:pPr>
        <w:pStyle w:val="Bulletlistmultilevel"/>
      </w:pPr>
      <w:r w:rsidRPr="00796BC4">
        <w:t xml:space="preserve">Males are over-represented in hospital admissions, </w:t>
      </w:r>
      <w:r w:rsidR="004E1AB7">
        <w:t>emergency</w:t>
      </w:r>
      <w:r w:rsidRPr="00796BC4">
        <w:t xml:space="preserve"> presentations, road trauma, and crime offenders</w:t>
      </w:r>
    </w:p>
    <w:p w14:paraId="22295332" w14:textId="77777777" w:rsidR="00796BC4" w:rsidRPr="00796BC4" w:rsidRDefault="00796BC4" w:rsidP="00ED751D">
      <w:pPr>
        <w:pStyle w:val="Bulletlistmultilevel"/>
      </w:pPr>
      <w:r w:rsidRPr="00796BC4">
        <w:t>Young people more commonly feel unsafe in their area at night</w:t>
      </w:r>
    </w:p>
    <w:p w14:paraId="26697BEF" w14:textId="77777777" w:rsidR="00796BC4" w:rsidRPr="00796BC4" w:rsidRDefault="00796BC4" w:rsidP="00ED751D">
      <w:pPr>
        <w:pStyle w:val="Bulletlistmultilevel"/>
      </w:pPr>
      <w:r w:rsidRPr="00796BC4">
        <w:t>Residents in rural and township areas more commonly feel their area is safe during the day and night</w:t>
      </w:r>
    </w:p>
    <w:p w14:paraId="7A34FC21" w14:textId="77777777" w:rsidR="004E1AB7" w:rsidRDefault="004E1AB7" w:rsidP="00ED751D">
      <w:pPr>
        <w:pStyle w:val="Bulletlistmultilevel"/>
      </w:pPr>
      <w:r w:rsidRPr="004E1AB7">
        <w:t>For residents living in the 'hills' area, bushfires are the main natural threat compared to flooding in the southern parts of the shire</w:t>
      </w:r>
    </w:p>
    <w:p w14:paraId="13C77B9A" w14:textId="2073168E" w:rsidR="00C615D1" w:rsidRDefault="00FE0AD7" w:rsidP="00FE0AD7">
      <w:pPr>
        <w:pStyle w:val="Heading2"/>
      </w:pPr>
      <w:r>
        <w:t>C</w:t>
      </w:r>
      <w:r w:rsidR="00D74A10">
        <w:t>OVID-19</w:t>
      </w:r>
      <w:r>
        <w:t xml:space="preserve"> impact</w:t>
      </w:r>
    </w:p>
    <w:p w14:paraId="5740B371" w14:textId="77777777" w:rsidR="004E1AB7" w:rsidRDefault="004E1AB7" w:rsidP="00ED751D">
      <w:pPr>
        <w:pStyle w:val="Bulletlistmultilevel"/>
      </w:pPr>
      <w:r>
        <w:t>There was a decrease in property and deception offences during COVID-19</w:t>
      </w:r>
    </w:p>
    <w:p w14:paraId="1FFECE5E" w14:textId="37786367" w:rsidR="00370C38" w:rsidRDefault="004E1AB7" w:rsidP="00ED751D">
      <w:pPr>
        <w:pStyle w:val="Bulletlistmultilevel"/>
      </w:pPr>
      <w:r>
        <w:t>Public health and safety incidents increased due to COVID-19 breaches</w:t>
      </w:r>
    </w:p>
    <w:p w14:paraId="4479CAC9" w14:textId="1D06913F" w:rsidR="00FE0AD7" w:rsidRDefault="00FE0AD7" w:rsidP="00FE0AD7">
      <w:pPr>
        <w:pStyle w:val="Heading2"/>
      </w:pPr>
      <w:r>
        <w:t>Climate impact</w:t>
      </w:r>
    </w:p>
    <w:p w14:paraId="238A0842" w14:textId="77777777" w:rsidR="004E1AB7" w:rsidRDefault="004E1AB7" w:rsidP="00ED751D">
      <w:pPr>
        <w:pStyle w:val="Bulletlistmultilevel"/>
        <w:rPr>
          <w:lang w:eastAsia="en-US"/>
        </w:rPr>
      </w:pPr>
      <w:r>
        <w:rPr>
          <w:lang w:eastAsia="en-US"/>
        </w:rPr>
        <w:t>Power outages during heatwaves or storm event results in adverse health consequences for vulnerable residents (e.g. elderly, children, those with chronic health conditions or reliant on electricity for medical devices)</w:t>
      </w:r>
    </w:p>
    <w:p w14:paraId="016B8C45" w14:textId="77777777" w:rsidR="004E1AB7" w:rsidRDefault="004E1AB7" w:rsidP="00ED751D">
      <w:pPr>
        <w:pStyle w:val="Bulletlistmultilevel"/>
        <w:rPr>
          <w:lang w:eastAsia="en-US"/>
        </w:rPr>
      </w:pPr>
      <w:r>
        <w:rPr>
          <w:lang w:eastAsia="en-US"/>
        </w:rPr>
        <w:t>Hardening and deterioration of outdoor sporting facilities, resulting in increased health and safety risk for participants</w:t>
      </w:r>
    </w:p>
    <w:p w14:paraId="15F0E0B3" w14:textId="77777777" w:rsidR="004E1AB7" w:rsidRDefault="004E1AB7" w:rsidP="00ED751D">
      <w:pPr>
        <w:pStyle w:val="Bulletlistmultilevel"/>
        <w:rPr>
          <w:lang w:eastAsia="en-US"/>
        </w:rPr>
      </w:pPr>
      <w:r>
        <w:rPr>
          <w:lang w:eastAsia="en-US"/>
        </w:rPr>
        <w:t>Increased incidence of bushfire-related pollution and/or dust storms, resulting in adverse health impacts for residents</w:t>
      </w:r>
    </w:p>
    <w:p w14:paraId="4E828A61" w14:textId="77777777" w:rsidR="00FE0AD7" w:rsidRDefault="00FE0AD7" w:rsidP="009170A7"/>
    <w:p w14:paraId="628E5280" w14:textId="58A84099" w:rsidR="00FE0AD7" w:rsidRDefault="00FE0AD7" w:rsidP="009170A7"/>
    <w:p w14:paraId="49C31E46" w14:textId="77777777" w:rsidR="00FE0AD7" w:rsidRDefault="00FE0AD7" w:rsidP="009170A7"/>
    <w:sectPr w:rsidR="00FE0AD7" w:rsidSect="006C4F09">
      <w:footerReference w:type="default" r:id="rId14"/>
      <w:headerReference w:type="first" r:id="rId15"/>
      <w:footerReference w:type="first" r:id="rId16"/>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4BE1" w14:textId="77777777" w:rsidR="00112513" w:rsidRDefault="00112513" w:rsidP="00756052">
      <w:r>
        <w:separator/>
      </w:r>
    </w:p>
    <w:p w14:paraId="65D6B680" w14:textId="77777777" w:rsidR="00112513" w:rsidRDefault="00112513"/>
  </w:endnote>
  <w:endnote w:type="continuationSeparator" w:id="0">
    <w:p w14:paraId="7E2FA31F" w14:textId="77777777" w:rsidR="00112513" w:rsidRDefault="00112513" w:rsidP="00756052">
      <w:r>
        <w:continuationSeparator/>
      </w:r>
    </w:p>
    <w:p w14:paraId="0491E802" w14:textId="77777777" w:rsidR="00112513" w:rsidRDefault="00112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58A9" w14:textId="77777777" w:rsidR="00FE0AD7" w:rsidRDefault="00FE0AD7" w:rsidP="00FE0AD7">
    <w:r w:rsidRPr="00FE0AD7">
      <w:t xml:space="preserve">For more information contact Cardinia Shire Council on 1300 787 624 or </w:t>
    </w:r>
    <w:hyperlink r:id="rId1" w:history="1">
      <w:r w:rsidRPr="00B16794">
        <w:rPr>
          <w:rStyle w:val="Hyperlink"/>
        </w:rPr>
        <w:t>mail@cardinia.vic.gov.au</w:t>
      </w:r>
    </w:hyperlink>
  </w:p>
  <w:p w14:paraId="43312583" w14:textId="77777777" w:rsidR="00FE0AD7" w:rsidRDefault="00FE0AD7">
    <w:pPr>
      <w:pStyle w:val="Footer"/>
      <w:rPr>
        <w:rStyle w:val="jsgrdq"/>
        <w:rFonts w:eastAsiaTheme="majorEastAsia"/>
        <w:color w:val="000000"/>
      </w:rPr>
    </w:pPr>
  </w:p>
  <w:p w14:paraId="6E1B7DBB" w14:textId="77777777" w:rsidR="00FE0AD7" w:rsidRDefault="00FE0AD7">
    <w:pPr>
      <w:pStyle w:val="Footer"/>
      <w:rPr>
        <w:rStyle w:val="jsgrdq"/>
        <w:rFonts w:eastAsiaTheme="majorEastAsia"/>
        <w:color w:val="000000"/>
      </w:rPr>
    </w:pPr>
  </w:p>
  <w:p w14:paraId="7D75C192" w14:textId="4F78F352" w:rsidR="00FE0AD7" w:rsidRDefault="00FE0AD7">
    <w:pPr>
      <w:pStyle w:val="Foote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r>
      <w:rPr>
        <w:rStyle w:val="jsgrdq"/>
        <w:rFonts w:eastAsiaTheme="majorEastAs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17C9" w14:textId="77777777" w:rsidR="00112513" w:rsidRDefault="00112513" w:rsidP="00756052">
      <w:r>
        <w:separator/>
      </w:r>
    </w:p>
    <w:p w14:paraId="7FCD63AA" w14:textId="77777777" w:rsidR="00112513" w:rsidRDefault="00112513"/>
  </w:footnote>
  <w:footnote w:type="continuationSeparator" w:id="0">
    <w:p w14:paraId="0627D75C" w14:textId="77777777" w:rsidR="00112513" w:rsidRDefault="00112513" w:rsidP="00756052">
      <w:r>
        <w:continuationSeparator/>
      </w:r>
    </w:p>
    <w:p w14:paraId="417D8D55" w14:textId="77777777" w:rsidR="00112513" w:rsidRDefault="00112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290" w14:textId="77777777"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681C1890" wp14:editId="18E73DFB">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7A418EB6" wp14:editId="400CD5BA">
          <wp:simplePos x="0" y="0"/>
          <wp:positionH relativeFrom="page">
            <wp:posOffset>-31898</wp:posOffset>
          </wp:positionH>
          <wp:positionV relativeFrom="page">
            <wp:posOffset>-10633</wp:posOffset>
          </wp:positionV>
          <wp:extent cx="7632185" cy="247738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14:paraId="2896487D" w14:textId="308DB0A1" w:rsidR="002A7F39" w:rsidRDefault="00BE4D25" w:rsidP="00BE4D25">
    <w:pPr>
      <w:pStyle w:val="Title"/>
    </w:pPr>
    <w:r w:rsidRPr="00BE4D25">
      <w:t>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8"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1"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4"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7"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0" w15:restartNumberingAfterBreak="0">
    <w:nsid w:val="54E8096E"/>
    <w:multiLevelType w:val="hybridMultilevel"/>
    <w:tmpl w:val="021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6B619A"/>
    <w:multiLevelType w:val="hybridMultilevel"/>
    <w:tmpl w:val="6B5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7"/>
  </w:num>
  <w:num w:numId="3">
    <w:abstractNumId w:val="2"/>
  </w:num>
  <w:num w:numId="4">
    <w:abstractNumId w:val="2"/>
  </w:num>
  <w:num w:numId="5">
    <w:abstractNumId w:val="4"/>
  </w:num>
  <w:num w:numId="6">
    <w:abstractNumId w:val="4"/>
  </w:num>
  <w:num w:numId="7">
    <w:abstractNumId w:val="6"/>
  </w:num>
  <w:num w:numId="8">
    <w:abstractNumId w:val="16"/>
  </w:num>
  <w:num w:numId="9">
    <w:abstractNumId w:val="0"/>
  </w:num>
  <w:num w:numId="10">
    <w:abstractNumId w:val="19"/>
  </w:num>
  <w:num w:numId="11">
    <w:abstractNumId w:val="10"/>
  </w:num>
  <w:num w:numId="12">
    <w:abstractNumId w:val="13"/>
  </w:num>
  <w:num w:numId="13">
    <w:abstractNumId w:val="12"/>
  </w:num>
  <w:num w:numId="14">
    <w:abstractNumId w:val="9"/>
  </w:num>
  <w:num w:numId="15">
    <w:abstractNumId w:val="0"/>
  </w:num>
  <w:num w:numId="16">
    <w:abstractNumId w:val="17"/>
  </w:num>
  <w:num w:numId="17">
    <w:abstractNumId w:val="17"/>
  </w:num>
  <w:num w:numId="18">
    <w:abstractNumId w:val="17"/>
  </w:num>
  <w:num w:numId="19">
    <w:abstractNumId w:val="0"/>
  </w:num>
  <w:num w:numId="20">
    <w:abstractNumId w:val="0"/>
  </w:num>
  <w:num w:numId="21">
    <w:abstractNumId w:val="0"/>
  </w:num>
  <w:num w:numId="22">
    <w:abstractNumId w:val="18"/>
  </w:num>
  <w:num w:numId="23">
    <w:abstractNumId w:val="15"/>
  </w:num>
  <w:num w:numId="24">
    <w:abstractNumId w:val="14"/>
  </w:num>
  <w:num w:numId="25">
    <w:abstractNumId w:val="5"/>
  </w:num>
  <w:num w:numId="26">
    <w:abstractNumId w:val="11"/>
  </w:num>
  <w:num w:numId="27">
    <w:abstractNumId w:val="8"/>
  </w:num>
  <w:num w:numId="28">
    <w:abstractNumId w:val="1"/>
  </w:num>
  <w:num w:numId="29">
    <w:abstractNumId w:val="21"/>
  </w:num>
  <w:num w:numId="30">
    <w:abstractNumId w:val="3"/>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2513"/>
    <w:rsid w:val="00117201"/>
    <w:rsid w:val="001225DB"/>
    <w:rsid w:val="00124147"/>
    <w:rsid w:val="0012564B"/>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58CE"/>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122D"/>
    <w:rsid w:val="004E1AB7"/>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632F5"/>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A6051"/>
    <w:rsid w:val="005B1D98"/>
    <w:rsid w:val="005B1E2E"/>
    <w:rsid w:val="005B2D52"/>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6BC4"/>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2A31"/>
    <w:rsid w:val="00A132C2"/>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7FAC"/>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0535"/>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132B"/>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D751D"/>
    <w:rsid w:val="00EE2D45"/>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928CC0"/>
  <w14:discardImageEditingData/>
  <w15:docId w15:val="{142B07F6-9D1D-41B9-AB4C-831A00B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752002115">
      <w:bodyDiv w:val="1"/>
      <w:marLeft w:val="0"/>
      <w:marRight w:val="0"/>
      <w:marTop w:val="0"/>
      <w:marBottom w:val="0"/>
      <w:divBdr>
        <w:top w:val="none" w:sz="0" w:space="0" w:color="auto"/>
        <w:left w:val="none" w:sz="0" w:space="0" w:color="auto"/>
        <w:bottom w:val="none" w:sz="0" w:space="0" w:color="auto"/>
        <w:right w:val="none" w:sz="0" w:space="0" w:color="auto"/>
      </w:divBdr>
    </w:div>
    <w:div w:id="2011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8A6B8-70CB-4AA6-8E95-6C42D4C59773}">
  <ds:schemaRefs>
    <ds:schemaRef ds:uri="http://purl.org/dc/dcmitype/"/>
    <ds:schemaRef ds:uri="http://schemas.microsoft.com/office/infopath/2007/PartnerControls"/>
    <ds:schemaRef ds:uri="cad36900-b2dc-4c92-af6c-8bacf3216b0d"/>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acca0c0-181f-4a2f-80e5-213543d85916"/>
    <ds:schemaRef ds:uri="http://www.w3.org/XML/1998/namespace"/>
    <ds:schemaRef ds:uri="http://purl.org/dc/terms/"/>
  </ds:schemaRefs>
</ds:datastoreItem>
</file>

<file path=customXml/itemProps3.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4.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E37CAAC7-E4C9-4209-A1F8-42A728ED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66</TotalTime>
  <Pages>1</Pages>
  <Words>306</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Hopgood</dc:creator>
  <cp:lastModifiedBy>Rosie Hopgood</cp:lastModifiedBy>
  <cp:revision>17</cp:revision>
  <cp:lastPrinted>2014-03-03T21:33:00Z</cp:lastPrinted>
  <dcterms:created xsi:type="dcterms:W3CDTF">2021-07-16T03:47:00Z</dcterms:created>
  <dcterms:modified xsi:type="dcterms:W3CDTF">2021-08-03T00:10:00Z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