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E0" w:rsidRDefault="00D92BE0" w:rsidP="00D92BE0">
      <w:pPr>
        <w:pStyle w:val="Heading1"/>
      </w:pPr>
      <w:bookmarkStart w:id="0" w:name="_GoBack"/>
      <w:bookmarkEnd w:id="0"/>
      <w:r>
        <w:t xml:space="preserve">Cardinia Shire </w:t>
      </w:r>
      <w:r w:rsidRPr="00600307">
        <w:t>Liveability Plan 2017-</w:t>
      </w:r>
      <w:r>
        <w:t>29</w:t>
      </w:r>
    </w:p>
    <w:p w:rsidR="00D92BE0" w:rsidRDefault="00D92BE0" w:rsidP="00D92BE0">
      <w:r w:rsidRPr="00AF1D03">
        <w:t xml:space="preserve">Cardinia Shire’s Liveability Health Plan 2017-2029 identifies </w:t>
      </w:r>
      <w:r>
        <w:t xml:space="preserve">seven liveability domains which evidence shows can impact health and social outcomes. ‘Education’ is one of these seven domains. </w:t>
      </w:r>
    </w:p>
    <w:p w:rsidR="00D92BE0" w:rsidRDefault="00D92BE0" w:rsidP="00D92BE0">
      <w:pPr>
        <w:pStyle w:val="Heading1"/>
      </w:pPr>
      <w:r>
        <w:t>Why is education a liveability domain?</w:t>
      </w:r>
    </w:p>
    <w:p w:rsidR="00D92BE0" w:rsidRDefault="00D92BE0" w:rsidP="00D92BE0">
      <w:pPr>
        <w:jc w:val="both"/>
      </w:pPr>
      <w:r>
        <w:t>Gaining an education improves wellbeing outcomes for communities. Enabling people to develop their potential contributes to gaining</w:t>
      </w:r>
      <w:r w:rsidRPr="007F3794">
        <w:t xml:space="preserve"> employment, </w:t>
      </w:r>
      <w:r>
        <w:t xml:space="preserve">earning an income, and </w:t>
      </w:r>
      <w:r w:rsidRPr="007F3794">
        <w:t xml:space="preserve">physical and mental </w:t>
      </w:r>
      <w:r>
        <w:t>wellbeing.</w:t>
      </w:r>
    </w:p>
    <w:p w:rsidR="00D92BE0" w:rsidRPr="007F3794" w:rsidRDefault="00D92BE0" w:rsidP="00D92BE0">
      <w:pPr>
        <w:jc w:val="both"/>
      </w:pPr>
    </w:p>
    <w:p w:rsidR="00D92BE0" w:rsidRDefault="00D92BE0" w:rsidP="00D92BE0">
      <w:r>
        <w:t>Education relates to lifelong learning. Commencing with</w:t>
      </w:r>
      <w:r w:rsidRPr="007F3794">
        <w:t xml:space="preserve"> formal education provided through</w:t>
      </w:r>
      <w:r>
        <w:t xml:space="preserve"> </w:t>
      </w:r>
      <w:r w:rsidRPr="004B4080">
        <w:rPr>
          <w:bCs/>
        </w:rPr>
        <w:t>Education faci</w:t>
      </w:r>
      <w:r>
        <w:rPr>
          <w:bCs/>
        </w:rPr>
        <w:t xml:space="preserve">lities, early learning, primary and secondary schools. </w:t>
      </w:r>
      <w:r>
        <w:t xml:space="preserve">Gaining </w:t>
      </w:r>
      <w:r w:rsidRPr="007F3794">
        <w:t xml:space="preserve">qualifications </w:t>
      </w:r>
      <w:r>
        <w:t xml:space="preserve">at </w:t>
      </w:r>
      <w:r w:rsidRPr="004B4080">
        <w:rPr>
          <w:bCs/>
        </w:rPr>
        <w:t>T</w:t>
      </w:r>
      <w:r>
        <w:rPr>
          <w:bCs/>
        </w:rPr>
        <w:t>echnical and Further Education (T</w:t>
      </w:r>
      <w:r w:rsidRPr="004B4080">
        <w:rPr>
          <w:bCs/>
        </w:rPr>
        <w:t>AFE</w:t>
      </w:r>
      <w:r>
        <w:rPr>
          <w:bCs/>
        </w:rPr>
        <w:t>) and</w:t>
      </w:r>
      <w:r w:rsidRPr="004B4080">
        <w:rPr>
          <w:bCs/>
        </w:rPr>
        <w:t xml:space="preserve"> Uni</w:t>
      </w:r>
      <w:r>
        <w:rPr>
          <w:bCs/>
        </w:rPr>
        <w:t xml:space="preserve">versity. </w:t>
      </w:r>
      <w:r>
        <w:t xml:space="preserve">With further opportunities available in </w:t>
      </w:r>
      <w:r w:rsidRPr="004B4080">
        <w:rPr>
          <w:bCs/>
        </w:rPr>
        <w:t xml:space="preserve">community facilities (libraries, neighbourhood houses, </w:t>
      </w:r>
      <w:r>
        <w:t>University of the third age (U3A)</w:t>
      </w:r>
      <w:r w:rsidRPr="004B4080">
        <w:rPr>
          <w:bCs/>
        </w:rPr>
        <w:t>), alternative education pathways,</w:t>
      </w:r>
      <w:r>
        <w:rPr>
          <w:bCs/>
        </w:rPr>
        <w:t xml:space="preserve"> community leadership programs and </w:t>
      </w:r>
      <w:r w:rsidRPr="004B4080">
        <w:rPr>
          <w:bCs/>
        </w:rPr>
        <w:t>communit</w:t>
      </w:r>
      <w:r>
        <w:rPr>
          <w:bCs/>
        </w:rPr>
        <w:t xml:space="preserve">y learning programs. </w:t>
      </w:r>
    </w:p>
    <w:p w:rsidR="00D92BE0" w:rsidRDefault="00D92BE0" w:rsidP="00D92BE0">
      <w:pPr>
        <w:pStyle w:val="Heading1"/>
      </w:pPr>
      <w:r>
        <w:t>What we know</w:t>
      </w:r>
      <w:r w:rsidRPr="00DE076E">
        <w:t xml:space="preserve"> </w:t>
      </w:r>
    </w:p>
    <w:p w:rsidR="00A978B5" w:rsidRDefault="00A978B5" w:rsidP="00D92BE0">
      <w:pPr>
        <w:pStyle w:val="Bulletlistmultilevel"/>
        <w:numPr>
          <w:ilvl w:val="0"/>
          <w:numId w:val="16"/>
        </w:numPr>
      </w:pPr>
      <w:r>
        <w:t>A larger percentage of people have no qualifications (4</w:t>
      </w:r>
      <w:r w:rsidR="00D35556">
        <w:t>2</w:t>
      </w:r>
      <w:r>
        <w:t xml:space="preserve">% compared to </w:t>
      </w:r>
      <w:r w:rsidR="00186A64">
        <w:t xml:space="preserve">the Greater Melbourne measure of </w:t>
      </w:r>
      <w:r w:rsidR="00D35556">
        <w:t>39</w:t>
      </w:r>
      <w:r>
        <w:t>%)</w:t>
      </w:r>
      <w:bookmarkStart w:id="1" w:name="_Ref513631159"/>
      <w:r>
        <w:rPr>
          <w:rStyle w:val="FootnoteReference"/>
        </w:rPr>
        <w:footnoteReference w:id="1"/>
      </w:r>
      <w:bookmarkEnd w:id="1"/>
      <w:r>
        <w:t>.</w:t>
      </w:r>
    </w:p>
    <w:p w:rsidR="00D92BE0" w:rsidRPr="006676D2" w:rsidRDefault="00D92BE0" w:rsidP="00D92BE0">
      <w:pPr>
        <w:pStyle w:val="Bulletlistmultilevel"/>
        <w:numPr>
          <w:ilvl w:val="0"/>
          <w:numId w:val="16"/>
        </w:numPr>
      </w:pPr>
      <w:r>
        <w:t>A smaller percentage of</w:t>
      </w:r>
      <w:r w:rsidRPr="006676D2">
        <w:t xml:space="preserve"> people aged over 1</w:t>
      </w:r>
      <w:r w:rsidR="00D35556">
        <w:t>9</w:t>
      </w:r>
      <w:r w:rsidRPr="006676D2">
        <w:t xml:space="preserve"> years h</w:t>
      </w:r>
      <w:r>
        <w:t xml:space="preserve">ave completed Year 12 schooling or equivalent (45% compared to the Greater Melbourne measure of </w:t>
      </w:r>
      <w:r w:rsidR="00D35556">
        <w:t>59</w:t>
      </w:r>
      <w:r>
        <w:t>%).</w:t>
      </w:r>
      <w:r w:rsidR="00D35556" w:rsidRPr="00D35556">
        <w:rPr>
          <w:rStyle w:val="FootnoteReference"/>
        </w:rPr>
        <w:fldChar w:fldCharType="begin"/>
      </w:r>
      <w:r w:rsidR="00D35556" w:rsidRPr="00D35556">
        <w:rPr>
          <w:rStyle w:val="FootnoteReference"/>
        </w:rPr>
        <w:instrText xml:space="preserve"> NOTEREF _Ref513631159 \h </w:instrText>
      </w:r>
      <w:r w:rsidR="00D35556">
        <w:rPr>
          <w:rStyle w:val="FootnoteReference"/>
        </w:rPr>
        <w:instrText xml:space="preserve"> \* MERGEFORMAT </w:instrText>
      </w:r>
      <w:r w:rsidR="00D35556" w:rsidRPr="00D35556">
        <w:rPr>
          <w:rStyle w:val="FootnoteReference"/>
        </w:rPr>
      </w:r>
      <w:r w:rsidR="00D35556" w:rsidRPr="00D35556">
        <w:rPr>
          <w:rStyle w:val="FootnoteReference"/>
        </w:rPr>
        <w:fldChar w:fldCharType="separate"/>
      </w:r>
      <w:r w:rsidR="00D35556" w:rsidRPr="00D35556">
        <w:rPr>
          <w:rStyle w:val="FootnoteReference"/>
        </w:rPr>
        <w:t>1</w:t>
      </w:r>
      <w:r w:rsidR="00D35556" w:rsidRPr="00D35556">
        <w:rPr>
          <w:rStyle w:val="FootnoteReference"/>
        </w:rPr>
        <w:fldChar w:fldCharType="end"/>
      </w:r>
    </w:p>
    <w:p w:rsidR="00D92BE0" w:rsidRPr="00FB761D" w:rsidRDefault="00D92BE0" w:rsidP="00D92BE0">
      <w:pPr>
        <w:pStyle w:val="Bulletlistmultilevel"/>
        <w:numPr>
          <w:ilvl w:val="0"/>
          <w:numId w:val="16"/>
        </w:numPr>
        <w:rPr>
          <w:lang w:eastAsia="en-US"/>
        </w:rPr>
      </w:pPr>
      <w:r>
        <w:rPr>
          <w:rFonts w:eastAsiaTheme="majorEastAsia"/>
          <w:lang w:eastAsia="en-US"/>
        </w:rPr>
        <w:t xml:space="preserve">A larger percent </w:t>
      </w:r>
      <w:r w:rsidRPr="00FB761D">
        <w:rPr>
          <w:rFonts w:eastAsiaTheme="majorEastAsia"/>
          <w:lang w:eastAsia="en-US"/>
        </w:rPr>
        <w:t>of residents has completed a vocational qualification (</w:t>
      </w:r>
      <w:r w:rsidR="00D35556">
        <w:rPr>
          <w:rFonts w:eastAsiaTheme="majorEastAsia"/>
          <w:lang w:eastAsia="en-US"/>
        </w:rPr>
        <w:t>25</w:t>
      </w:r>
      <w:r>
        <w:rPr>
          <w:rFonts w:eastAsiaTheme="majorEastAsia"/>
          <w:lang w:eastAsia="en-US"/>
        </w:rPr>
        <w:t>% compared to the Greater Melbourne measure of 15%).</w:t>
      </w:r>
      <w:r w:rsidR="00D35556" w:rsidRPr="00D35556">
        <w:rPr>
          <w:rStyle w:val="FootnoteReference"/>
        </w:rPr>
        <w:fldChar w:fldCharType="begin"/>
      </w:r>
      <w:r w:rsidR="00D35556" w:rsidRPr="00D35556">
        <w:rPr>
          <w:rStyle w:val="FootnoteReference"/>
        </w:rPr>
        <w:instrText xml:space="preserve"> NOTEREF _Ref513631159 \h </w:instrText>
      </w:r>
      <w:r w:rsidR="00D35556">
        <w:rPr>
          <w:rStyle w:val="FootnoteReference"/>
        </w:rPr>
        <w:instrText xml:space="preserve"> \* MERGEFORMAT </w:instrText>
      </w:r>
      <w:r w:rsidR="00D35556" w:rsidRPr="00D35556">
        <w:rPr>
          <w:rStyle w:val="FootnoteReference"/>
        </w:rPr>
      </w:r>
      <w:r w:rsidR="00D35556" w:rsidRPr="00D35556">
        <w:rPr>
          <w:rStyle w:val="FootnoteReference"/>
        </w:rPr>
        <w:fldChar w:fldCharType="separate"/>
      </w:r>
      <w:r w:rsidR="00D35556" w:rsidRPr="00D35556">
        <w:rPr>
          <w:rStyle w:val="FootnoteReference"/>
        </w:rPr>
        <w:t>1</w:t>
      </w:r>
      <w:r w:rsidR="00D35556" w:rsidRPr="00D35556">
        <w:rPr>
          <w:rStyle w:val="FootnoteReference"/>
        </w:rPr>
        <w:fldChar w:fldCharType="end"/>
      </w:r>
    </w:p>
    <w:p w:rsidR="00D92BE0" w:rsidRPr="00B53291" w:rsidRDefault="00D92BE0" w:rsidP="00D92BE0">
      <w:pPr>
        <w:pStyle w:val="Bulletlistmultilevel"/>
        <w:numPr>
          <w:ilvl w:val="0"/>
          <w:numId w:val="16"/>
        </w:numPr>
        <w:rPr>
          <w:lang w:eastAsia="en-US"/>
        </w:rPr>
      </w:pPr>
      <w:r>
        <w:rPr>
          <w:rFonts w:eastAsiaTheme="majorEastAsia"/>
          <w:lang w:eastAsia="en-US"/>
        </w:rPr>
        <w:t xml:space="preserve">A smaller percentage of residents have completed a qualification </w:t>
      </w:r>
      <w:r w:rsidR="00D35556">
        <w:rPr>
          <w:rFonts w:eastAsiaTheme="majorEastAsia"/>
          <w:lang w:eastAsia="en-US"/>
        </w:rPr>
        <w:t>at Bachelor degree level or higher</w:t>
      </w:r>
      <w:r>
        <w:rPr>
          <w:rFonts w:eastAsiaTheme="majorEastAsia"/>
          <w:lang w:eastAsia="en-US"/>
        </w:rPr>
        <w:t xml:space="preserve"> (</w:t>
      </w:r>
      <w:r w:rsidR="00D35556">
        <w:rPr>
          <w:rFonts w:eastAsiaTheme="majorEastAsia"/>
          <w:lang w:eastAsia="en-US"/>
        </w:rPr>
        <w:t>14</w:t>
      </w:r>
      <w:r>
        <w:rPr>
          <w:rFonts w:eastAsiaTheme="majorEastAsia"/>
          <w:lang w:eastAsia="en-US"/>
        </w:rPr>
        <w:t xml:space="preserve">% compared to the </w:t>
      </w:r>
      <w:r w:rsidRPr="00FB761D">
        <w:rPr>
          <w:rFonts w:eastAsiaTheme="majorEastAsia"/>
          <w:lang w:eastAsia="en-US"/>
        </w:rPr>
        <w:t>Greater Melbourne</w:t>
      </w:r>
      <w:r>
        <w:rPr>
          <w:rFonts w:eastAsiaTheme="majorEastAsia"/>
          <w:lang w:eastAsia="en-US"/>
        </w:rPr>
        <w:t xml:space="preserve"> measure of </w:t>
      </w:r>
      <w:r w:rsidR="00D35556">
        <w:rPr>
          <w:rFonts w:eastAsiaTheme="majorEastAsia"/>
          <w:lang w:eastAsia="en-US"/>
        </w:rPr>
        <w:t>28</w:t>
      </w:r>
      <w:r>
        <w:rPr>
          <w:rFonts w:eastAsiaTheme="majorEastAsia"/>
          <w:lang w:eastAsia="en-US"/>
        </w:rPr>
        <w:t>%</w:t>
      </w:r>
      <w:r w:rsidRPr="00FB761D">
        <w:rPr>
          <w:rFonts w:eastAsiaTheme="majorEastAsia"/>
          <w:lang w:eastAsia="en-US"/>
        </w:rPr>
        <w:t>)</w:t>
      </w:r>
      <w:r>
        <w:rPr>
          <w:rFonts w:eastAsiaTheme="majorEastAsia"/>
          <w:lang w:eastAsia="en-US"/>
        </w:rPr>
        <w:t>.</w:t>
      </w:r>
      <w:r w:rsidR="00D35556" w:rsidRPr="00D35556">
        <w:rPr>
          <w:rStyle w:val="FootnoteReference"/>
        </w:rPr>
        <w:fldChar w:fldCharType="begin"/>
      </w:r>
      <w:r w:rsidR="00D35556" w:rsidRPr="00D35556">
        <w:rPr>
          <w:rStyle w:val="FootnoteReference"/>
        </w:rPr>
        <w:instrText xml:space="preserve"> NOTEREF _Ref513631159 \h </w:instrText>
      </w:r>
      <w:r w:rsidR="00D35556">
        <w:rPr>
          <w:rStyle w:val="FootnoteReference"/>
        </w:rPr>
        <w:instrText xml:space="preserve"> \* MERGEFORMAT </w:instrText>
      </w:r>
      <w:r w:rsidR="00D35556" w:rsidRPr="00D35556">
        <w:rPr>
          <w:rStyle w:val="FootnoteReference"/>
        </w:rPr>
      </w:r>
      <w:r w:rsidR="00D35556" w:rsidRPr="00D35556">
        <w:rPr>
          <w:rStyle w:val="FootnoteReference"/>
        </w:rPr>
        <w:fldChar w:fldCharType="separate"/>
      </w:r>
      <w:r w:rsidR="00D35556" w:rsidRPr="00D35556">
        <w:rPr>
          <w:rStyle w:val="FootnoteReference"/>
        </w:rPr>
        <w:t>1</w:t>
      </w:r>
      <w:r w:rsidR="00D35556" w:rsidRPr="00D35556">
        <w:rPr>
          <w:rStyle w:val="FootnoteReference"/>
        </w:rPr>
        <w:fldChar w:fldCharType="end"/>
      </w:r>
    </w:p>
    <w:p w:rsidR="00D92BE0" w:rsidRDefault="00D92BE0" w:rsidP="00D92BE0">
      <w:pPr>
        <w:pStyle w:val="Bulletlistmultilevel"/>
        <w:numPr>
          <w:ilvl w:val="0"/>
          <w:numId w:val="16"/>
        </w:numPr>
        <w:rPr>
          <w:lang w:eastAsia="en-US"/>
        </w:rPr>
      </w:pPr>
      <w:r>
        <w:rPr>
          <w:rFonts w:eastAsiaTheme="majorEastAsia"/>
          <w:lang w:eastAsia="en-US"/>
        </w:rPr>
        <w:t xml:space="preserve">Percentage of Year 9 students attaining national minimum literacy standards at </w:t>
      </w:r>
      <w:r w:rsidR="00D35556">
        <w:rPr>
          <w:lang w:eastAsia="en-US"/>
        </w:rPr>
        <w:t>88.8</w:t>
      </w:r>
      <w:r>
        <w:rPr>
          <w:lang w:eastAsia="en-US"/>
        </w:rPr>
        <w:t xml:space="preserve">%, is </w:t>
      </w:r>
      <w:r w:rsidR="00D35556">
        <w:rPr>
          <w:lang w:eastAsia="en-US"/>
        </w:rPr>
        <w:t>lower than the</w:t>
      </w:r>
      <w:r>
        <w:rPr>
          <w:lang w:eastAsia="en-US"/>
        </w:rPr>
        <w:t xml:space="preserve"> State measure of 9</w:t>
      </w:r>
      <w:r w:rsidR="00D35556">
        <w:rPr>
          <w:lang w:eastAsia="en-US"/>
        </w:rPr>
        <w:t>4</w:t>
      </w:r>
      <w:r>
        <w:rPr>
          <w:lang w:eastAsia="en-US"/>
        </w:rPr>
        <w:t>%.</w:t>
      </w:r>
      <w:bookmarkStart w:id="2" w:name="_Ref513631764"/>
      <w:r w:rsidR="00D35556">
        <w:rPr>
          <w:rStyle w:val="FootnoteReference"/>
          <w:lang w:eastAsia="en-US"/>
        </w:rPr>
        <w:footnoteReference w:id="2"/>
      </w:r>
      <w:bookmarkEnd w:id="2"/>
    </w:p>
    <w:p w:rsidR="00D92BE0" w:rsidRDefault="00D92BE0" w:rsidP="00D92BE0">
      <w:pPr>
        <w:pStyle w:val="Bulletlistmultilevel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Percentage of Year 9 students who are attaining national minimum numeracy standards at </w:t>
      </w:r>
      <w:r w:rsidR="00D35556">
        <w:rPr>
          <w:lang w:eastAsia="en-US"/>
        </w:rPr>
        <w:t>95</w:t>
      </w:r>
      <w:r>
        <w:rPr>
          <w:lang w:eastAsia="en-US"/>
        </w:rPr>
        <w:t>%, is comparable to the State measure of 95.6%.</w:t>
      </w:r>
      <w:r w:rsidR="00D35556">
        <w:rPr>
          <w:rStyle w:val="FootnoteReference"/>
          <w:lang w:eastAsia="en-US"/>
        </w:rPr>
        <w:footnoteReference w:id="3"/>
      </w:r>
    </w:p>
    <w:p w:rsidR="00D92BE0" w:rsidRDefault="00D92BE0" w:rsidP="00D92BE0">
      <w:pPr>
        <w:pStyle w:val="Bulletlistmultilevel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Percentage of people 19 years old having completed year 12 at </w:t>
      </w:r>
      <w:r w:rsidR="00D35556">
        <w:rPr>
          <w:lang w:eastAsia="en-US"/>
        </w:rPr>
        <w:t>66.5</w:t>
      </w:r>
      <w:r>
        <w:rPr>
          <w:lang w:eastAsia="en-US"/>
        </w:rPr>
        <w:t xml:space="preserve">%, is </w:t>
      </w:r>
      <w:r w:rsidR="00186A64">
        <w:rPr>
          <w:lang w:eastAsia="en-US"/>
        </w:rPr>
        <w:t>smaller than</w:t>
      </w:r>
      <w:r>
        <w:rPr>
          <w:lang w:eastAsia="en-US"/>
        </w:rPr>
        <w:t xml:space="preserve"> the State measure of </w:t>
      </w:r>
      <w:r w:rsidR="00D35556">
        <w:rPr>
          <w:lang w:eastAsia="en-US"/>
        </w:rPr>
        <w:t>77.7</w:t>
      </w:r>
      <w:r>
        <w:rPr>
          <w:lang w:eastAsia="en-US"/>
        </w:rPr>
        <w:t>%.</w:t>
      </w:r>
      <w:bookmarkStart w:id="3" w:name="_Ref513632100"/>
      <w:r w:rsidR="00D35556">
        <w:rPr>
          <w:rStyle w:val="FootnoteReference"/>
          <w:lang w:eastAsia="en-US"/>
        </w:rPr>
        <w:footnoteReference w:id="4"/>
      </w:r>
      <w:bookmarkEnd w:id="3"/>
    </w:p>
    <w:p w:rsidR="00D92BE0" w:rsidRDefault="00D92BE0" w:rsidP="00D92BE0">
      <w:pPr>
        <w:pStyle w:val="Bulletlistmultilevel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 xml:space="preserve">People who did not complete year 12 is </w:t>
      </w:r>
      <w:r w:rsidR="00CC0A4B">
        <w:rPr>
          <w:lang w:eastAsia="en-US"/>
        </w:rPr>
        <w:t>48</w:t>
      </w:r>
      <w:r>
        <w:rPr>
          <w:lang w:eastAsia="en-US"/>
        </w:rPr>
        <w:t xml:space="preserve">%, </w:t>
      </w:r>
      <w:r w:rsidR="00186A64">
        <w:rPr>
          <w:lang w:eastAsia="en-US"/>
        </w:rPr>
        <w:t>larger</w:t>
      </w:r>
      <w:r>
        <w:rPr>
          <w:lang w:eastAsia="en-US"/>
        </w:rPr>
        <w:t xml:space="preserve"> than the State measure of </w:t>
      </w:r>
      <w:r w:rsidR="00CC0A4B">
        <w:rPr>
          <w:lang w:eastAsia="en-US"/>
        </w:rPr>
        <w:t>37</w:t>
      </w:r>
      <w:r>
        <w:rPr>
          <w:lang w:eastAsia="en-US"/>
        </w:rPr>
        <w:t>%.</w:t>
      </w:r>
      <w:r w:rsidR="00CC0A4B" w:rsidRPr="00CC0A4B">
        <w:rPr>
          <w:rStyle w:val="FootnoteReference"/>
        </w:rPr>
        <w:fldChar w:fldCharType="begin"/>
      </w:r>
      <w:r w:rsidR="00CC0A4B" w:rsidRPr="00CC0A4B">
        <w:rPr>
          <w:rStyle w:val="FootnoteReference"/>
        </w:rPr>
        <w:instrText xml:space="preserve"> NOTEREF _Ref513632100 \h </w:instrText>
      </w:r>
      <w:r w:rsidR="00CC0A4B">
        <w:rPr>
          <w:rStyle w:val="FootnoteReference"/>
        </w:rPr>
        <w:instrText xml:space="preserve"> \* MERGEFORMAT </w:instrText>
      </w:r>
      <w:r w:rsidR="00CC0A4B" w:rsidRPr="00CC0A4B">
        <w:rPr>
          <w:rStyle w:val="FootnoteReference"/>
        </w:rPr>
      </w:r>
      <w:r w:rsidR="00CC0A4B" w:rsidRPr="00CC0A4B">
        <w:rPr>
          <w:rStyle w:val="FootnoteReference"/>
        </w:rPr>
        <w:fldChar w:fldCharType="separate"/>
      </w:r>
      <w:r w:rsidR="00CC0A4B" w:rsidRPr="00CC0A4B">
        <w:rPr>
          <w:rStyle w:val="FootnoteReference"/>
        </w:rPr>
        <w:t>4</w:t>
      </w:r>
      <w:r w:rsidR="00CC0A4B" w:rsidRPr="00CC0A4B">
        <w:rPr>
          <w:rStyle w:val="FootnoteReference"/>
        </w:rPr>
        <w:fldChar w:fldCharType="end"/>
      </w:r>
    </w:p>
    <w:p w:rsidR="00D92BE0" w:rsidRDefault="00D92BE0" w:rsidP="00D92BE0">
      <w:pPr>
        <w:pStyle w:val="Bulletlistmultilevel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There are 62.9% of students attending public schools, comparable to the State measure of 61.4%.</w:t>
      </w:r>
      <w:r>
        <w:rPr>
          <w:rStyle w:val="FootnoteReference"/>
          <w:lang w:eastAsia="en-US"/>
        </w:rPr>
        <w:footnoteReference w:id="5"/>
      </w:r>
    </w:p>
    <w:p w:rsidR="00D92BE0" w:rsidRDefault="00D92BE0" w:rsidP="00D92BE0">
      <w:pPr>
        <w:pStyle w:val="Bulletlistmultilevel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Kindergarten participation rate is 100.8%</w:t>
      </w:r>
      <w:r>
        <w:rPr>
          <w:rStyle w:val="FootnoteReference"/>
          <w:lang w:eastAsia="en-US"/>
        </w:rPr>
        <w:footnoteReference w:id="6"/>
      </w:r>
    </w:p>
    <w:p w:rsidR="00D92BE0" w:rsidRPr="00FB761D" w:rsidRDefault="00CC0A4B" w:rsidP="00D92BE0">
      <w:pPr>
        <w:pStyle w:val="Bulletlistmultilevel"/>
        <w:numPr>
          <w:ilvl w:val="0"/>
          <w:numId w:val="16"/>
        </w:numPr>
        <w:rPr>
          <w:lang w:eastAsia="en-US"/>
        </w:rPr>
      </w:pPr>
      <w:r>
        <w:rPr>
          <w:lang w:eastAsia="en-US"/>
        </w:rPr>
        <w:t>An</w:t>
      </w:r>
      <w:r w:rsidR="00D92BE0">
        <w:rPr>
          <w:lang w:eastAsia="en-US"/>
        </w:rPr>
        <w:t xml:space="preserve"> increase</w:t>
      </w:r>
      <w:r>
        <w:rPr>
          <w:lang w:eastAsia="en-US"/>
        </w:rPr>
        <w:t xml:space="preserve"> has been noted</w:t>
      </w:r>
      <w:r w:rsidR="00D92BE0">
        <w:rPr>
          <w:lang w:eastAsia="en-US"/>
        </w:rPr>
        <w:t xml:space="preserve"> in the number of children who are vulnerable on the domains of Physical health and wellbeing, social competence and emotional maturity</w:t>
      </w:r>
      <w:r w:rsidR="00D92BE0">
        <w:rPr>
          <w:rStyle w:val="FootnoteReference"/>
          <w:lang w:eastAsia="en-US"/>
        </w:rPr>
        <w:footnoteReference w:id="7"/>
      </w:r>
    </w:p>
    <w:p w:rsidR="00D92BE0" w:rsidRDefault="00D92BE0" w:rsidP="00D92BE0">
      <w:pPr>
        <w:pStyle w:val="Heading1"/>
      </w:pPr>
      <w:r>
        <w:lastRenderedPageBreak/>
        <w:t>What we will do</w:t>
      </w:r>
    </w:p>
    <w:p w:rsidR="00D92BE0" w:rsidRDefault="00D92BE0" w:rsidP="00D92BE0">
      <w:pPr>
        <w:rPr>
          <w:lang w:eastAsia="en-US"/>
        </w:rPr>
      </w:pPr>
      <w:r>
        <w:rPr>
          <w:lang w:eastAsia="en-US"/>
        </w:rPr>
        <w:t>Over the life of the Liveability Health Plan we expect to see an increase in participation in local education. This will be achieved by focusing on the following strategies:</w:t>
      </w:r>
    </w:p>
    <w:p w:rsidR="00D92BE0" w:rsidRDefault="00D92BE0" w:rsidP="00D92BE0">
      <w:pPr>
        <w:pStyle w:val="Bulletlistmultilevel"/>
        <w:numPr>
          <w:ilvl w:val="0"/>
          <w:numId w:val="16"/>
        </w:num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Planning for education and training facilities which meet the diverse needs of a growing population.</w:t>
      </w:r>
    </w:p>
    <w:p w:rsidR="00D92BE0" w:rsidRDefault="00D92BE0" w:rsidP="00D92BE0">
      <w:pPr>
        <w:pStyle w:val="Bulletlistmultilevel"/>
        <w:numPr>
          <w:ilvl w:val="0"/>
          <w:numId w:val="16"/>
        </w:num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Advocating for and facilitating improved access and opportunities for continuous learning and employment pathways.</w:t>
      </w:r>
    </w:p>
    <w:p w:rsidR="00D92BE0" w:rsidRDefault="00D92BE0" w:rsidP="00D92BE0">
      <w:pPr>
        <w:pStyle w:val="Bulletlistmultilevel"/>
        <w:numPr>
          <w:ilvl w:val="0"/>
          <w:numId w:val="16"/>
        </w:num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 xml:space="preserve">Supporting </w:t>
      </w:r>
      <w:r w:rsidRPr="009228AD">
        <w:rPr>
          <w:rFonts w:eastAsiaTheme="majorEastAsia"/>
          <w:lang w:eastAsia="en-US"/>
        </w:rPr>
        <w:t>early childhood e</w:t>
      </w:r>
      <w:r>
        <w:rPr>
          <w:rFonts w:eastAsiaTheme="majorEastAsia"/>
          <w:lang w:eastAsia="en-US"/>
        </w:rPr>
        <w:t xml:space="preserve">ducation centres and schools to be healthy places for children </w:t>
      </w:r>
      <w:r w:rsidRPr="009228AD">
        <w:rPr>
          <w:rFonts w:eastAsiaTheme="majorEastAsia"/>
          <w:lang w:eastAsia="en-US"/>
        </w:rPr>
        <w:t>and young people to learn</w:t>
      </w:r>
      <w:r>
        <w:rPr>
          <w:rFonts w:eastAsiaTheme="majorEastAsia"/>
          <w:lang w:eastAsia="en-US"/>
        </w:rPr>
        <w:t>.</w:t>
      </w:r>
    </w:p>
    <w:p w:rsidR="00D92BE0" w:rsidRPr="00FB761D" w:rsidRDefault="00D92BE0" w:rsidP="00D92BE0">
      <w:pPr>
        <w:pStyle w:val="Bulletlistmultilevel"/>
        <w:numPr>
          <w:ilvl w:val="0"/>
          <w:numId w:val="16"/>
        </w:numPr>
        <w:rPr>
          <w:lang w:eastAsia="en-US"/>
        </w:rPr>
      </w:pPr>
      <w:r>
        <w:rPr>
          <w:rFonts w:eastAsiaTheme="majorEastAsia"/>
          <w:lang w:eastAsia="en-US"/>
        </w:rPr>
        <w:t>Promoting learning through nature, arts and cultural experiences.</w:t>
      </w:r>
    </w:p>
    <w:p w:rsidR="00D92BE0" w:rsidRPr="00546E2C" w:rsidRDefault="00D92BE0" w:rsidP="00D92BE0">
      <w:pPr>
        <w:pStyle w:val="Heading1"/>
      </w:pPr>
      <w:r w:rsidRPr="00546E2C">
        <w:t>Contact us</w:t>
      </w:r>
    </w:p>
    <w:p w:rsidR="00B64B83" w:rsidRDefault="00D92BE0" w:rsidP="00D92BE0">
      <w:p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 xml:space="preserve">For more information contact Social and Community Planning on 1300 787 624 or email </w:t>
      </w:r>
      <w:hyperlink r:id="rId10" w:history="1">
        <w:r w:rsidRPr="007531B8">
          <w:rPr>
            <w:rStyle w:val="Hyperlink"/>
            <w:rFonts w:eastAsiaTheme="majorEastAsia"/>
          </w:rPr>
          <w:t>mail@cardinia.vic.gov.au</w:t>
        </w:r>
      </w:hyperlink>
      <w:r>
        <w:rPr>
          <w:rFonts w:eastAsiaTheme="majorEastAsia"/>
          <w:lang w:eastAsia="en-US"/>
        </w:rPr>
        <w:t>.</w:t>
      </w:r>
    </w:p>
    <w:p w:rsidR="0040139F" w:rsidRDefault="0040139F" w:rsidP="00D92BE0">
      <w:pPr>
        <w:rPr>
          <w:rFonts w:eastAsiaTheme="majorEastAsia"/>
          <w:lang w:eastAsia="en-US"/>
        </w:rPr>
      </w:pPr>
    </w:p>
    <w:p w:rsidR="0040139F" w:rsidRDefault="0040139F" w:rsidP="00D92BE0">
      <w:pPr>
        <w:rPr>
          <w:rFonts w:eastAsiaTheme="majorEastAsia"/>
          <w:lang w:eastAsia="en-US"/>
        </w:rPr>
      </w:pPr>
    </w:p>
    <w:p w:rsidR="0040139F" w:rsidRDefault="0040139F" w:rsidP="00D92BE0">
      <w:pPr>
        <w:rPr>
          <w:rFonts w:eastAsiaTheme="majorEastAsia"/>
          <w:lang w:eastAsia="en-US"/>
        </w:rPr>
      </w:pPr>
    </w:p>
    <w:p w:rsidR="0040139F" w:rsidRDefault="0040139F" w:rsidP="00D92BE0">
      <w:pPr>
        <w:rPr>
          <w:rFonts w:eastAsiaTheme="majorEastAsia"/>
          <w:lang w:eastAsia="en-US"/>
        </w:rPr>
      </w:pPr>
    </w:p>
    <w:p w:rsidR="0040139F" w:rsidRPr="0040139F" w:rsidRDefault="0040139F" w:rsidP="00D92BE0">
      <w:pPr>
        <w:rPr>
          <w:i/>
          <w:color w:val="808080" w:themeColor="background1" w:themeShade="80"/>
        </w:rPr>
      </w:pPr>
      <w:r w:rsidRPr="0040139F">
        <w:rPr>
          <w:rFonts w:eastAsiaTheme="majorEastAsia"/>
          <w:i/>
          <w:color w:val="808080" w:themeColor="background1" w:themeShade="80"/>
          <w:lang w:eastAsia="en-US"/>
        </w:rPr>
        <w:t>Last update: 9 May 2018</w:t>
      </w:r>
    </w:p>
    <w:sectPr w:rsidR="0040139F" w:rsidRPr="0040139F" w:rsidSect="006C4F09">
      <w:headerReference w:type="default" r:id="rId11"/>
      <w:footerReference w:type="default" r:id="rId12"/>
      <w:headerReference w:type="first" r:id="rId13"/>
      <w:pgSz w:w="11906" w:h="16838" w:code="9"/>
      <w:pgMar w:top="3686" w:right="992" w:bottom="1276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E0" w:rsidRDefault="00D92BE0" w:rsidP="00756052">
      <w:r>
        <w:separator/>
      </w:r>
    </w:p>
    <w:p w:rsidR="00D92BE0" w:rsidRDefault="00D92BE0"/>
  </w:endnote>
  <w:endnote w:type="continuationSeparator" w:id="0">
    <w:p w:rsidR="00D92BE0" w:rsidRDefault="00D92BE0" w:rsidP="00756052">
      <w:r>
        <w:continuationSeparator/>
      </w:r>
    </w:p>
    <w:p w:rsidR="00D92BE0" w:rsidRDefault="00D92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BF" w:rsidRDefault="00793CBF" w:rsidP="00793CBF">
    <w:pPr>
      <w:pStyle w:val="Footer"/>
      <w:pBdr>
        <w:top w:val="single" w:sz="4" w:space="3" w:color="auto"/>
      </w:pBdr>
      <w:tabs>
        <w:tab w:val="clear" w:pos="8820"/>
        <w:tab w:val="right" w:pos="9781"/>
      </w:tabs>
    </w:pPr>
    <w:r w:rsidRPr="00334E7E">
      <w:rPr>
        <w:rStyle w:val="FooterboldChar"/>
        <w:rFonts w:eastAsiaTheme="majorEastAsia"/>
        <w:i/>
      </w:rPr>
      <w:t>Cardinia Shire Council</w:t>
    </w:r>
    <w:r w:rsidR="00D92BE0">
      <w:rPr>
        <w:i/>
        <w:szCs w:val="18"/>
      </w:rPr>
      <w:tab/>
    </w:r>
    <w:r w:rsidRPr="00334E7E">
      <w:rPr>
        <w:i/>
        <w:szCs w:val="18"/>
      </w:rPr>
      <w:fldChar w:fldCharType="begin"/>
    </w:r>
    <w:r w:rsidRPr="00334E7E">
      <w:rPr>
        <w:i/>
        <w:szCs w:val="18"/>
      </w:rPr>
      <w:instrText xml:space="preserve"> PAGE   \* MERGEFORMAT </w:instrText>
    </w:r>
    <w:r w:rsidRPr="00334E7E">
      <w:rPr>
        <w:i/>
        <w:szCs w:val="18"/>
      </w:rPr>
      <w:fldChar w:fldCharType="separate"/>
    </w:r>
    <w:r w:rsidR="008B6899">
      <w:rPr>
        <w:i/>
        <w:noProof/>
        <w:szCs w:val="18"/>
      </w:rPr>
      <w:t>2</w:t>
    </w:r>
    <w:r w:rsidRPr="00334E7E">
      <w:rPr>
        <w:i/>
        <w:noProof/>
        <w:szCs w:val="18"/>
      </w:rPr>
      <w:fldChar w:fldCharType="end"/>
    </w:r>
    <w:r w:rsidR="00D92BE0">
      <w:rPr>
        <w:i/>
        <w:noProof/>
        <w:szCs w:val="18"/>
      </w:rPr>
      <w:tab/>
      <w:t>Prepared 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E0" w:rsidRDefault="00D92BE0" w:rsidP="00756052">
      <w:r>
        <w:separator/>
      </w:r>
    </w:p>
    <w:p w:rsidR="00D92BE0" w:rsidRDefault="00D92BE0"/>
  </w:footnote>
  <w:footnote w:type="continuationSeparator" w:id="0">
    <w:p w:rsidR="00D92BE0" w:rsidRDefault="00D92BE0" w:rsidP="00756052">
      <w:r>
        <w:continuationSeparator/>
      </w:r>
    </w:p>
    <w:p w:rsidR="00D92BE0" w:rsidRDefault="00D92BE0"/>
  </w:footnote>
  <w:footnote w:id="1">
    <w:p w:rsidR="00A978B5" w:rsidRDefault="00A978B5">
      <w:pPr>
        <w:pStyle w:val="FootnoteText"/>
      </w:pPr>
      <w:r>
        <w:rPr>
          <w:rStyle w:val="FootnoteReference"/>
        </w:rPr>
        <w:footnoteRef/>
      </w:r>
      <w:r w:rsidR="00D35556">
        <w:t xml:space="preserve"> .id community, 2016</w:t>
      </w:r>
      <w:r>
        <w:t xml:space="preserve"> Census data</w:t>
      </w:r>
    </w:p>
  </w:footnote>
  <w:footnote w:id="2">
    <w:p w:rsidR="00D35556" w:rsidRDefault="00D35556">
      <w:pPr>
        <w:pStyle w:val="FootnoteText"/>
      </w:pPr>
      <w:r>
        <w:rPr>
          <w:rStyle w:val="FootnoteReference"/>
        </w:rPr>
        <w:footnoteRef/>
      </w:r>
      <w:r>
        <w:t xml:space="preserve"> VCAMS 2015 </w:t>
      </w:r>
      <w:hyperlink r:id="rId1" w:history="1">
        <w:r w:rsidRPr="00C424B0">
          <w:rPr>
            <w:rStyle w:val="Hyperlink"/>
          </w:rPr>
          <w:t>https://www.data.vic.gov.au/data/dataset/vcams-percentage-of-students-achieving-national-benchmark-in-literacy</w:t>
        </w:r>
      </w:hyperlink>
      <w:r>
        <w:t xml:space="preserve"> </w:t>
      </w:r>
    </w:p>
  </w:footnote>
  <w:footnote w:id="3">
    <w:p w:rsidR="00D35556" w:rsidRDefault="00D35556">
      <w:pPr>
        <w:pStyle w:val="FootnoteText"/>
      </w:pPr>
      <w:r>
        <w:rPr>
          <w:rStyle w:val="FootnoteReference"/>
        </w:rPr>
        <w:footnoteRef/>
      </w:r>
      <w:r>
        <w:t xml:space="preserve"> VCAMS 2015 </w:t>
      </w:r>
      <w:hyperlink r:id="rId2" w:history="1">
        <w:r w:rsidRPr="00C424B0">
          <w:rPr>
            <w:rStyle w:val="Hyperlink"/>
          </w:rPr>
          <w:t>https://www.data.vic.gov.au/data/dataset/vcams-percentage-of-students-achieving-national-benchmark-in-numeracy</w:t>
        </w:r>
      </w:hyperlink>
      <w:r>
        <w:t xml:space="preserve"> </w:t>
      </w:r>
    </w:p>
  </w:footnote>
  <w:footnote w:id="4">
    <w:p w:rsidR="00D35556" w:rsidRDefault="00D35556">
      <w:pPr>
        <w:pStyle w:val="FootnoteText"/>
      </w:pPr>
      <w:r>
        <w:rPr>
          <w:rStyle w:val="FootnoteReference"/>
        </w:rPr>
        <w:footnoteRef/>
      </w:r>
      <w:r>
        <w:t xml:space="preserve"> 2016 Census calculated using </w:t>
      </w:r>
      <w:proofErr w:type="spellStart"/>
      <w:r>
        <w:t>tablebuilder</w:t>
      </w:r>
      <w:proofErr w:type="spellEnd"/>
    </w:p>
  </w:footnote>
  <w:footnote w:id="5">
    <w:p w:rsidR="00D92BE0" w:rsidRDefault="00D92BE0" w:rsidP="00D92BE0">
      <w:r>
        <w:rPr>
          <w:rStyle w:val="FootnoteReference"/>
        </w:rPr>
        <w:footnoteRef/>
      </w:r>
      <w:r>
        <w:t xml:space="preserve"> </w:t>
      </w:r>
      <w:r w:rsidRPr="00B53291">
        <w:rPr>
          <w:sz w:val="18"/>
          <w:szCs w:val="18"/>
        </w:rPr>
        <w:t>Department of Health and Human Ser</w:t>
      </w:r>
      <w:r w:rsidR="00C95A85">
        <w:rPr>
          <w:sz w:val="18"/>
          <w:szCs w:val="18"/>
        </w:rPr>
        <w:t>vices, Cardinia S Profile, 2015</w:t>
      </w:r>
    </w:p>
  </w:footnote>
  <w:footnote w:id="6">
    <w:p w:rsidR="00D92BE0" w:rsidRDefault="00D92BE0" w:rsidP="00D92BE0">
      <w:pPr>
        <w:pStyle w:val="FootnoteText"/>
      </w:pPr>
      <w:r>
        <w:rPr>
          <w:rStyle w:val="FootnoteReference"/>
        </w:rPr>
        <w:footnoteRef/>
      </w:r>
      <w:r>
        <w:t xml:space="preserve"> Department of Education and Training, LGA Profile 2015</w:t>
      </w:r>
    </w:p>
  </w:footnote>
  <w:footnote w:id="7">
    <w:p w:rsidR="00D92BE0" w:rsidRDefault="00D92BE0" w:rsidP="00D92BE0">
      <w:pPr>
        <w:pStyle w:val="FootnoteText"/>
      </w:pPr>
      <w:r>
        <w:rPr>
          <w:rStyle w:val="FootnoteReference"/>
        </w:rPr>
        <w:footnoteRef/>
      </w:r>
      <w:r>
        <w:t xml:space="preserve"> Department of Education and Training, Australia</w:t>
      </w:r>
      <w:r w:rsidR="00C95A85">
        <w:t>n Early Development Census 2015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A5" w:rsidRDefault="004F26A5" w:rsidP="004F26A5">
    <w:pPr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2336" behindDoc="0" locked="0" layoutInCell="1" allowOverlap="1" wp14:anchorId="3DA0876E" wp14:editId="527862BF">
          <wp:simplePos x="0" y="0"/>
          <wp:positionH relativeFrom="page">
            <wp:posOffset>5678170</wp:posOffset>
          </wp:positionH>
          <wp:positionV relativeFrom="page">
            <wp:posOffset>360045</wp:posOffset>
          </wp:positionV>
          <wp:extent cx="1440000" cy="849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iaSC_Logo_Rev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3360" behindDoc="1" locked="0" layoutInCell="0" allowOverlap="1" wp14:anchorId="6F7126C8" wp14:editId="62E9A7FC">
          <wp:simplePos x="0" y="0"/>
          <wp:positionH relativeFrom="page">
            <wp:posOffset>-31898</wp:posOffset>
          </wp:positionH>
          <wp:positionV relativeFrom="page">
            <wp:posOffset>-10633</wp:posOffset>
          </wp:positionV>
          <wp:extent cx="7632185" cy="2477386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fact-sheet-artwork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194" cy="247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32"/>
      </w:rPr>
      <w:t>Cardinia Shire Council</w:t>
    </w:r>
  </w:p>
  <w:p w:rsidR="004F26A5" w:rsidRDefault="004F26A5" w:rsidP="004F26A5">
    <w:pPr>
      <w:pStyle w:val="Title"/>
    </w:pPr>
    <w:r>
      <w:t>Education</w:t>
    </w:r>
  </w:p>
  <w:p w:rsidR="004F26A5" w:rsidRPr="00D92BE0" w:rsidRDefault="004F26A5" w:rsidP="004F26A5">
    <w:pPr>
      <w:pStyle w:val="Title"/>
      <w:spacing w:before="0"/>
      <w:rPr>
        <w:rFonts w:asciiTheme="minorHAnsi" w:hAnsiTheme="minorHAnsi"/>
      </w:rPr>
    </w:pPr>
    <w:r w:rsidRPr="00D92BE0">
      <w:rPr>
        <w:rFonts w:asciiTheme="minorHAnsi" w:hAnsiTheme="minorHAnsi"/>
        <w:sz w:val="36"/>
        <w:szCs w:val="36"/>
      </w:rPr>
      <w:t>Liveability domain #2</w:t>
    </w:r>
  </w:p>
  <w:p w:rsidR="004F26A5" w:rsidRDefault="004F2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39" w:rsidRDefault="002A7F39" w:rsidP="002A7F39">
    <w:pPr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59264" behindDoc="0" locked="0" layoutInCell="1" allowOverlap="1" wp14:anchorId="0AA8A7F2" wp14:editId="033FB068">
          <wp:simplePos x="0" y="0"/>
          <wp:positionH relativeFrom="page">
            <wp:posOffset>5678170</wp:posOffset>
          </wp:positionH>
          <wp:positionV relativeFrom="page">
            <wp:posOffset>360045</wp:posOffset>
          </wp:positionV>
          <wp:extent cx="1440000" cy="849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iaSC_Logo_Rev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1" locked="0" layoutInCell="0" allowOverlap="1" wp14:anchorId="3D5F2FD1" wp14:editId="07BA3AF3">
          <wp:simplePos x="0" y="0"/>
          <wp:positionH relativeFrom="page">
            <wp:posOffset>-31898</wp:posOffset>
          </wp:positionH>
          <wp:positionV relativeFrom="page">
            <wp:posOffset>-10633</wp:posOffset>
          </wp:positionV>
          <wp:extent cx="7632185" cy="2477386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fact-sheet-artwork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194" cy="247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32"/>
      </w:rPr>
      <w:t>Cardinia Shire Council</w:t>
    </w:r>
  </w:p>
  <w:p w:rsidR="00D92BE0" w:rsidRDefault="00D92BE0" w:rsidP="00D92BE0">
    <w:pPr>
      <w:pStyle w:val="Title"/>
    </w:pPr>
    <w:r>
      <w:t>Education</w:t>
    </w:r>
  </w:p>
  <w:p w:rsidR="002A7F39" w:rsidRPr="00D92BE0" w:rsidRDefault="00D92BE0" w:rsidP="00D92BE0">
    <w:pPr>
      <w:pStyle w:val="Title"/>
      <w:spacing w:before="0"/>
      <w:rPr>
        <w:rFonts w:asciiTheme="minorHAnsi" w:hAnsiTheme="minorHAnsi"/>
      </w:rPr>
    </w:pPr>
    <w:r w:rsidRPr="00D92BE0">
      <w:rPr>
        <w:rFonts w:asciiTheme="minorHAnsi" w:hAnsiTheme="minorHAnsi"/>
        <w:sz w:val="36"/>
        <w:szCs w:val="36"/>
      </w:rPr>
      <w:t>Liveability domain #2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2380285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CA2538"/>
    <w:multiLevelType w:val="multilevel"/>
    <w:tmpl w:val="DDCC9C7E"/>
    <w:styleLink w:val="CSCtablenumberlist"/>
    <w:lvl w:ilvl="0">
      <w:start w:val="1"/>
      <w:numFmt w:val="decimal"/>
      <w:pStyle w:val="Tablenumberedlist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pStyle w:val="Tablenumberlevel2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7" w15:restartNumberingAfterBreak="0">
    <w:nsid w:val="2E6053F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CC7020"/>
    <w:multiLevelType w:val="hybridMultilevel"/>
    <w:tmpl w:val="BC22E160"/>
    <w:lvl w:ilvl="0" w:tplc="DA7A27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ECAC7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E54B0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CF88102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CC630F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9BCEC4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ABEB84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7227F7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A54B43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3084F6F"/>
    <w:multiLevelType w:val="multilevel"/>
    <w:tmpl w:val="DDC42E4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E4E4FB1"/>
    <w:multiLevelType w:val="multilevel"/>
    <w:tmpl w:val="CF34B204"/>
    <w:styleLink w:val="CSCTablebulletlist"/>
    <w:lvl w:ilvl="0">
      <w:start w:val="1"/>
      <w:numFmt w:val="bullet"/>
      <w:pStyle w:val="Tablebulletlis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pStyle w:val="Tablebullet2CSC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12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  <w:num w:numId="14">
    <w:abstractNumId w:val="5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0"/>
  </w:num>
  <w:num w:numId="20">
    <w:abstractNumId w:val="0"/>
  </w:num>
  <w:num w:numId="2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E0"/>
    <w:rsid w:val="00002076"/>
    <w:rsid w:val="0000276F"/>
    <w:rsid w:val="00003EF1"/>
    <w:rsid w:val="000065FA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3997"/>
    <w:rsid w:val="00064A68"/>
    <w:rsid w:val="00065254"/>
    <w:rsid w:val="00065C0D"/>
    <w:rsid w:val="00074A01"/>
    <w:rsid w:val="0008005A"/>
    <w:rsid w:val="0008026E"/>
    <w:rsid w:val="00082AD3"/>
    <w:rsid w:val="000851DC"/>
    <w:rsid w:val="00092F88"/>
    <w:rsid w:val="00092FBA"/>
    <w:rsid w:val="00093396"/>
    <w:rsid w:val="0009420D"/>
    <w:rsid w:val="000A1287"/>
    <w:rsid w:val="000A4852"/>
    <w:rsid w:val="000A4C5C"/>
    <w:rsid w:val="000A5213"/>
    <w:rsid w:val="000C1A4E"/>
    <w:rsid w:val="000C235B"/>
    <w:rsid w:val="000C3551"/>
    <w:rsid w:val="000C670F"/>
    <w:rsid w:val="000C76C1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0F7E61"/>
    <w:rsid w:val="001010FC"/>
    <w:rsid w:val="00101C0B"/>
    <w:rsid w:val="001024FB"/>
    <w:rsid w:val="00104139"/>
    <w:rsid w:val="00104E81"/>
    <w:rsid w:val="0010681D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3C09"/>
    <w:rsid w:val="0014484B"/>
    <w:rsid w:val="00150264"/>
    <w:rsid w:val="0015243E"/>
    <w:rsid w:val="0015476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A64"/>
    <w:rsid w:val="00186C9B"/>
    <w:rsid w:val="0019007C"/>
    <w:rsid w:val="00190FD2"/>
    <w:rsid w:val="001926AC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1664"/>
    <w:rsid w:val="00283A4B"/>
    <w:rsid w:val="00284355"/>
    <w:rsid w:val="00287645"/>
    <w:rsid w:val="00287D46"/>
    <w:rsid w:val="002933AA"/>
    <w:rsid w:val="002A10B2"/>
    <w:rsid w:val="002A2271"/>
    <w:rsid w:val="002A5D54"/>
    <w:rsid w:val="002A7F39"/>
    <w:rsid w:val="002B0EC7"/>
    <w:rsid w:val="002B525B"/>
    <w:rsid w:val="002B5EA0"/>
    <w:rsid w:val="002B7DA3"/>
    <w:rsid w:val="002C05FC"/>
    <w:rsid w:val="002C320C"/>
    <w:rsid w:val="002D3AC4"/>
    <w:rsid w:val="002E187E"/>
    <w:rsid w:val="002E27A0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7C44"/>
    <w:rsid w:val="00361F26"/>
    <w:rsid w:val="00362495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69A1"/>
    <w:rsid w:val="003A76E1"/>
    <w:rsid w:val="003C26EF"/>
    <w:rsid w:val="003C37E0"/>
    <w:rsid w:val="003C7B87"/>
    <w:rsid w:val="003D0278"/>
    <w:rsid w:val="003D06BD"/>
    <w:rsid w:val="003D4CED"/>
    <w:rsid w:val="003D4F97"/>
    <w:rsid w:val="003D5D07"/>
    <w:rsid w:val="003E0907"/>
    <w:rsid w:val="003E23A7"/>
    <w:rsid w:val="003E58BF"/>
    <w:rsid w:val="003E659E"/>
    <w:rsid w:val="003E67D6"/>
    <w:rsid w:val="003E6DE1"/>
    <w:rsid w:val="003F24A1"/>
    <w:rsid w:val="003F75DF"/>
    <w:rsid w:val="0040072B"/>
    <w:rsid w:val="0040139F"/>
    <w:rsid w:val="0040164F"/>
    <w:rsid w:val="00402027"/>
    <w:rsid w:val="00402A24"/>
    <w:rsid w:val="00403877"/>
    <w:rsid w:val="004061BD"/>
    <w:rsid w:val="00407AB5"/>
    <w:rsid w:val="004117B5"/>
    <w:rsid w:val="00412B8C"/>
    <w:rsid w:val="004156EF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122D"/>
    <w:rsid w:val="004E444D"/>
    <w:rsid w:val="004E4A89"/>
    <w:rsid w:val="004E4D48"/>
    <w:rsid w:val="004E6995"/>
    <w:rsid w:val="004E7872"/>
    <w:rsid w:val="004F04E0"/>
    <w:rsid w:val="004F19B8"/>
    <w:rsid w:val="004F2511"/>
    <w:rsid w:val="004F26A5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3F5A"/>
    <w:rsid w:val="005D4ECC"/>
    <w:rsid w:val="005D4F00"/>
    <w:rsid w:val="005D5501"/>
    <w:rsid w:val="005E067A"/>
    <w:rsid w:val="005E4993"/>
    <w:rsid w:val="005E6A56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73F7"/>
    <w:rsid w:val="0068744B"/>
    <w:rsid w:val="00690649"/>
    <w:rsid w:val="00690C90"/>
    <w:rsid w:val="006911EB"/>
    <w:rsid w:val="00694D70"/>
    <w:rsid w:val="00694F3D"/>
    <w:rsid w:val="006951D1"/>
    <w:rsid w:val="00695E65"/>
    <w:rsid w:val="006A0DD7"/>
    <w:rsid w:val="006A2F2F"/>
    <w:rsid w:val="006A4F5A"/>
    <w:rsid w:val="006A56F1"/>
    <w:rsid w:val="006B0415"/>
    <w:rsid w:val="006B3FB9"/>
    <w:rsid w:val="006B71B5"/>
    <w:rsid w:val="006C1C35"/>
    <w:rsid w:val="006C4F09"/>
    <w:rsid w:val="006D095A"/>
    <w:rsid w:val="006D3928"/>
    <w:rsid w:val="006D61AD"/>
    <w:rsid w:val="006E0E6D"/>
    <w:rsid w:val="006E1C25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11E46"/>
    <w:rsid w:val="007218DF"/>
    <w:rsid w:val="00722ACC"/>
    <w:rsid w:val="0072340D"/>
    <w:rsid w:val="00723EE1"/>
    <w:rsid w:val="00726554"/>
    <w:rsid w:val="007302A6"/>
    <w:rsid w:val="00732391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337D"/>
    <w:rsid w:val="00785116"/>
    <w:rsid w:val="00786CDD"/>
    <w:rsid w:val="007878E6"/>
    <w:rsid w:val="00787979"/>
    <w:rsid w:val="0079043F"/>
    <w:rsid w:val="00793CB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282C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899"/>
    <w:rsid w:val="008B6F12"/>
    <w:rsid w:val="008B6FCA"/>
    <w:rsid w:val="008C33B6"/>
    <w:rsid w:val="008C5961"/>
    <w:rsid w:val="008C5D4B"/>
    <w:rsid w:val="008C7F57"/>
    <w:rsid w:val="008D32BA"/>
    <w:rsid w:val="008D3BDF"/>
    <w:rsid w:val="008D5D65"/>
    <w:rsid w:val="008D6D44"/>
    <w:rsid w:val="008E08E4"/>
    <w:rsid w:val="008E0F30"/>
    <w:rsid w:val="008F038A"/>
    <w:rsid w:val="008F3314"/>
    <w:rsid w:val="008F387E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170A7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06F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5181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5A48"/>
    <w:rsid w:val="00A173E8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66563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978B5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57B"/>
    <w:rsid w:val="00AC3709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4B83"/>
    <w:rsid w:val="00B65477"/>
    <w:rsid w:val="00B67F61"/>
    <w:rsid w:val="00B709F6"/>
    <w:rsid w:val="00B71628"/>
    <w:rsid w:val="00B7382A"/>
    <w:rsid w:val="00B74F3E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717E"/>
    <w:rsid w:val="00BB777A"/>
    <w:rsid w:val="00BC03C4"/>
    <w:rsid w:val="00BC0824"/>
    <w:rsid w:val="00BC2A1E"/>
    <w:rsid w:val="00BC31E7"/>
    <w:rsid w:val="00BC6C21"/>
    <w:rsid w:val="00BD0333"/>
    <w:rsid w:val="00BD1F78"/>
    <w:rsid w:val="00BD219E"/>
    <w:rsid w:val="00BD287D"/>
    <w:rsid w:val="00BD4621"/>
    <w:rsid w:val="00BD718D"/>
    <w:rsid w:val="00BE59F9"/>
    <w:rsid w:val="00BE6DC9"/>
    <w:rsid w:val="00BF3F69"/>
    <w:rsid w:val="00BF4D6B"/>
    <w:rsid w:val="00BF5E84"/>
    <w:rsid w:val="00BF78ED"/>
    <w:rsid w:val="00BF7BA9"/>
    <w:rsid w:val="00C00985"/>
    <w:rsid w:val="00C04456"/>
    <w:rsid w:val="00C06896"/>
    <w:rsid w:val="00C12190"/>
    <w:rsid w:val="00C17048"/>
    <w:rsid w:val="00C234A2"/>
    <w:rsid w:val="00C23728"/>
    <w:rsid w:val="00C3185F"/>
    <w:rsid w:val="00C325CC"/>
    <w:rsid w:val="00C34D1A"/>
    <w:rsid w:val="00C36C71"/>
    <w:rsid w:val="00C40755"/>
    <w:rsid w:val="00C425F5"/>
    <w:rsid w:val="00C615D1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5A85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0A4B"/>
    <w:rsid w:val="00CC2A4B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432A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556"/>
    <w:rsid w:val="00D40E52"/>
    <w:rsid w:val="00D42D4E"/>
    <w:rsid w:val="00D4363D"/>
    <w:rsid w:val="00D470EC"/>
    <w:rsid w:val="00D51B1A"/>
    <w:rsid w:val="00D62348"/>
    <w:rsid w:val="00D63D11"/>
    <w:rsid w:val="00D712A5"/>
    <w:rsid w:val="00D729CD"/>
    <w:rsid w:val="00D76764"/>
    <w:rsid w:val="00D82804"/>
    <w:rsid w:val="00D82B3C"/>
    <w:rsid w:val="00D9252A"/>
    <w:rsid w:val="00D92BE0"/>
    <w:rsid w:val="00DA0D3D"/>
    <w:rsid w:val="00DA684D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2769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C7B"/>
    <w:rsid w:val="00E36C3F"/>
    <w:rsid w:val="00E400B1"/>
    <w:rsid w:val="00E42132"/>
    <w:rsid w:val="00E42315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53C5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411D"/>
    <w:rsid w:val="00F249E5"/>
    <w:rsid w:val="00F24CDF"/>
    <w:rsid w:val="00F25272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45E6"/>
    <w:rsid w:val="00F85213"/>
    <w:rsid w:val="00F9032A"/>
    <w:rsid w:val="00F92D94"/>
    <w:rsid w:val="00F9538B"/>
    <w:rsid w:val="00F972B3"/>
    <w:rsid w:val="00FA195B"/>
    <w:rsid w:val="00FA43CD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01F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iscardImageEditingData/>
  <w15:docId w15:val="{03922637-B123-498E-A488-56ECEAC9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1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4" w:unhideWhenUsed="1" w:qFormat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E0"/>
  </w:style>
  <w:style w:type="paragraph" w:styleId="Heading1">
    <w:name w:val="heading 1"/>
    <w:next w:val="Normal"/>
    <w:link w:val="Heading1Char"/>
    <w:qFormat/>
    <w:rsid w:val="002B5EA0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B5EA0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2B5EA0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EA0"/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2B5EA0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B5EA0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2B5EA0"/>
    <w:pPr>
      <w:numPr>
        <w:numId w:val="21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04834"/>
    <w:rPr>
      <w:rFonts w:asciiTheme="minorHAnsi" w:hAnsiTheme="minorHAnsi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E04834"/>
    <w:rPr>
      <w:rFonts w:asciiTheme="minorHAnsi" w:hAnsiTheme="minorHAnsi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E04834"/>
    <w:rPr>
      <w:sz w:val="20"/>
    </w:rPr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04834"/>
    <w:rPr>
      <w:rFonts w:asciiTheme="minorHAnsi" w:hAnsiTheme="minorHAnsi"/>
      <w:color w:val="000000" w:themeColor="text1"/>
      <w:sz w:val="20"/>
    </w:rPr>
    <w:tblPr>
      <w:tblStyleRowBandSize w:val="1"/>
      <w:tblStyleColBandSize w:val="1"/>
    </w:tblPr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2B5EA0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2B5EA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2B5EA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2B5EA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2B5EA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2B5EA0"/>
    <w:rPr>
      <w:b/>
      <w:sz w:val="18"/>
      <w:szCs w:val="20"/>
      <w:lang w:eastAsia="en-US"/>
    </w:rPr>
  </w:style>
  <w:style w:type="character" w:styleId="Hyperlink">
    <w:name w:val="Hyperlink"/>
    <w:qFormat/>
    <w:rsid w:val="002B5EA0"/>
    <w:rPr>
      <w:color w:val="0000FF" w:themeColor="hyperlink"/>
      <w:u w:val="single"/>
    </w:rPr>
  </w:style>
  <w:style w:type="paragraph" w:customStyle="1" w:styleId="Normalnospaceafter">
    <w:name w:val="Normal no space after"/>
    <w:basedOn w:val="Normal"/>
    <w:next w:val="Normal"/>
    <w:rsid w:val="00E04834"/>
    <w:pPr>
      <w:spacing w:after="60"/>
    </w:pPr>
  </w:style>
  <w:style w:type="paragraph" w:customStyle="1" w:styleId="Normalspacebefore">
    <w:name w:val="Normal space before"/>
    <w:basedOn w:val="Normal"/>
    <w:next w:val="Normal"/>
    <w:rsid w:val="00E04834"/>
    <w:pPr>
      <w:spacing w:before="240"/>
    </w:pPr>
  </w:style>
  <w:style w:type="character" w:styleId="PageNumber">
    <w:name w:val="page number"/>
    <w:basedOn w:val="DefaultParagraphFont"/>
    <w:uiPriority w:val="10"/>
    <w:qFormat/>
    <w:rsid w:val="002B5EA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2B5EA0"/>
    <w:rPr>
      <w:b/>
      <w:bCs/>
    </w:rPr>
  </w:style>
  <w:style w:type="paragraph" w:styleId="Title">
    <w:name w:val="Title"/>
    <w:next w:val="Normal"/>
    <w:link w:val="TitleChar"/>
    <w:uiPriority w:val="5"/>
    <w:qFormat/>
    <w:rsid w:val="002B5EA0"/>
    <w:pPr>
      <w:spacing w:before="240" w:after="60"/>
    </w:pPr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rsid w:val="002B5EA0"/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semiHidden/>
    <w:rsid w:val="00E04834"/>
    <w:rPr>
      <w:rFonts w:asciiTheme="minorHAnsi" w:hAnsiTheme="minorHAnsi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267BA"/>
    <w:rPr>
      <w:rFonts w:asciiTheme="minorHAnsi" w:eastAsiaTheme="majorEastAsia" w:hAnsiTheme="minorHAnsi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E04834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normal0">
    <w:name w:val="Table normal"/>
    <w:basedOn w:val="Normal"/>
    <w:semiHidden/>
    <w:rsid w:val="00E04834"/>
    <w:pPr>
      <w:spacing w:before="80" w:after="80"/>
    </w:pPr>
    <w:rPr>
      <w:rFonts w:eastAsiaTheme="majorEastAsia"/>
      <w:sz w:val="20"/>
    </w:rPr>
  </w:style>
  <w:style w:type="paragraph" w:customStyle="1" w:styleId="Tableheaderrowblack">
    <w:name w:val="Table header row black"/>
    <w:basedOn w:val="Tablenormal0"/>
    <w:semiHidden/>
    <w:rsid w:val="00E04834"/>
    <w:rPr>
      <w:szCs w:val="20"/>
    </w:rPr>
  </w:style>
  <w:style w:type="paragraph" w:customStyle="1" w:styleId="Tableheaderrowwhite">
    <w:name w:val="Table header row white"/>
    <w:basedOn w:val="Tablenormal0"/>
    <w:semiHidden/>
    <w:rsid w:val="00E04834"/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numbering" w:customStyle="1" w:styleId="CSCtablenumberlist">
    <w:name w:val="CSC table number list"/>
    <w:uiPriority w:val="99"/>
    <w:rsid w:val="008B6FCA"/>
    <w:pPr>
      <w:numPr>
        <w:numId w:val="11"/>
      </w:numPr>
    </w:pPr>
  </w:style>
  <w:style w:type="paragraph" w:customStyle="1" w:styleId="Tablerightaligned">
    <w:name w:val="Table right aligned"/>
    <w:basedOn w:val="Tablenormal0"/>
    <w:semiHidden/>
    <w:rsid w:val="00E04834"/>
    <w:pPr>
      <w:jc w:val="right"/>
    </w:pPr>
  </w:style>
  <w:style w:type="paragraph" w:styleId="TOC1">
    <w:name w:val="toc 1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spacebefore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99"/>
    <w:semiHidden/>
    <w:rsid w:val="00BD287D"/>
    <w:rPr>
      <w:rFonts w:asciiTheme="minorHAnsi" w:hAnsiTheme="minorHAnsi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67BA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semiHidden/>
    <w:rsid w:val="00BD287D"/>
    <w:pPr>
      <w:keepNext/>
      <w:spacing w:after="24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semiHidden/>
    <w:rsid w:val="00BD287D"/>
    <w:pPr>
      <w:keepNext/>
      <w:spacing w:before="60" w:after="120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semiHidden/>
    <w:rsid w:val="00BD287D"/>
    <w:pPr>
      <w:ind w:left="540" w:right="791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semiHidden/>
    <w:rsid w:val="006267BA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spacebefore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spacebefore"/>
    <w:semiHidden/>
    <w:rsid w:val="005479E6"/>
    <w:pPr>
      <w:numPr>
        <w:numId w:val="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A5D54"/>
    <w:pPr>
      <w:ind w:left="714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qFormat/>
    <w:rsid w:val="002B5EA0"/>
    <w:pPr>
      <w:numPr>
        <w:numId w:val="18"/>
      </w:numPr>
    </w:pPr>
  </w:style>
  <w:style w:type="paragraph" w:customStyle="1" w:styleId="Bulletlevel2CSC">
    <w:name w:val="Bullet level 2 CSC"/>
    <w:basedOn w:val="Normal"/>
    <w:semiHidden/>
    <w:qFormat/>
    <w:rsid w:val="002B5EA0"/>
    <w:pPr>
      <w:numPr>
        <w:ilvl w:val="1"/>
        <w:numId w:val="1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2B5EA0"/>
    <w:pPr>
      <w:numPr>
        <w:ilvl w:val="2"/>
        <w:numId w:val="18"/>
      </w:numPr>
      <w:spacing w:after="60"/>
    </w:pPr>
  </w:style>
  <w:style w:type="numbering" w:customStyle="1" w:styleId="CSCBulletlist">
    <w:name w:val="CSC Bullet list"/>
    <w:rsid w:val="00B060A7"/>
    <w:pPr>
      <w:numPr>
        <w:numId w:val="16"/>
      </w:numPr>
    </w:pPr>
  </w:style>
  <w:style w:type="paragraph" w:customStyle="1" w:styleId="Numberlevel2CSC">
    <w:name w:val="Number level 2 CSC"/>
    <w:basedOn w:val="Normal"/>
    <w:semiHidden/>
    <w:qFormat/>
    <w:rsid w:val="002B5EA0"/>
    <w:pPr>
      <w:numPr>
        <w:ilvl w:val="1"/>
        <w:numId w:val="21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2B5EA0"/>
    <w:pPr>
      <w:numPr>
        <w:ilvl w:val="2"/>
        <w:numId w:val="21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2B5EA0"/>
    <w:pPr>
      <w:numPr>
        <w:ilvl w:val="3"/>
        <w:numId w:val="21"/>
      </w:numPr>
      <w:spacing w:after="60"/>
    </w:pPr>
  </w:style>
  <w:style w:type="numbering" w:customStyle="1" w:styleId="CSCTablebulletlist">
    <w:name w:val="CSC Table bullet list"/>
    <w:uiPriority w:val="99"/>
    <w:rsid w:val="00AD5BD7"/>
    <w:pPr>
      <w:numPr>
        <w:numId w:val="10"/>
      </w:numPr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Tablebulletlist">
    <w:name w:val="Table bullet list"/>
    <w:basedOn w:val="Tablenormal0"/>
    <w:semiHidden/>
    <w:rsid w:val="00AD5BD7"/>
    <w:pPr>
      <w:numPr>
        <w:numId w:val="10"/>
      </w:numPr>
    </w:pPr>
  </w:style>
  <w:style w:type="paragraph" w:customStyle="1" w:styleId="Tablebullet2CSC">
    <w:name w:val="Table bullet 2 CSC"/>
    <w:basedOn w:val="Tablenormal0"/>
    <w:semiHidden/>
    <w:rsid w:val="00AD5BD7"/>
    <w:pPr>
      <w:numPr>
        <w:ilvl w:val="1"/>
        <w:numId w:val="10"/>
      </w:numPr>
    </w:pPr>
  </w:style>
  <w:style w:type="paragraph" w:customStyle="1" w:styleId="Tablenumberedlist">
    <w:name w:val="Table numbered list"/>
    <w:basedOn w:val="Tablenormal0"/>
    <w:semiHidden/>
    <w:rsid w:val="008B6FCA"/>
    <w:pPr>
      <w:numPr>
        <w:numId w:val="11"/>
      </w:numPr>
    </w:pPr>
  </w:style>
  <w:style w:type="paragraph" w:customStyle="1" w:styleId="Tablenumberlevel2">
    <w:name w:val="Table number level 2"/>
    <w:basedOn w:val="Tablenormal0"/>
    <w:semiHidden/>
    <w:rsid w:val="008B6FCA"/>
    <w:pPr>
      <w:numPr>
        <w:ilvl w:val="1"/>
        <w:numId w:val="11"/>
      </w:numPr>
    </w:p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paragraph" w:styleId="EnvelopeAddress">
    <w:name w:val="envelope address"/>
    <w:basedOn w:val="Normal"/>
    <w:semiHidden/>
    <w:rsid w:val="002816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2B5EA0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il@cardinia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ata.vic.gov.au/data/dataset/vcams-percentage-of-students-achieving-national-benchmark-in-numeracy" TargetMode="External"/><Relationship Id="rId1" Type="http://schemas.openxmlformats.org/officeDocument/2006/relationships/hyperlink" Target="https://www.data.vic.gov.au/data/dataset/vcams-percentage-of-students-achieving-national-benchmark-in-litera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rdinia.vic.gov.au\dfs\Data\Office%202016\Templates\Promotional%20Material\Factsheet-general-blank.dotx" TargetMode="Externa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2FE651E-18FB-4CE7-9252-5CEF6147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Factsheet-general-blank.dotx</Template>
  <TotalTime>0</TotalTime>
  <Pages>2</Pages>
  <Words>441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Larkman</dc:creator>
  <cp:lastModifiedBy>Rebecca Harris</cp:lastModifiedBy>
  <cp:revision>2</cp:revision>
  <cp:lastPrinted>2014-03-03T21:33:00Z</cp:lastPrinted>
  <dcterms:created xsi:type="dcterms:W3CDTF">2020-05-07T05:53:00Z</dcterms:created>
  <dcterms:modified xsi:type="dcterms:W3CDTF">2020-05-07T05:53:00Z</dcterms:modified>
</cp:coreProperties>
</file>