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5B" w:rsidRDefault="00344FC2" w:rsidP="0012635B">
      <w:pPr>
        <w:pStyle w:val="Heading1"/>
      </w:pPr>
      <w:r>
        <w:t xml:space="preserve">Position description for </w:t>
      </w:r>
      <w:r w:rsidR="0012635B">
        <w:t xml:space="preserve">Independent Chairperson, </w:t>
      </w:r>
      <w:bookmarkStart w:id="0" w:name="_GoBack"/>
      <w:bookmarkEnd w:id="0"/>
      <w:r w:rsidR="0012635B">
        <w:t>Pakenham Mt. Shamrock ERC</w:t>
      </w:r>
    </w:p>
    <w:p w:rsidR="0012635B" w:rsidRDefault="0012635B" w:rsidP="0012635B"/>
    <w:p w:rsidR="0012635B" w:rsidRDefault="0012635B" w:rsidP="0012635B">
      <w:pPr>
        <w:rPr>
          <w:b/>
        </w:rPr>
      </w:pPr>
      <w:r w:rsidRPr="0012635B">
        <w:rPr>
          <w:b/>
        </w:rPr>
        <w:t>Purpose of Position</w:t>
      </w:r>
    </w:p>
    <w:p w:rsidR="0012635B" w:rsidRPr="0012635B" w:rsidRDefault="0012635B" w:rsidP="0012635B">
      <w:pPr>
        <w:rPr>
          <w:b/>
        </w:rPr>
      </w:pPr>
    </w:p>
    <w:p w:rsidR="0012635B" w:rsidRDefault="0012635B" w:rsidP="0012635B">
      <w:r>
        <w:t xml:space="preserve">The role of the Chairperson is to assist the members of the Pakenham Mt. Shamrock ERC to fulfil their collective role by providing independent, </w:t>
      </w:r>
      <w:proofErr w:type="spellStart"/>
      <w:r>
        <w:t>arms length</w:t>
      </w:r>
      <w:proofErr w:type="spellEnd"/>
      <w:r>
        <w:t xml:space="preserve"> coordination and facilitation of the ERC’s operations. The ERC </w:t>
      </w:r>
      <w:proofErr w:type="gramStart"/>
      <w:r>
        <w:t>was formed</w:t>
      </w:r>
      <w:proofErr w:type="gramEnd"/>
      <w:r>
        <w:t xml:space="preserve"> in 2007. One of the major tasks of the ERC is to review the environmental management performance of the quarry operator. Background documentation regarding all the operations of the ERC </w:t>
      </w:r>
      <w:proofErr w:type="gramStart"/>
      <w:r>
        <w:t>can be found</w:t>
      </w:r>
      <w:proofErr w:type="gramEnd"/>
      <w:r>
        <w:t xml:space="preserve"> </w:t>
      </w:r>
      <w:r w:rsidRPr="0012635B">
        <w:rPr>
          <w:color w:val="1950F9" w:themeColor="text2" w:themeTint="99"/>
        </w:rPr>
        <w:t>here.</w:t>
      </w:r>
      <w:r>
        <w:rPr>
          <w:color w:val="1950F9" w:themeColor="text2" w:themeTint="99"/>
        </w:rPr>
        <w:t xml:space="preserve"> (</w:t>
      </w:r>
      <w:proofErr w:type="gramStart"/>
      <w:r>
        <w:rPr>
          <w:color w:val="1950F9" w:themeColor="text2" w:themeTint="99"/>
        </w:rPr>
        <w:t>link</w:t>
      </w:r>
      <w:proofErr w:type="gramEnd"/>
      <w:r>
        <w:rPr>
          <w:color w:val="1950F9" w:themeColor="text2" w:themeTint="99"/>
        </w:rPr>
        <w:t xml:space="preserve">) </w:t>
      </w:r>
      <w:hyperlink r:id="rId10" w:history="1">
        <w:r w:rsidRPr="0034587C">
          <w:rPr>
            <w:rStyle w:val="Hyperlink"/>
            <w:color w:val="6666FF" w:themeColor="hyperlink" w:themeTint="99"/>
          </w:rPr>
          <w:t>http://allpossibilities.com.au/stories/holcim%20environment%20review%20committee.php</w:t>
        </w:r>
      </w:hyperlink>
      <w:r>
        <w:rPr>
          <w:color w:val="1950F9" w:themeColor="text2" w:themeTint="99"/>
        </w:rPr>
        <w:t xml:space="preserve"> </w:t>
      </w:r>
    </w:p>
    <w:p w:rsidR="0012635B" w:rsidRDefault="0012635B" w:rsidP="0012635B"/>
    <w:p w:rsidR="0012635B" w:rsidRDefault="0012635B" w:rsidP="0012635B">
      <w:pPr>
        <w:rPr>
          <w:b/>
        </w:rPr>
      </w:pPr>
      <w:r w:rsidRPr="0012635B">
        <w:rPr>
          <w:b/>
        </w:rPr>
        <w:t>Tenure:</w:t>
      </w:r>
    </w:p>
    <w:p w:rsidR="0012635B" w:rsidRPr="0012635B" w:rsidRDefault="0012635B" w:rsidP="0012635B">
      <w:pPr>
        <w:rPr>
          <w:b/>
        </w:rPr>
      </w:pPr>
    </w:p>
    <w:p w:rsidR="0012635B" w:rsidRDefault="0012635B" w:rsidP="0012635B">
      <w:proofErr w:type="gramStart"/>
      <w:r>
        <w:t>This position is appointed for a term of 3 years by the Shire of Cardinia and the Department of Economic Development, Jobs, Transport and Resources, Earth Resources Regulation Branch</w:t>
      </w:r>
      <w:proofErr w:type="gramEnd"/>
      <w:r>
        <w:t xml:space="preserve">. The </w:t>
      </w:r>
      <w:proofErr w:type="gramStart"/>
      <w:r>
        <w:t>role is funded by the quarry operator, Holcim (Australia) Pty Ltd</w:t>
      </w:r>
      <w:proofErr w:type="gramEnd"/>
      <w:r>
        <w:t>.</w:t>
      </w:r>
    </w:p>
    <w:p w:rsidR="0012635B" w:rsidRDefault="0012635B" w:rsidP="0012635B"/>
    <w:p w:rsidR="0012635B" w:rsidRDefault="0012635B" w:rsidP="0012635B">
      <w:pPr>
        <w:rPr>
          <w:b/>
        </w:rPr>
      </w:pPr>
      <w:r w:rsidRPr="0012635B">
        <w:rPr>
          <w:b/>
        </w:rPr>
        <w:t>Primary duties and responsibilities</w:t>
      </w:r>
    </w:p>
    <w:p w:rsidR="0012635B" w:rsidRPr="0012635B" w:rsidRDefault="0012635B" w:rsidP="0012635B">
      <w:pPr>
        <w:rPr>
          <w:b/>
        </w:rPr>
      </w:pPr>
    </w:p>
    <w:p w:rsidR="0012635B" w:rsidRDefault="0012635B" w:rsidP="0012635B">
      <w:r>
        <w:t>The Chairperson supports the work of the Environment Review Committee by: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>Liaising with key stakeholders in the preparation of meeting agendas, site tours, the general planning of ERC meetings and other engagements as requested by the ERC.</w:t>
      </w:r>
    </w:p>
    <w:p w:rsidR="0012635B" w:rsidRDefault="0012635B" w:rsidP="0012635B">
      <w:pPr>
        <w:ind w:left="360"/>
      </w:pPr>
    </w:p>
    <w:p w:rsidR="0012635B" w:rsidRDefault="0012635B" w:rsidP="0012635B">
      <w:pPr>
        <w:pStyle w:val="ListParagraph"/>
        <w:numPr>
          <w:ilvl w:val="0"/>
          <w:numId w:val="34"/>
        </w:numPr>
      </w:pPr>
      <w:r>
        <w:t>Facilitating the discussions and meetings of the ERC.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>Preparing meeting summaries of ERC’s discussions.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>Ensuring that the ERC operates to fulfil its Terms of Reference.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>Liaising with other parties on behalf of the ERC where necessary.</w:t>
      </w:r>
    </w:p>
    <w:p w:rsidR="0012635B" w:rsidRDefault="0012635B" w:rsidP="0012635B"/>
    <w:p w:rsidR="0012635B" w:rsidRPr="0012635B" w:rsidRDefault="0012635B" w:rsidP="0012635B">
      <w:pPr>
        <w:rPr>
          <w:b/>
        </w:rPr>
      </w:pPr>
      <w:r w:rsidRPr="0012635B">
        <w:rPr>
          <w:b/>
        </w:rPr>
        <w:t>Qualifications, skills and experience</w:t>
      </w:r>
    </w:p>
    <w:p w:rsidR="0012635B" w:rsidRDefault="0012635B" w:rsidP="0012635B"/>
    <w:p w:rsidR="0012635B" w:rsidRDefault="0012635B" w:rsidP="0012635B">
      <w:r>
        <w:t>Applicants should have demonstrated competency in facilitation/mediation and / or consultation and be able to show: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>Strong and independent chairperson and facilitation skills with groups of diverse stakeholders including for-profit organisations, state and local government authorities, indigenous groups and local community groups / individuals.</w:t>
      </w:r>
    </w:p>
    <w:p w:rsidR="0012635B" w:rsidRDefault="0012635B" w:rsidP="0012635B">
      <w:pPr>
        <w:pStyle w:val="ListParagraph"/>
        <w:ind w:left="720" w:firstLine="0"/>
      </w:pPr>
    </w:p>
    <w:p w:rsidR="0012635B" w:rsidRDefault="0012635B" w:rsidP="0012635B">
      <w:pPr>
        <w:pStyle w:val="ListParagraph"/>
        <w:numPr>
          <w:ilvl w:val="0"/>
          <w:numId w:val="34"/>
        </w:numPr>
      </w:pPr>
      <w:r>
        <w:t>Experience in facilitation / mediation forums or industry consultative committees.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 xml:space="preserve">The ability to support productive discussions where opinions may be in conflict and ensure that all voices </w:t>
      </w:r>
      <w:proofErr w:type="gramStart"/>
      <w:r>
        <w:t>are heard</w:t>
      </w:r>
      <w:proofErr w:type="gramEnd"/>
      <w:r>
        <w:t xml:space="preserve"> in a discussion and act with full independence.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>The ability to cut through political personal and cultural barriers to identify risks, issues and options and find solutions.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>Strong, articulate and timely preparation of relevant agendas and meeting summaries.</w:t>
      </w:r>
    </w:p>
    <w:p w:rsidR="0012635B" w:rsidRDefault="0012635B" w:rsidP="0012635B"/>
    <w:p w:rsidR="0012635B" w:rsidRDefault="0012635B" w:rsidP="0012635B">
      <w:pPr>
        <w:pStyle w:val="ListParagraph"/>
        <w:numPr>
          <w:ilvl w:val="0"/>
          <w:numId w:val="34"/>
        </w:numPr>
      </w:pPr>
      <w:r>
        <w:t>Desirable to have experience working with primary industries</w:t>
      </w:r>
    </w:p>
    <w:p w:rsidR="0012635B" w:rsidRDefault="0012635B" w:rsidP="0012635B">
      <w:pPr>
        <w:rPr>
          <w:b/>
        </w:rPr>
      </w:pPr>
    </w:p>
    <w:p w:rsidR="0012635B" w:rsidRDefault="0012635B" w:rsidP="0012635B">
      <w:pPr>
        <w:rPr>
          <w:b/>
        </w:rPr>
      </w:pPr>
    </w:p>
    <w:p w:rsidR="0012635B" w:rsidRDefault="0012635B" w:rsidP="0012635B">
      <w:pPr>
        <w:rPr>
          <w:b/>
        </w:rPr>
      </w:pPr>
      <w:r w:rsidRPr="0012635B">
        <w:rPr>
          <w:b/>
        </w:rPr>
        <w:t>Selection Criteria</w:t>
      </w:r>
    </w:p>
    <w:p w:rsidR="0012635B" w:rsidRPr="0012635B" w:rsidRDefault="0012635B" w:rsidP="0012635B">
      <w:pPr>
        <w:rPr>
          <w:b/>
        </w:rPr>
      </w:pPr>
    </w:p>
    <w:p w:rsidR="00DB0713" w:rsidRPr="00746F9C" w:rsidRDefault="0012635B" w:rsidP="0012635B">
      <w:r>
        <w:t>Applican</w:t>
      </w:r>
      <w:r w:rsidR="007C0F90">
        <w:t xml:space="preserve">ts should specifically address the above </w:t>
      </w:r>
      <w:r>
        <w:t>criteria. Applicant short listings will be based upon these selection criteria and applicants should familiarise themselves with the work of the ERC prior to applying.</w:t>
      </w:r>
    </w:p>
    <w:sectPr w:rsidR="00DB0713" w:rsidRPr="00746F9C" w:rsidSect="005E7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5B" w:rsidRDefault="0012635B" w:rsidP="00756052">
      <w:r>
        <w:separator/>
      </w:r>
    </w:p>
    <w:p w:rsidR="0012635B" w:rsidRDefault="0012635B"/>
  </w:endnote>
  <w:endnote w:type="continuationSeparator" w:id="0">
    <w:p w:rsidR="0012635B" w:rsidRDefault="0012635B" w:rsidP="00756052">
      <w:r>
        <w:continuationSeparator/>
      </w:r>
    </w:p>
    <w:p w:rsidR="0012635B" w:rsidRDefault="00126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5B" w:rsidRDefault="0012635B" w:rsidP="00756052">
      <w:r>
        <w:separator/>
      </w:r>
    </w:p>
    <w:p w:rsidR="0012635B" w:rsidRDefault="0012635B"/>
  </w:footnote>
  <w:footnote w:type="continuationSeparator" w:id="0">
    <w:p w:rsidR="0012635B" w:rsidRDefault="0012635B" w:rsidP="00756052">
      <w:r>
        <w:continuationSeparator/>
      </w:r>
    </w:p>
    <w:p w:rsidR="0012635B" w:rsidRDefault="00126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ED4B51"/>
    <w:multiLevelType w:val="hybridMultilevel"/>
    <w:tmpl w:val="412210CA"/>
    <w:lvl w:ilvl="0" w:tplc="C046BA80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7F3ED1"/>
    <w:multiLevelType w:val="hybridMultilevel"/>
    <w:tmpl w:val="0CC08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DD845B3"/>
    <w:multiLevelType w:val="hybridMultilevel"/>
    <w:tmpl w:val="43E61C40"/>
    <w:lvl w:ilvl="0" w:tplc="C046BA80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0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6"/>
  </w:num>
  <w:num w:numId="9">
    <w:abstractNumId w:val="11"/>
  </w:num>
  <w:num w:numId="10">
    <w:abstractNumId w:val="29"/>
  </w:num>
  <w:num w:numId="11">
    <w:abstractNumId w:val="31"/>
  </w:num>
  <w:num w:numId="12">
    <w:abstractNumId w:val="25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30"/>
  </w:num>
  <w:num w:numId="19">
    <w:abstractNumId w:val="17"/>
  </w:num>
  <w:num w:numId="20">
    <w:abstractNumId w:val="23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4"/>
  </w:num>
  <w:num w:numId="34">
    <w:abstractNumId w:val="27"/>
  </w:num>
  <w:num w:numId="3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5B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2635B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4FC2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0F90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8476FB"/>
  <w14:discardImageEditingData/>
  <w15:chartTrackingRefBased/>
  <w15:docId w15:val="{14C5C68C-07A5-499F-95B6-80C3A8B8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allpossibilities.com.au/stories/holcim%20environment%20review%20committee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D3F7A39D-AFA0-472E-BE70-F4A80BB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2302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Wright</dc:creator>
  <cp:keywords/>
  <dc:description/>
  <cp:lastModifiedBy>Peta Levett</cp:lastModifiedBy>
  <cp:revision>2</cp:revision>
  <cp:lastPrinted>2014-03-03T21:33:00Z</cp:lastPrinted>
  <dcterms:created xsi:type="dcterms:W3CDTF">2018-01-08T02:51:00Z</dcterms:created>
  <dcterms:modified xsi:type="dcterms:W3CDTF">2018-01-08T02:51:00Z</dcterms:modified>
</cp:coreProperties>
</file>