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B1" w:rsidRDefault="009653B1" w:rsidP="009653B1">
      <w:pPr>
        <w:pStyle w:val="Heading1"/>
      </w:pPr>
      <w:r>
        <w:t xml:space="preserve">Cardinia Shire </w:t>
      </w:r>
      <w:r w:rsidRPr="00600307">
        <w:t>Liveability Plan 2017-</w:t>
      </w:r>
      <w:r>
        <w:t>29</w:t>
      </w:r>
    </w:p>
    <w:p w:rsidR="00902BD1" w:rsidRDefault="00902BD1" w:rsidP="00902BD1">
      <w:pPr>
        <w:pStyle w:val="Heading2"/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</w:pPr>
      <w:r w:rsidRPr="00AF1D03"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Cardinia Shire’s Liveability Health Plan 2017-2029 identifies the top seven health and social priorities impacting the overall health and wellbeing of the municipality. </w:t>
      </w:r>
      <w:r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‘Improve Safety’ is one of these seven priority areas. </w:t>
      </w:r>
    </w:p>
    <w:p w:rsidR="00274D2E" w:rsidRDefault="00274D2E" w:rsidP="00974FD0">
      <w:pPr>
        <w:pStyle w:val="Heading2"/>
      </w:pPr>
      <w:r>
        <w:t>What is safety?</w:t>
      </w:r>
    </w:p>
    <w:p w:rsidR="009653B1" w:rsidRDefault="009653B1" w:rsidP="00E7065E">
      <w:pPr>
        <w:spacing w:after="240"/>
      </w:pPr>
      <w:r>
        <w:rPr>
          <w:lang w:eastAsia="en-US"/>
        </w:rPr>
        <w:t xml:space="preserve">Neighbourhoods </w:t>
      </w:r>
      <w:r w:rsidR="00974FD0">
        <w:rPr>
          <w:lang w:eastAsia="en-US"/>
        </w:rPr>
        <w:t xml:space="preserve">which are perceived as safe </w:t>
      </w:r>
      <w:r>
        <w:rPr>
          <w:lang w:eastAsia="en-US"/>
        </w:rPr>
        <w:t xml:space="preserve">foster community participation, encourage physical activity, community connectedness and add to the health and well-being </w:t>
      </w:r>
      <w:r w:rsidR="00974FD0">
        <w:rPr>
          <w:lang w:eastAsia="en-US"/>
        </w:rPr>
        <w:t>of local residents and visitors</w:t>
      </w:r>
      <w:r w:rsidR="00902BD1">
        <w:rPr>
          <w:rStyle w:val="FootnoteReference"/>
          <w:lang w:eastAsia="en-US"/>
        </w:rPr>
        <w:footnoteReference w:id="1"/>
      </w:r>
      <w:r>
        <w:rPr>
          <w:lang w:eastAsia="en-US"/>
        </w:rPr>
        <w:t xml:space="preserve"> </w:t>
      </w:r>
    </w:p>
    <w:p w:rsidR="00BD0BB6" w:rsidRDefault="009653B1" w:rsidP="00974FD0">
      <w:pPr>
        <w:pStyle w:val="Heading2"/>
      </w:pPr>
      <w:r>
        <w:t>What we know</w:t>
      </w:r>
      <w:r w:rsidRPr="00DE076E">
        <w:t xml:space="preserve"> </w:t>
      </w:r>
      <w:r w:rsidR="00974FD0">
        <w:t>for Cardinia Shire</w:t>
      </w:r>
    </w:p>
    <w:p w:rsidR="00D27152" w:rsidRDefault="00D27152" w:rsidP="00D27152">
      <w:pPr>
        <w:pStyle w:val="Heading3"/>
      </w:pPr>
      <w:r>
        <w:t xml:space="preserve">Perceptions of safety </w:t>
      </w:r>
    </w:p>
    <w:p w:rsidR="00902BD1" w:rsidRDefault="00902BD1" w:rsidP="00902BD1">
      <w:pPr>
        <w:pStyle w:val="Bulletlistmultilevel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18% of adults living in rural areas identified crime or safety issues negatively impacted them or their household, compared to 20% living in the growth areas</w:t>
      </w:r>
      <w:bookmarkStart w:id="0" w:name="_Ref489004297"/>
      <w:r>
        <w:rPr>
          <w:rStyle w:val="FootnoteReference"/>
          <w:lang w:eastAsia="en-US"/>
        </w:rPr>
        <w:footnoteReference w:id="2"/>
      </w:r>
      <w:bookmarkEnd w:id="0"/>
      <w:r>
        <w:rPr>
          <w:lang w:eastAsia="en-US"/>
        </w:rPr>
        <w:t>.</w:t>
      </w:r>
    </w:p>
    <w:p w:rsidR="00902BD1" w:rsidRDefault="00902BD1" w:rsidP="00902BD1">
      <w:pPr>
        <w:pStyle w:val="Bulletlistmultilevel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29% of adults living in rural and growth areas identified dangerous driving negatively impacted them or their household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NOTEREF _Ref489004297 \f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Pr="00902BD1">
        <w:rPr>
          <w:rStyle w:val="FootnoteReference"/>
        </w:rPr>
        <w:t>2</w:t>
      </w:r>
      <w:r>
        <w:rPr>
          <w:lang w:eastAsia="en-US"/>
        </w:rPr>
        <w:fldChar w:fldCharType="end"/>
      </w:r>
      <w:r>
        <w:rPr>
          <w:lang w:eastAsia="en-US"/>
        </w:rPr>
        <w:t>.</w:t>
      </w:r>
    </w:p>
    <w:p w:rsidR="00902BD1" w:rsidRDefault="00902BD1" w:rsidP="00902BD1">
      <w:pPr>
        <w:pStyle w:val="Bulletlistmultilevel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82% of adults living in rural areas believe their area is a safe place to live at night, compared to 74% living in the growth areas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NOTEREF _Ref489004297 \f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Pr="00902BD1">
        <w:rPr>
          <w:rStyle w:val="FootnoteReference"/>
        </w:rPr>
        <w:t>2</w:t>
      </w:r>
      <w:r>
        <w:rPr>
          <w:lang w:eastAsia="en-US"/>
        </w:rPr>
        <w:fldChar w:fldCharType="end"/>
      </w:r>
      <w:r>
        <w:rPr>
          <w:lang w:eastAsia="en-US"/>
        </w:rPr>
        <w:t xml:space="preserve">. </w:t>
      </w:r>
    </w:p>
    <w:p w:rsidR="00902BD1" w:rsidRDefault="00902BD1" w:rsidP="00902BD1">
      <w:pPr>
        <w:pStyle w:val="Bulletlistmultilevel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88% of adults living in rural areas believe their area is a safe place to live during the day, compared to 80% living in the growth areas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NOTEREF _Ref489004297 \f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Pr="00902BD1">
        <w:rPr>
          <w:rStyle w:val="FootnoteReference"/>
        </w:rPr>
        <w:t>2</w:t>
      </w:r>
      <w:r>
        <w:rPr>
          <w:lang w:eastAsia="en-US"/>
        </w:rPr>
        <w:fldChar w:fldCharType="end"/>
      </w:r>
      <w:r>
        <w:rPr>
          <w:lang w:eastAsia="en-US"/>
        </w:rPr>
        <w:t xml:space="preserve">. </w:t>
      </w:r>
    </w:p>
    <w:p w:rsidR="00902BD1" w:rsidRDefault="00902BD1" w:rsidP="00902BD1">
      <w:pPr>
        <w:pStyle w:val="Bulletlistmultilevel"/>
        <w:rPr>
          <w:lang w:eastAsia="en-US"/>
        </w:rPr>
      </w:pPr>
      <w:r>
        <w:rPr>
          <w:lang w:eastAsia="en-US"/>
        </w:rPr>
        <w:t>5% of adults living in rural areas would like to see less vandalism/graffiti in their estate, compared to 14% living in growth areas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NOTEREF _Ref489004297 \f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Pr="00902BD1">
        <w:rPr>
          <w:rStyle w:val="FootnoteReference"/>
        </w:rPr>
        <w:t>2</w:t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</w:p>
    <w:p w:rsidR="00902BD1" w:rsidRDefault="00902BD1" w:rsidP="006C33E8">
      <w:pPr>
        <w:pStyle w:val="Bulletlistmultilevel"/>
      </w:pPr>
      <w:r>
        <w:t>12% of adults living in rural areas would like to see less antisocial behaviour/’hoon’ driving in their estate, compared to 8% living in growth areas</w:t>
      </w:r>
      <w:r>
        <w:fldChar w:fldCharType="begin"/>
      </w:r>
      <w:r>
        <w:instrText xml:space="preserve"> NOTEREF _Ref489004297 \f \h </w:instrText>
      </w:r>
      <w:r>
        <w:fldChar w:fldCharType="separate"/>
      </w:r>
      <w:r w:rsidRPr="00902BD1">
        <w:rPr>
          <w:rStyle w:val="FootnoteReference"/>
        </w:rPr>
        <w:t>2</w:t>
      </w:r>
      <w:r>
        <w:fldChar w:fldCharType="end"/>
      </w:r>
      <w:r>
        <w:t xml:space="preserve">. </w:t>
      </w:r>
    </w:p>
    <w:p w:rsidR="00272FE4" w:rsidRDefault="00272FE4" w:rsidP="00272FE4">
      <w:pPr>
        <w:pStyle w:val="Heading3"/>
      </w:pPr>
      <w:r>
        <w:t>Crime</w:t>
      </w:r>
    </w:p>
    <w:p w:rsidR="0071612E" w:rsidRDefault="0071612E" w:rsidP="0071612E">
      <w:pPr>
        <w:pStyle w:val="Bulletlistmultilevel"/>
      </w:pPr>
      <w:r>
        <w:t>Overall, Cardinia Shire has the seventh highest rate (per 100,000 population) of crime recorded in the Southern Metropolitan Melbourne region (total of 10 Local Government Areas)</w:t>
      </w:r>
      <w:bookmarkStart w:id="1" w:name="_Ref489005446"/>
      <w:r>
        <w:rPr>
          <w:rStyle w:val="FootnoteReference"/>
        </w:rPr>
        <w:footnoteReference w:id="3"/>
      </w:r>
      <w:bookmarkEnd w:id="1"/>
      <w:r>
        <w:t xml:space="preserve">. </w:t>
      </w:r>
    </w:p>
    <w:p w:rsidR="00A6397C" w:rsidRDefault="00A6397C" w:rsidP="00272FE4">
      <w:pPr>
        <w:pStyle w:val="Bulletlistmultilevel"/>
      </w:pPr>
      <w:r>
        <w:t>An average of 19 criminal offences are recorded per day across the municipality (total of 6,866 throughout the year)</w:t>
      </w:r>
      <w:r w:rsidR="0071612E">
        <w:fldChar w:fldCharType="begin"/>
      </w:r>
      <w:r w:rsidR="0071612E">
        <w:instrText xml:space="preserve"> NOTEREF _Ref489005446 \f \h </w:instrText>
      </w:r>
      <w:r w:rsidR="0071612E">
        <w:fldChar w:fldCharType="separate"/>
      </w:r>
      <w:r w:rsidR="0071612E" w:rsidRPr="0071612E">
        <w:rPr>
          <w:rStyle w:val="FootnoteReference"/>
        </w:rPr>
        <w:t>3</w:t>
      </w:r>
      <w:r w:rsidR="0071612E">
        <w:fldChar w:fldCharType="end"/>
      </w:r>
      <w:r>
        <w:t>. Of these:</w:t>
      </w:r>
    </w:p>
    <w:p w:rsidR="00A6397C" w:rsidRDefault="00A6397C" w:rsidP="00435C0F">
      <w:pPr>
        <w:pStyle w:val="Bulletlistmultilevel"/>
        <w:numPr>
          <w:ilvl w:val="0"/>
          <w:numId w:val="27"/>
        </w:numPr>
      </w:pPr>
      <w:r>
        <w:t>57% relate to property and deception offences. This includes property damage, burglary and theft</w:t>
      </w:r>
      <w:r w:rsidR="0071612E">
        <w:fldChar w:fldCharType="begin"/>
      </w:r>
      <w:r w:rsidR="0071612E">
        <w:instrText xml:space="preserve"> NOTEREF _Ref489005446 \f \h </w:instrText>
      </w:r>
      <w:r w:rsidR="0071612E">
        <w:fldChar w:fldCharType="separate"/>
      </w:r>
      <w:r w:rsidR="0071612E" w:rsidRPr="0071612E">
        <w:rPr>
          <w:rStyle w:val="FootnoteReference"/>
        </w:rPr>
        <w:t>3</w:t>
      </w:r>
      <w:r w:rsidR="0071612E">
        <w:fldChar w:fldCharType="end"/>
      </w:r>
      <w:r>
        <w:t xml:space="preserve">.  </w:t>
      </w:r>
    </w:p>
    <w:p w:rsidR="00A6397C" w:rsidRDefault="00A6397C" w:rsidP="00435C0F">
      <w:pPr>
        <w:pStyle w:val="Bulletlistmultilevel"/>
        <w:numPr>
          <w:ilvl w:val="0"/>
          <w:numId w:val="27"/>
        </w:numPr>
      </w:pPr>
      <w:r>
        <w:t>17% relate to justice procedure offense. This includes breaches of orders</w:t>
      </w:r>
      <w:r w:rsidR="0071612E">
        <w:fldChar w:fldCharType="begin"/>
      </w:r>
      <w:r w:rsidR="0071612E">
        <w:instrText xml:space="preserve"> NOTEREF _Ref489005446 \f \h </w:instrText>
      </w:r>
      <w:r w:rsidR="0071612E">
        <w:fldChar w:fldCharType="separate"/>
      </w:r>
      <w:r w:rsidR="0071612E" w:rsidRPr="0071612E">
        <w:rPr>
          <w:rStyle w:val="FootnoteReference"/>
        </w:rPr>
        <w:t>3</w:t>
      </w:r>
      <w:r w:rsidR="0071612E">
        <w:fldChar w:fldCharType="end"/>
      </w:r>
      <w:r>
        <w:t xml:space="preserve"> </w:t>
      </w:r>
    </w:p>
    <w:p w:rsidR="00A6397C" w:rsidRDefault="00A6397C" w:rsidP="00435C0F">
      <w:pPr>
        <w:pStyle w:val="Bulletlistmultilevel"/>
        <w:numPr>
          <w:ilvl w:val="0"/>
          <w:numId w:val="27"/>
        </w:numPr>
      </w:pPr>
      <w:r>
        <w:t>16% relate to crimes against the person. This includes assault, harassment and sexual offense</w:t>
      </w:r>
      <w:r w:rsidR="0071612E">
        <w:fldChar w:fldCharType="begin"/>
      </w:r>
      <w:r w:rsidR="0071612E">
        <w:instrText xml:space="preserve"> NOTEREF _Ref489005446 \f \h </w:instrText>
      </w:r>
      <w:r w:rsidR="0071612E">
        <w:fldChar w:fldCharType="separate"/>
      </w:r>
      <w:r w:rsidR="0071612E" w:rsidRPr="0071612E">
        <w:rPr>
          <w:rStyle w:val="FootnoteReference"/>
        </w:rPr>
        <w:t>3</w:t>
      </w:r>
      <w:r w:rsidR="0071612E">
        <w:fldChar w:fldCharType="end"/>
      </w:r>
      <w:r>
        <w:t xml:space="preserve">. </w:t>
      </w:r>
    </w:p>
    <w:p w:rsidR="00A6397C" w:rsidRDefault="00A6397C" w:rsidP="00435C0F">
      <w:pPr>
        <w:pStyle w:val="Bulletlistmultilevel"/>
        <w:numPr>
          <w:ilvl w:val="0"/>
          <w:numId w:val="27"/>
        </w:numPr>
      </w:pPr>
      <w:r>
        <w:t>6% relate to drug offense</w:t>
      </w:r>
      <w:r w:rsidR="0071612E">
        <w:fldChar w:fldCharType="begin"/>
      </w:r>
      <w:r w:rsidR="0071612E">
        <w:instrText xml:space="preserve"> NOTEREF _Ref489005446 \f \h </w:instrText>
      </w:r>
      <w:r w:rsidR="0071612E">
        <w:fldChar w:fldCharType="separate"/>
      </w:r>
      <w:r w:rsidR="0071612E" w:rsidRPr="0071612E">
        <w:rPr>
          <w:rStyle w:val="FootnoteReference"/>
        </w:rPr>
        <w:t>3</w:t>
      </w:r>
      <w:r w:rsidR="0071612E">
        <w:fldChar w:fldCharType="end"/>
      </w:r>
      <w:r>
        <w:t xml:space="preserve">. </w:t>
      </w:r>
    </w:p>
    <w:p w:rsidR="00A6397C" w:rsidRDefault="00A6397C" w:rsidP="00435C0F">
      <w:pPr>
        <w:pStyle w:val="Bulletlistmultilevel"/>
        <w:numPr>
          <w:ilvl w:val="0"/>
          <w:numId w:val="27"/>
        </w:numPr>
      </w:pPr>
      <w:r>
        <w:t>4% relate to other offenses</w:t>
      </w:r>
      <w:r w:rsidR="0071612E">
        <w:fldChar w:fldCharType="begin"/>
      </w:r>
      <w:r w:rsidR="0071612E">
        <w:instrText xml:space="preserve"> NOTEREF _Ref489005446 \f \h </w:instrText>
      </w:r>
      <w:r w:rsidR="0071612E">
        <w:fldChar w:fldCharType="separate"/>
      </w:r>
      <w:r w:rsidR="0071612E" w:rsidRPr="0071612E">
        <w:rPr>
          <w:rStyle w:val="FootnoteReference"/>
        </w:rPr>
        <w:t>3</w:t>
      </w:r>
      <w:r w:rsidR="0071612E">
        <w:fldChar w:fldCharType="end"/>
      </w:r>
      <w:r>
        <w:t xml:space="preserve">. </w:t>
      </w:r>
    </w:p>
    <w:p w:rsidR="00272FE4" w:rsidRPr="00415706" w:rsidRDefault="00272FE4" w:rsidP="00272FE4">
      <w:pPr>
        <w:pStyle w:val="Heading3"/>
        <w:rPr>
          <w:rStyle w:val="Emphasis"/>
        </w:rPr>
      </w:pPr>
      <w:r>
        <w:lastRenderedPageBreak/>
        <w:t>Road safety</w:t>
      </w:r>
    </w:p>
    <w:p w:rsidR="00272FE4" w:rsidRPr="00010FD4" w:rsidRDefault="00272FE4" w:rsidP="00272FE4">
      <w:pPr>
        <w:pStyle w:val="Bulletlistmultilevel"/>
      </w:pPr>
      <w:r w:rsidRPr="00010FD4">
        <w:t>In the period 2011-15, 26 fatal accidents occurred</w:t>
      </w:r>
      <w:r w:rsidR="00974FD0">
        <w:t>;</w:t>
      </w:r>
      <w:r w:rsidRPr="00010FD4">
        <w:t xml:space="preserve"> 12 on local roads and 14 on arterial/freeway roads</w:t>
      </w:r>
      <w:r w:rsidR="00D9045E">
        <w:t>,</w:t>
      </w:r>
      <w:r w:rsidRPr="00010FD4">
        <w:t xml:space="preserve"> resulting in 32 deaths</w:t>
      </w:r>
      <w:bookmarkStart w:id="2" w:name="_Ref489005540"/>
      <w:r w:rsidR="0071612E">
        <w:rPr>
          <w:rStyle w:val="FootnoteReference"/>
        </w:rPr>
        <w:footnoteReference w:id="4"/>
      </w:r>
      <w:bookmarkEnd w:id="2"/>
      <w:r w:rsidRPr="00010FD4">
        <w:t xml:space="preserve">. </w:t>
      </w:r>
    </w:p>
    <w:p w:rsidR="00272FE4" w:rsidRDefault="00272FE4" w:rsidP="00272FE4">
      <w:pPr>
        <w:pStyle w:val="Bulletlistmultilevel"/>
        <w:rPr>
          <w:lang w:eastAsia="en-US"/>
        </w:rPr>
      </w:pPr>
      <w:r w:rsidRPr="00010FD4">
        <w:t>In the period 2011-15, 351 serious injury acciden</w:t>
      </w:r>
      <w:r w:rsidR="00974FD0">
        <w:t>ts occurred;</w:t>
      </w:r>
      <w:r w:rsidRPr="00010FD4">
        <w:t xml:space="preserve"> 139 on local roads and 212 on arterial</w:t>
      </w:r>
      <w:r>
        <w:rPr>
          <w:lang w:eastAsia="en-US"/>
        </w:rPr>
        <w:t>/freeway roads</w:t>
      </w:r>
      <w:r w:rsidR="00D9045E">
        <w:rPr>
          <w:lang w:eastAsia="en-US"/>
        </w:rPr>
        <w:t>,</w:t>
      </w:r>
      <w:r>
        <w:rPr>
          <w:lang w:eastAsia="en-US"/>
        </w:rPr>
        <w:t xml:space="preserve"> resulting in 411 persons seriously injured</w:t>
      </w:r>
      <w:r w:rsidR="0071612E">
        <w:rPr>
          <w:lang w:eastAsia="en-US"/>
        </w:rPr>
        <w:fldChar w:fldCharType="begin"/>
      </w:r>
      <w:r w:rsidR="0071612E">
        <w:rPr>
          <w:lang w:eastAsia="en-US"/>
        </w:rPr>
        <w:instrText xml:space="preserve"> NOTEREF _Ref489005540 \f \h </w:instrText>
      </w:r>
      <w:r w:rsidR="0071612E">
        <w:rPr>
          <w:lang w:eastAsia="en-US"/>
        </w:rPr>
      </w:r>
      <w:r w:rsidR="0071612E">
        <w:rPr>
          <w:lang w:eastAsia="en-US"/>
        </w:rPr>
        <w:fldChar w:fldCharType="separate"/>
      </w:r>
      <w:r w:rsidR="0071612E" w:rsidRPr="0071612E">
        <w:rPr>
          <w:rStyle w:val="FootnoteReference"/>
        </w:rPr>
        <w:t>4</w:t>
      </w:r>
      <w:r w:rsidR="0071612E">
        <w:rPr>
          <w:lang w:eastAsia="en-US"/>
        </w:rPr>
        <w:fldChar w:fldCharType="end"/>
      </w:r>
      <w:r>
        <w:rPr>
          <w:lang w:eastAsia="en-US"/>
        </w:rPr>
        <w:t xml:space="preserve">. </w:t>
      </w:r>
    </w:p>
    <w:p w:rsidR="00272FE4" w:rsidRDefault="00272FE4" w:rsidP="00272FE4">
      <w:pPr>
        <w:pStyle w:val="Heading3"/>
      </w:pPr>
      <w:r>
        <w:t>Injury</w:t>
      </w:r>
    </w:p>
    <w:p w:rsidR="009E4F03" w:rsidRDefault="009E4F03" w:rsidP="009E4F03">
      <w:pPr>
        <w:pStyle w:val="Bulletlistmultilevel"/>
      </w:pPr>
      <w:r>
        <w:t>Between July 2012 and June 2015 there were 5,768 hospital admissions and 21,126 presentations to emergency departments due to injury among residents of Cardinia shire</w:t>
      </w:r>
      <w:r>
        <w:rPr>
          <w:rStyle w:val="FootnoteReference"/>
        </w:rPr>
        <w:footnoteReference w:id="5"/>
      </w:r>
    </w:p>
    <w:p w:rsidR="009E4F03" w:rsidRDefault="009E4F03" w:rsidP="009E4F03">
      <w:pPr>
        <w:pStyle w:val="Bulletlistmultilevel"/>
      </w:pPr>
      <w:r>
        <w:t>Of the</w:t>
      </w:r>
      <w:r w:rsidRPr="007E7B61">
        <w:t xml:space="preserve"> 5,768 admissions to hospital for injury</w:t>
      </w:r>
      <w:r>
        <w:t>;</w:t>
      </w:r>
    </w:p>
    <w:p w:rsidR="009E4F03" w:rsidRDefault="009E4F03" w:rsidP="009E4F03">
      <w:pPr>
        <w:pStyle w:val="Bulletlistmultilevel"/>
        <w:numPr>
          <w:ilvl w:val="0"/>
          <w:numId w:val="30"/>
        </w:numPr>
      </w:pPr>
      <w:r w:rsidRPr="007E7B61">
        <w:t xml:space="preserve">92% </w:t>
      </w:r>
      <w:r>
        <w:t>were for unintentional injury</w:t>
      </w:r>
    </w:p>
    <w:p w:rsidR="009E4F03" w:rsidRDefault="009E4F03" w:rsidP="009E4F03">
      <w:pPr>
        <w:pStyle w:val="Bulletlistmultilevel"/>
        <w:numPr>
          <w:ilvl w:val="0"/>
          <w:numId w:val="30"/>
        </w:numPr>
      </w:pPr>
      <w:r>
        <w:t xml:space="preserve">6% for intentional injury </w:t>
      </w:r>
    </w:p>
    <w:p w:rsidR="009E4F03" w:rsidRDefault="009E4F03" w:rsidP="009E4F03">
      <w:pPr>
        <w:pStyle w:val="Bulletlistmultilevel"/>
        <w:numPr>
          <w:ilvl w:val="0"/>
          <w:numId w:val="30"/>
        </w:numPr>
      </w:pPr>
      <w:r w:rsidRPr="007E7B61">
        <w:t xml:space="preserve">2% for injuries </w:t>
      </w:r>
      <w:r>
        <w:t>of other or undetermined intent</w:t>
      </w:r>
    </w:p>
    <w:p w:rsidR="009E4F03" w:rsidRDefault="009E4F03" w:rsidP="009E4F03">
      <w:pPr>
        <w:pStyle w:val="Bulletlistmultilevel"/>
        <w:numPr>
          <w:ilvl w:val="0"/>
          <w:numId w:val="31"/>
        </w:numPr>
      </w:pPr>
      <w:r>
        <w:t xml:space="preserve">Of the 21,126 presentations to emergency departments the majority were for unintentional injury (60%). </w:t>
      </w:r>
    </w:p>
    <w:p w:rsidR="00272FE4" w:rsidRDefault="00272FE4" w:rsidP="00272FE4">
      <w:pPr>
        <w:pStyle w:val="Bulletlistmultilevel"/>
        <w:rPr>
          <w:lang w:eastAsia="en-US"/>
        </w:rPr>
      </w:pPr>
      <w:r>
        <w:rPr>
          <w:lang w:eastAsia="en-US"/>
        </w:rPr>
        <w:t>The average rate for avoidable deaths from suicide and self-inflicted</w:t>
      </w:r>
      <w:r w:rsidR="009E4F03">
        <w:rPr>
          <w:lang w:eastAsia="en-US"/>
        </w:rPr>
        <w:t xml:space="preserve"> injuries (persons aged 0-74)</w:t>
      </w:r>
      <w:r>
        <w:rPr>
          <w:lang w:eastAsia="en-US"/>
        </w:rPr>
        <w:t xml:space="preserve"> is 16.1 per 100,000 population, significantly higher than the Greater Melbourne measure of 9.6</w:t>
      </w:r>
      <w:r w:rsidR="009E4F03">
        <w:rPr>
          <w:rStyle w:val="FootnoteReference"/>
          <w:lang w:eastAsia="en-US"/>
        </w:rPr>
        <w:footnoteReference w:id="6"/>
      </w:r>
      <w:r>
        <w:rPr>
          <w:lang w:eastAsia="en-US"/>
        </w:rPr>
        <w:t xml:space="preserve">. </w:t>
      </w:r>
    </w:p>
    <w:p w:rsidR="00902BD1" w:rsidRDefault="00902BD1" w:rsidP="00902BD1">
      <w:pPr>
        <w:pStyle w:val="Heading3"/>
      </w:pPr>
      <w:r>
        <w:t>Natural hazards</w:t>
      </w:r>
    </w:p>
    <w:p w:rsidR="00D721A7" w:rsidRDefault="00D721A7" w:rsidP="00D721A7">
      <w:r>
        <w:t xml:space="preserve">Cardinia Shire has </w:t>
      </w:r>
      <w:r w:rsidRPr="009E28A8">
        <w:t>vast and varying geographical region</w:t>
      </w:r>
      <w:r>
        <w:t>s</w:t>
      </w:r>
      <w:r w:rsidRPr="009E28A8">
        <w:t xml:space="preserve">, </w:t>
      </w:r>
      <w:r>
        <w:t xml:space="preserve">and as such </w:t>
      </w:r>
      <w:r w:rsidRPr="009E28A8">
        <w:t>almost all hazards that affect a community are present in the Shire (Cardinia Shire Council, 2015). This includes bushfires, grassfires, floods, storms and heatwaves. Typically, the ‘</w:t>
      </w:r>
      <w:r>
        <w:t>H</w:t>
      </w:r>
      <w:r w:rsidRPr="009E28A8">
        <w:t xml:space="preserve">ills’ areas of Gembrook, Cockatoo, Emerald and surrounds are at risk of bushfire while those suburbs which lie south of the Princes Highway are located in a flood-prone area. </w:t>
      </w:r>
    </w:p>
    <w:p w:rsidR="00D721A7" w:rsidRPr="009E28A8" w:rsidRDefault="00D721A7" w:rsidP="00D721A7"/>
    <w:p w:rsidR="00D721A7" w:rsidRPr="00D721A7" w:rsidRDefault="00D721A7" w:rsidP="00D721A7">
      <w:pPr>
        <w:rPr>
          <w:lang w:eastAsia="en-US"/>
        </w:rPr>
      </w:pPr>
      <w:r>
        <w:rPr>
          <w:lang w:eastAsia="en-US"/>
        </w:rPr>
        <w:t xml:space="preserve">Community consultation was undertaken to </w:t>
      </w:r>
      <w:r w:rsidRPr="009E28A8">
        <w:t>establish the hazards that the community perceived to be the greatest risk to their community. Floods and fires were identified as the main natural hazards that we</w:t>
      </w:r>
      <w:r>
        <w:t xml:space="preserve">re of concern to the community; </w:t>
      </w:r>
    </w:p>
    <w:p w:rsidR="00902BD1" w:rsidRPr="00BD0BB6" w:rsidRDefault="00902BD1" w:rsidP="00D721A7">
      <w:pPr>
        <w:pStyle w:val="Bulletlistmultilevel"/>
        <w:numPr>
          <w:ilvl w:val="0"/>
          <w:numId w:val="32"/>
        </w:numPr>
        <w:tabs>
          <w:tab w:val="left" w:pos="357"/>
        </w:tabs>
        <w:spacing w:after="240"/>
        <w:contextualSpacing/>
      </w:pPr>
      <w:r w:rsidRPr="00BD0BB6">
        <w:t xml:space="preserve">Flood </w:t>
      </w:r>
      <w:r>
        <w:t>is</w:t>
      </w:r>
      <w:r w:rsidRPr="00BD0BB6">
        <w:t xml:space="preserve"> the number one concern for those in Kooweerup</w:t>
      </w:r>
    </w:p>
    <w:p w:rsidR="00902BD1" w:rsidRPr="00BD0BB6" w:rsidRDefault="00902BD1" w:rsidP="00D721A7">
      <w:pPr>
        <w:pStyle w:val="Bulletlistmultilevel"/>
        <w:numPr>
          <w:ilvl w:val="0"/>
          <w:numId w:val="32"/>
        </w:numPr>
        <w:tabs>
          <w:tab w:val="left" w:pos="357"/>
        </w:tabs>
        <w:spacing w:after="240"/>
        <w:contextualSpacing/>
      </w:pPr>
      <w:r w:rsidRPr="00BD0BB6">
        <w:t>Flood was rated as the second major concern for Maryknoll after bushfire</w:t>
      </w:r>
    </w:p>
    <w:p w:rsidR="00902BD1" w:rsidRPr="00BD0BB6" w:rsidRDefault="00902BD1" w:rsidP="00D721A7">
      <w:pPr>
        <w:pStyle w:val="Bulletlistmultilevel"/>
        <w:numPr>
          <w:ilvl w:val="0"/>
          <w:numId w:val="32"/>
        </w:numPr>
        <w:tabs>
          <w:tab w:val="left" w:pos="357"/>
        </w:tabs>
        <w:spacing w:after="240"/>
        <w:contextualSpacing/>
      </w:pPr>
      <w:r w:rsidRPr="00BD0BB6">
        <w:t xml:space="preserve">Bushfire was rated as the main concern for the community of Emerald </w:t>
      </w:r>
    </w:p>
    <w:p w:rsidR="00902BD1" w:rsidRPr="00BD0BB6" w:rsidRDefault="00902BD1" w:rsidP="00D721A7">
      <w:pPr>
        <w:pStyle w:val="Bulletlistmultilevel"/>
        <w:numPr>
          <w:ilvl w:val="0"/>
          <w:numId w:val="32"/>
        </w:numPr>
        <w:tabs>
          <w:tab w:val="left" w:pos="357"/>
        </w:tabs>
        <w:spacing w:after="240"/>
        <w:contextualSpacing/>
      </w:pPr>
      <w:r w:rsidRPr="00BD0BB6">
        <w:t>Storm was considered to be in the top five priorities for these communities</w:t>
      </w:r>
    </w:p>
    <w:p w:rsidR="00902BD1" w:rsidRDefault="00902BD1" w:rsidP="00D721A7">
      <w:pPr>
        <w:pStyle w:val="Bulletlistmultilevel"/>
        <w:numPr>
          <w:ilvl w:val="0"/>
          <w:numId w:val="32"/>
        </w:numPr>
        <w:rPr>
          <w:lang w:eastAsia="en-US"/>
        </w:rPr>
      </w:pPr>
      <w:r w:rsidRPr="00BD0BB6">
        <w:t>Heatwave wa</w:t>
      </w:r>
      <w:r>
        <w:t>s also a concern to communities (CSC, 2015, p. 29)</w:t>
      </w:r>
    </w:p>
    <w:p w:rsidR="00A6397C" w:rsidRDefault="00A6397C" w:rsidP="00A6397C">
      <w:pPr>
        <w:pStyle w:val="Bulletlistmultilevel"/>
        <w:numPr>
          <w:ilvl w:val="0"/>
          <w:numId w:val="0"/>
        </w:numPr>
        <w:ind w:left="357" w:hanging="357"/>
      </w:pPr>
    </w:p>
    <w:p w:rsidR="00A6397C" w:rsidRDefault="00A6397C" w:rsidP="00A6397C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  <w:bookmarkStart w:id="3" w:name="_GoBack"/>
      <w:bookmarkEnd w:id="3"/>
    </w:p>
    <w:p w:rsidR="00D9045E" w:rsidRDefault="00D9045E" w:rsidP="00A6397C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</w:p>
    <w:p w:rsidR="00D9045E" w:rsidRDefault="00D9045E" w:rsidP="00A6397C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</w:p>
    <w:p w:rsidR="009653B1" w:rsidRPr="00546E2C" w:rsidRDefault="009653B1" w:rsidP="009653B1">
      <w:pPr>
        <w:pStyle w:val="Heading1"/>
      </w:pPr>
      <w:r w:rsidRPr="00546E2C">
        <w:t>Contact us</w:t>
      </w:r>
    </w:p>
    <w:p w:rsidR="00B64B83" w:rsidRDefault="006578B7" w:rsidP="009170A7">
      <w:r>
        <w:rPr>
          <w:rFonts w:eastAsiaTheme="majorEastAsia"/>
          <w:lang w:eastAsia="en-US"/>
        </w:rPr>
        <w:t xml:space="preserve">For more information contact Social and Community Planning on 1300 787 624 or email </w:t>
      </w:r>
      <w:hyperlink r:id="rId10" w:history="1">
        <w:r w:rsidRPr="007531B8">
          <w:rPr>
            <w:rStyle w:val="Hyperlink"/>
            <w:rFonts w:eastAsiaTheme="majorEastAsia"/>
          </w:rPr>
          <w:t>mail@cardinia.vic.gov.au</w:t>
        </w:r>
      </w:hyperlink>
      <w:r>
        <w:rPr>
          <w:rFonts w:eastAsiaTheme="majorEastAsia"/>
          <w:lang w:eastAsia="en-US"/>
        </w:rPr>
        <w:t>.</w:t>
      </w:r>
      <w:r w:rsidR="00793342">
        <w:t xml:space="preserve"> </w:t>
      </w:r>
    </w:p>
    <w:sectPr w:rsidR="00B64B83" w:rsidSect="00A63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686" w:right="992" w:bottom="1276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B1" w:rsidRDefault="009653B1" w:rsidP="00756052">
      <w:r>
        <w:separator/>
      </w:r>
    </w:p>
    <w:p w:rsidR="009653B1" w:rsidRDefault="009653B1"/>
  </w:endnote>
  <w:endnote w:type="continuationSeparator" w:id="0">
    <w:p w:rsidR="009653B1" w:rsidRDefault="009653B1" w:rsidP="00756052">
      <w:r>
        <w:continuationSeparator/>
      </w:r>
    </w:p>
    <w:p w:rsidR="009653B1" w:rsidRDefault="00965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7C" w:rsidRDefault="00A6397C" w:rsidP="00A6397C">
    <w:pPr>
      <w:pStyle w:val="Footer"/>
      <w:jc w:val="right"/>
    </w:pPr>
    <w:r>
      <w:t>Prepared July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BF" w:rsidRDefault="00793CBF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  <w:r w:rsidRPr="00334E7E">
      <w:rPr>
        <w:rStyle w:val="FooterboldChar"/>
        <w:rFonts w:eastAsiaTheme="majorEastAsia"/>
        <w:i/>
      </w:rPr>
      <w:t>Cardinia Shire Council</w:t>
    </w:r>
    <w:r w:rsidR="005C7238">
      <w:rPr>
        <w:i/>
        <w:szCs w:val="18"/>
      </w:rPr>
      <w:tab/>
    </w:r>
    <w:r w:rsidRPr="00334E7E">
      <w:rPr>
        <w:i/>
        <w:szCs w:val="18"/>
      </w:rPr>
      <w:fldChar w:fldCharType="begin"/>
    </w:r>
    <w:r w:rsidRPr="00334E7E">
      <w:rPr>
        <w:i/>
        <w:szCs w:val="18"/>
      </w:rPr>
      <w:instrText xml:space="preserve"> PAGE   \* MERGEFORMAT </w:instrText>
    </w:r>
    <w:r w:rsidRPr="00334E7E">
      <w:rPr>
        <w:i/>
        <w:szCs w:val="18"/>
      </w:rPr>
      <w:fldChar w:fldCharType="separate"/>
    </w:r>
    <w:r w:rsidR="00D721A7">
      <w:rPr>
        <w:i/>
        <w:noProof/>
        <w:szCs w:val="18"/>
      </w:rPr>
      <w:t>3</w:t>
    </w:r>
    <w:r w:rsidRPr="00334E7E">
      <w:rPr>
        <w:i/>
        <w:noProof/>
        <w:szCs w:val="18"/>
      </w:rPr>
      <w:fldChar w:fldCharType="end"/>
    </w:r>
    <w:r w:rsidR="005C7238">
      <w:rPr>
        <w:i/>
        <w:noProof/>
        <w:szCs w:val="18"/>
      </w:rPr>
      <w:tab/>
      <w:t>Prepared June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7C" w:rsidRDefault="00A6397C" w:rsidP="00A6397C">
    <w:pPr>
      <w:pStyle w:val="Footer"/>
      <w:jc w:val="right"/>
    </w:pPr>
    <w:r>
      <w:t>Prepared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B1" w:rsidRDefault="009653B1" w:rsidP="00756052">
      <w:r>
        <w:separator/>
      </w:r>
    </w:p>
    <w:p w:rsidR="009653B1" w:rsidRDefault="009653B1"/>
  </w:footnote>
  <w:footnote w:type="continuationSeparator" w:id="0">
    <w:p w:rsidR="009653B1" w:rsidRDefault="009653B1" w:rsidP="00756052">
      <w:r>
        <w:continuationSeparator/>
      </w:r>
    </w:p>
    <w:p w:rsidR="009653B1" w:rsidRDefault="009653B1"/>
  </w:footnote>
  <w:footnote w:id="1">
    <w:p w:rsidR="00902BD1" w:rsidRDefault="00902BD1">
      <w:pPr>
        <w:pStyle w:val="FootnoteText"/>
      </w:pPr>
      <w:r>
        <w:rPr>
          <w:rStyle w:val="FootnoteReference"/>
        </w:rPr>
        <w:footnoteRef/>
      </w:r>
      <w:r>
        <w:t xml:space="preserve"> Community Indicators Victoria, Perceptions of safety, 2011 </w:t>
      </w:r>
    </w:p>
  </w:footnote>
  <w:footnote w:id="2">
    <w:p w:rsidR="00902BD1" w:rsidRDefault="00902BD1">
      <w:pPr>
        <w:pStyle w:val="FootnoteText"/>
      </w:pPr>
      <w:r>
        <w:rPr>
          <w:rStyle w:val="FootnoteReference"/>
        </w:rPr>
        <w:footnoteRef/>
      </w:r>
      <w:r>
        <w:t xml:space="preserve"> Cardinia Shire Council, Social Research, 2014/15-2015/16</w:t>
      </w:r>
    </w:p>
  </w:footnote>
  <w:footnote w:id="3">
    <w:p w:rsidR="0071612E" w:rsidRDefault="0071612E">
      <w:pPr>
        <w:pStyle w:val="FootnoteText"/>
      </w:pPr>
      <w:r>
        <w:rPr>
          <w:rStyle w:val="FootnoteReference"/>
        </w:rPr>
        <w:footnoteRef/>
      </w:r>
      <w:r>
        <w:t xml:space="preserve"> Crime Statistics Agency, 2017 </w:t>
      </w:r>
    </w:p>
  </w:footnote>
  <w:footnote w:id="4">
    <w:p w:rsidR="0071612E" w:rsidRDefault="0071612E">
      <w:pPr>
        <w:pStyle w:val="FootnoteText"/>
      </w:pPr>
      <w:r>
        <w:rPr>
          <w:rStyle w:val="FootnoteReference"/>
        </w:rPr>
        <w:footnoteRef/>
      </w:r>
      <w:r>
        <w:t xml:space="preserve"> Traffic Accident Commission (TAC), Crash Data, 2017 </w:t>
      </w:r>
    </w:p>
  </w:footnote>
  <w:footnote w:id="5">
    <w:p w:rsidR="009E4F03" w:rsidRPr="009E4F03" w:rsidRDefault="009E4F03" w:rsidP="009E4F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4F03">
        <w:t>Victorian Admitted Episodes Dataset (VAED): hospital admissions, July 2012 – June 2015.</w:t>
      </w:r>
    </w:p>
  </w:footnote>
  <w:footnote w:id="6">
    <w:p w:rsidR="009E4F03" w:rsidRDefault="009E4F03">
      <w:pPr>
        <w:pStyle w:val="FootnoteText"/>
      </w:pPr>
      <w:r>
        <w:rPr>
          <w:rStyle w:val="FootnoteReference"/>
        </w:rPr>
        <w:footnoteRef/>
      </w:r>
      <w:r>
        <w:t xml:space="preserve"> Department of Health and Human Services, Local Government Profile, 2015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7C" w:rsidRDefault="00A6397C" w:rsidP="00A6397C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5408" behindDoc="0" locked="0" layoutInCell="1" allowOverlap="1" wp14:anchorId="07DD3488" wp14:editId="4C34F237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6432" behindDoc="1" locked="0" layoutInCell="0" allowOverlap="1" wp14:anchorId="263CF349" wp14:editId="0B4E000E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974FD0" w:rsidRPr="00974FD0" w:rsidRDefault="00974FD0" w:rsidP="00974FD0">
    <w:pPr>
      <w:pStyle w:val="Title"/>
      <w:rPr>
        <w:rFonts w:asciiTheme="majorHAnsi" w:hAnsiTheme="majorHAnsi"/>
        <w:sz w:val="44"/>
        <w:szCs w:val="44"/>
      </w:rPr>
    </w:pPr>
    <w:r w:rsidRPr="00974FD0">
      <w:rPr>
        <w:rFonts w:asciiTheme="majorHAnsi" w:hAnsiTheme="majorHAnsi"/>
        <w:sz w:val="44"/>
        <w:szCs w:val="44"/>
      </w:rPr>
      <w:t>Factsheet</w:t>
    </w:r>
  </w:p>
  <w:p w:rsidR="00974FD0" w:rsidRPr="00974FD0" w:rsidRDefault="00974FD0" w:rsidP="00974FD0">
    <w:pPr>
      <w:rPr>
        <w:rFonts w:asciiTheme="majorHAnsi" w:hAnsiTheme="majorHAnsi"/>
        <w:color w:val="FFFFFF" w:themeColor="background1"/>
        <w:sz w:val="44"/>
        <w:szCs w:val="44"/>
        <w:lang w:eastAsia="en-US"/>
      </w:rPr>
    </w:pPr>
    <w:r w:rsidRPr="00974FD0">
      <w:rPr>
        <w:rFonts w:asciiTheme="majorHAnsi" w:hAnsiTheme="majorHAnsi"/>
        <w:color w:val="FFFFFF" w:themeColor="background1"/>
        <w:sz w:val="44"/>
        <w:szCs w:val="44"/>
        <w:lang w:eastAsia="en-US"/>
      </w:rPr>
      <w:t>Safety</w:t>
    </w:r>
  </w:p>
  <w:p w:rsidR="00A6397C" w:rsidRPr="00A6397C" w:rsidRDefault="00A6397C" w:rsidP="00A63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D1" w:rsidRDefault="00902BD1" w:rsidP="00902BD1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2336" behindDoc="0" locked="0" layoutInCell="1" allowOverlap="1" wp14:anchorId="56D95655" wp14:editId="6AD1F0D1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3360" behindDoc="1" locked="0" layoutInCell="0" allowOverlap="1" wp14:anchorId="13106F06" wp14:editId="787FFEA3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902BD1" w:rsidRDefault="00902BD1" w:rsidP="00902BD1">
    <w:pPr>
      <w:pStyle w:val="Title"/>
    </w:pPr>
    <w:r>
      <w:t>Improve safety</w:t>
    </w:r>
  </w:p>
  <w:p w:rsidR="00902BD1" w:rsidRPr="009653B1" w:rsidRDefault="00902BD1" w:rsidP="00902BD1">
    <w:pPr>
      <w:rPr>
        <w:color w:val="FFFFFF" w:themeColor="background1"/>
        <w:sz w:val="36"/>
        <w:szCs w:val="36"/>
        <w:lang w:eastAsia="en-US"/>
      </w:rPr>
    </w:pPr>
    <w:r w:rsidRPr="009653B1">
      <w:rPr>
        <w:color w:val="FFFFFF" w:themeColor="background1"/>
        <w:sz w:val="36"/>
        <w:szCs w:val="36"/>
        <w:lang w:eastAsia="en-US"/>
      </w:rPr>
      <w:t>Priority area</w:t>
    </w:r>
    <w:r>
      <w:rPr>
        <w:color w:val="FFFFFF" w:themeColor="background1"/>
        <w:sz w:val="36"/>
        <w:szCs w:val="36"/>
        <w:lang w:eastAsia="en-US"/>
      </w:rPr>
      <w:t xml:space="preserve"> </w:t>
    </w:r>
    <w:r w:rsidRPr="009653B1">
      <w:rPr>
        <w:color w:val="FFFFFF" w:themeColor="background1"/>
        <w:sz w:val="36"/>
        <w:szCs w:val="36"/>
        <w:lang w:eastAsia="en-US"/>
      </w:rPr>
      <w:t>#5</w:t>
    </w:r>
  </w:p>
  <w:p w:rsidR="00902BD1" w:rsidRDefault="00902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39" w:rsidRDefault="002A7F39" w:rsidP="002A7F39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59264" behindDoc="0" locked="0" layoutInCell="1" allowOverlap="1" wp14:anchorId="0AA8A7F2" wp14:editId="033FB068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0288" behindDoc="1" locked="0" layoutInCell="0" allowOverlap="1" wp14:anchorId="3D5F2FD1" wp14:editId="07BA3AF3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974FD0" w:rsidRPr="00974FD0" w:rsidRDefault="00974FD0" w:rsidP="00974FD0">
    <w:pPr>
      <w:pStyle w:val="Title"/>
      <w:rPr>
        <w:rFonts w:asciiTheme="majorHAnsi" w:hAnsiTheme="majorHAnsi"/>
        <w:sz w:val="44"/>
        <w:szCs w:val="44"/>
      </w:rPr>
    </w:pPr>
    <w:r w:rsidRPr="00974FD0">
      <w:rPr>
        <w:rFonts w:asciiTheme="majorHAnsi" w:hAnsiTheme="majorHAnsi"/>
        <w:sz w:val="44"/>
        <w:szCs w:val="44"/>
      </w:rPr>
      <w:t>Factsheet</w:t>
    </w:r>
  </w:p>
  <w:p w:rsidR="00974FD0" w:rsidRPr="00974FD0" w:rsidRDefault="00974FD0" w:rsidP="00974FD0">
    <w:pPr>
      <w:rPr>
        <w:rFonts w:asciiTheme="majorHAnsi" w:hAnsiTheme="majorHAnsi"/>
        <w:color w:val="FFFFFF" w:themeColor="background1"/>
        <w:sz w:val="44"/>
        <w:szCs w:val="44"/>
        <w:lang w:eastAsia="en-US"/>
      </w:rPr>
    </w:pPr>
    <w:r w:rsidRPr="00974FD0">
      <w:rPr>
        <w:rFonts w:asciiTheme="majorHAnsi" w:hAnsiTheme="majorHAnsi"/>
        <w:color w:val="FFFFFF" w:themeColor="background1"/>
        <w:sz w:val="44"/>
        <w:szCs w:val="44"/>
        <w:lang w:eastAsia="en-US"/>
      </w:rPr>
      <w:t>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B637C4E"/>
    <w:multiLevelType w:val="multilevel"/>
    <w:tmpl w:val="3316282C"/>
    <w:lvl w:ilvl="0">
      <w:start w:val="1"/>
      <w:numFmt w:val="bullet"/>
      <w:lvlText w:val="o"/>
      <w:lvlJc w:val="left"/>
      <w:pPr>
        <w:ind w:left="1071" w:hanging="357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ind w:left="1428" w:hanging="357"/>
      </w:pPr>
      <w:rPr>
        <w:rFonts w:ascii="Franklin Gothic Book" w:hAnsi="Franklin Gothic Book" w:hint="default"/>
      </w:rPr>
    </w:lvl>
    <w:lvl w:ilvl="2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0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927" w:hanging="357"/>
      </w:pPr>
      <w:rPr>
        <w:rFonts w:hint="default"/>
      </w:rPr>
    </w:lvl>
  </w:abstractNum>
  <w:abstractNum w:abstractNumId="3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38028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8" w15:restartNumberingAfterBreak="0">
    <w:nsid w:val="2E6053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CC7020"/>
    <w:multiLevelType w:val="hybridMultilevel"/>
    <w:tmpl w:val="BC22E160"/>
    <w:lvl w:ilvl="0" w:tplc="DA7A2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CAC7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E54B0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8810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C630F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BCEC4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EB8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227F7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A54B4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D3B5277"/>
    <w:multiLevelType w:val="multilevel"/>
    <w:tmpl w:val="D0144F12"/>
    <w:lvl w:ilvl="0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ind w:left="1071" w:hanging="357"/>
      </w:pPr>
      <w:rPr>
        <w:rFonts w:ascii="Franklin Gothic Book" w:hAnsi="Franklin Gothic Book" w:hint="default"/>
      </w:rPr>
    </w:lvl>
    <w:lvl w:ilvl="2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1" w15:restartNumberingAfterBreak="0">
    <w:nsid w:val="3DE828E1"/>
    <w:multiLevelType w:val="hybridMultilevel"/>
    <w:tmpl w:val="CE204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7903"/>
    <w:multiLevelType w:val="hybridMultilevel"/>
    <w:tmpl w:val="4322E76C"/>
    <w:lvl w:ilvl="0" w:tplc="CC627FB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84F6F"/>
    <w:multiLevelType w:val="multilevel"/>
    <w:tmpl w:val="DDC42E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6" w15:restartNumberingAfterBreak="0">
    <w:nsid w:val="57D41F04"/>
    <w:multiLevelType w:val="hybridMultilevel"/>
    <w:tmpl w:val="3202D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6359"/>
    <w:multiLevelType w:val="hybridMultilevel"/>
    <w:tmpl w:val="10222AC2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ABE5130"/>
    <w:multiLevelType w:val="hybridMultilevel"/>
    <w:tmpl w:val="CAB89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7B70BA"/>
    <w:multiLevelType w:val="hybridMultilevel"/>
    <w:tmpl w:val="BF163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FB5E60"/>
    <w:multiLevelType w:val="hybridMultilevel"/>
    <w:tmpl w:val="CC928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C2DDC"/>
    <w:multiLevelType w:val="hybridMultilevel"/>
    <w:tmpl w:val="F4863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  <w:num w:numId="16">
    <w:abstractNumId w:val="14"/>
  </w:num>
  <w:num w:numId="17">
    <w:abstractNumId w:val="14"/>
  </w:num>
  <w:num w:numId="18">
    <w:abstractNumId w:val="14"/>
  </w:num>
  <w:num w:numId="19">
    <w:abstractNumId w:val="0"/>
  </w:num>
  <w:num w:numId="20">
    <w:abstractNumId w:val="0"/>
  </w:num>
  <w:num w:numId="21">
    <w:abstractNumId w:val="0"/>
  </w:num>
  <w:num w:numId="22">
    <w:abstractNumId w:val="14"/>
    <w:lvlOverride w:ilvl="0">
      <w:lvl w:ilvl="0">
        <w:start w:val="1"/>
        <w:numFmt w:val="bullet"/>
        <w:pStyle w:val="Bulletlistmultilevel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</w:num>
  <w:num w:numId="23">
    <w:abstractNumId w:val="11"/>
  </w:num>
  <w:num w:numId="24">
    <w:abstractNumId w:val="16"/>
  </w:num>
  <w:num w:numId="25">
    <w:abstractNumId w:val="21"/>
  </w:num>
  <w:num w:numId="26">
    <w:abstractNumId w:val="22"/>
  </w:num>
  <w:num w:numId="27">
    <w:abstractNumId w:val="17"/>
  </w:num>
  <w:num w:numId="28">
    <w:abstractNumId w:val="20"/>
  </w:num>
  <w:num w:numId="29">
    <w:abstractNumId w:val="12"/>
  </w:num>
  <w:num w:numId="30">
    <w:abstractNumId w:val="2"/>
  </w:num>
  <w:num w:numId="31">
    <w:abstractNumId w:val="18"/>
  </w:num>
  <w:num w:numId="3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14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B1"/>
    <w:rsid w:val="00002076"/>
    <w:rsid w:val="0000276F"/>
    <w:rsid w:val="00003EF1"/>
    <w:rsid w:val="000065FA"/>
    <w:rsid w:val="0001029C"/>
    <w:rsid w:val="00010FD4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3997"/>
    <w:rsid w:val="00064A68"/>
    <w:rsid w:val="00065254"/>
    <w:rsid w:val="00065C0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1A4E"/>
    <w:rsid w:val="000C235B"/>
    <w:rsid w:val="000C2AB8"/>
    <w:rsid w:val="000C3551"/>
    <w:rsid w:val="000C4B68"/>
    <w:rsid w:val="000C670F"/>
    <w:rsid w:val="000C76C1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3C09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26AC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18A7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72FE4"/>
    <w:rsid w:val="00274D2E"/>
    <w:rsid w:val="00281664"/>
    <w:rsid w:val="00283A4B"/>
    <w:rsid w:val="00284355"/>
    <w:rsid w:val="00287645"/>
    <w:rsid w:val="00287D46"/>
    <w:rsid w:val="002933AA"/>
    <w:rsid w:val="002A10B2"/>
    <w:rsid w:val="002A2271"/>
    <w:rsid w:val="002A5D54"/>
    <w:rsid w:val="002A7F39"/>
    <w:rsid w:val="002B0EC7"/>
    <w:rsid w:val="002B525B"/>
    <w:rsid w:val="002B5EA0"/>
    <w:rsid w:val="002B7DA3"/>
    <w:rsid w:val="002C05FC"/>
    <w:rsid w:val="002C320C"/>
    <w:rsid w:val="002D3AC4"/>
    <w:rsid w:val="002E187E"/>
    <w:rsid w:val="002E27A0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495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69A1"/>
    <w:rsid w:val="003A76E1"/>
    <w:rsid w:val="003C26EF"/>
    <w:rsid w:val="003C37E0"/>
    <w:rsid w:val="003C7B87"/>
    <w:rsid w:val="003D0278"/>
    <w:rsid w:val="003D06BD"/>
    <w:rsid w:val="003D4CED"/>
    <w:rsid w:val="003D4F97"/>
    <w:rsid w:val="003D5D07"/>
    <w:rsid w:val="003E0907"/>
    <w:rsid w:val="003E23A7"/>
    <w:rsid w:val="003E58BF"/>
    <w:rsid w:val="003E659E"/>
    <w:rsid w:val="003E67D6"/>
    <w:rsid w:val="003E6DE1"/>
    <w:rsid w:val="003F24A1"/>
    <w:rsid w:val="003F75DF"/>
    <w:rsid w:val="0040072B"/>
    <w:rsid w:val="0040164F"/>
    <w:rsid w:val="00402027"/>
    <w:rsid w:val="00402A24"/>
    <w:rsid w:val="00403877"/>
    <w:rsid w:val="004061BD"/>
    <w:rsid w:val="00407AB5"/>
    <w:rsid w:val="004117B5"/>
    <w:rsid w:val="00412B8C"/>
    <w:rsid w:val="004156EF"/>
    <w:rsid w:val="00415706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67F"/>
    <w:rsid w:val="00437C9B"/>
    <w:rsid w:val="0044162F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122D"/>
    <w:rsid w:val="004E444D"/>
    <w:rsid w:val="004E4A89"/>
    <w:rsid w:val="004E4D48"/>
    <w:rsid w:val="004E6995"/>
    <w:rsid w:val="004E7872"/>
    <w:rsid w:val="004F04E0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6055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238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ECC"/>
    <w:rsid w:val="005D4F00"/>
    <w:rsid w:val="005D5501"/>
    <w:rsid w:val="005E067A"/>
    <w:rsid w:val="005E4993"/>
    <w:rsid w:val="005E6A56"/>
    <w:rsid w:val="005F2251"/>
    <w:rsid w:val="005F351D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5FD3"/>
    <w:rsid w:val="006267BA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578B7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73F7"/>
    <w:rsid w:val="0068744B"/>
    <w:rsid w:val="00690649"/>
    <w:rsid w:val="00690C90"/>
    <w:rsid w:val="006911EB"/>
    <w:rsid w:val="00694D70"/>
    <w:rsid w:val="00694F3D"/>
    <w:rsid w:val="006951D1"/>
    <w:rsid w:val="00695E65"/>
    <w:rsid w:val="006A0DD7"/>
    <w:rsid w:val="006A2F2F"/>
    <w:rsid w:val="006A4F5A"/>
    <w:rsid w:val="006A56F1"/>
    <w:rsid w:val="006B0415"/>
    <w:rsid w:val="006B3FB9"/>
    <w:rsid w:val="006B71B5"/>
    <w:rsid w:val="006C1C35"/>
    <w:rsid w:val="006C4F09"/>
    <w:rsid w:val="006D095A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11E46"/>
    <w:rsid w:val="0071612E"/>
    <w:rsid w:val="007218DF"/>
    <w:rsid w:val="00722ACC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337D"/>
    <w:rsid w:val="00785116"/>
    <w:rsid w:val="00786CDD"/>
    <w:rsid w:val="007878E6"/>
    <w:rsid w:val="00787979"/>
    <w:rsid w:val="0079043F"/>
    <w:rsid w:val="00793342"/>
    <w:rsid w:val="00793CB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282C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33B6"/>
    <w:rsid w:val="008C5961"/>
    <w:rsid w:val="008C5D4B"/>
    <w:rsid w:val="008C7F57"/>
    <w:rsid w:val="008D32BA"/>
    <w:rsid w:val="008D3BDF"/>
    <w:rsid w:val="008D5D65"/>
    <w:rsid w:val="008D6D44"/>
    <w:rsid w:val="008E08E4"/>
    <w:rsid w:val="008E0F30"/>
    <w:rsid w:val="008F3314"/>
    <w:rsid w:val="008F387E"/>
    <w:rsid w:val="008F3E83"/>
    <w:rsid w:val="008F406F"/>
    <w:rsid w:val="00902BD1"/>
    <w:rsid w:val="00905516"/>
    <w:rsid w:val="0090576B"/>
    <w:rsid w:val="00910363"/>
    <w:rsid w:val="00911DC8"/>
    <w:rsid w:val="00914982"/>
    <w:rsid w:val="00914B24"/>
    <w:rsid w:val="00915B61"/>
    <w:rsid w:val="00915F86"/>
    <w:rsid w:val="009170A7"/>
    <w:rsid w:val="0092120C"/>
    <w:rsid w:val="00922171"/>
    <w:rsid w:val="009247EA"/>
    <w:rsid w:val="00926645"/>
    <w:rsid w:val="00931AD2"/>
    <w:rsid w:val="00933E64"/>
    <w:rsid w:val="00935609"/>
    <w:rsid w:val="009414C0"/>
    <w:rsid w:val="009457AC"/>
    <w:rsid w:val="009478F7"/>
    <w:rsid w:val="00951AF2"/>
    <w:rsid w:val="00952141"/>
    <w:rsid w:val="00954AD2"/>
    <w:rsid w:val="0095506F"/>
    <w:rsid w:val="00955271"/>
    <w:rsid w:val="0095679D"/>
    <w:rsid w:val="00957848"/>
    <w:rsid w:val="00960533"/>
    <w:rsid w:val="0096384E"/>
    <w:rsid w:val="00965336"/>
    <w:rsid w:val="009653B1"/>
    <w:rsid w:val="009669C3"/>
    <w:rsid w:val="00967B26"/>
    <w:rsid w:val="00970B10"/>
    <w:rsid w:val="009736B4"/>
    <w:rsid w:val="00974FD0"/>
    <w:rsid w:val="0097525D"/>
    <w:rsid w:val="00983405"/>
    <w:rsid w:val="0098392F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181"/>
    <w:rsid w:val="009B5ED3"/>
    <w:rsid w:val="009C00C1"/>
    <w:rsid w:val="009C2AEA"/>
    <w:rsid w:val="009C2BE0"/>
    <w:rsid w:val="009C6EA1"/>
    <w:rsid w:val="009D0241"/>
    <w:rsid w:val="009E0FF6"/>
    <w:rsid w:val="009E4F03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5A48"/>
    <w:rsid w:val="00A173E8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397C"/>
    <w:rsid w:val="00A65FBB"/>
    <w:rsid w:val="00A664D1"/>
    <w:rsid w:val="00A66563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C3709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28A4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4B83"/>
    <w:rsid w:val="00B65477"/>
    <w:rsid w:val="00B67F61"/>
    <w:rsid w:val="00B709F6"/>
    <w:rsid w:val="00B71628"/>
    <w:rsid w:val="00B7382A"/>
    <w:rsid w:val="00B74F3E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717E"/>
    <w:rsid w:val="00BB777A"/>
    <w:rsid w:val="00BC03C4"/>
    <w:rsid w:val="00BC0824"/>
    <w:rsid w:val="00BC2A1E"/>
    <w:rsid w:val="00BC31E7"/>
    <w:rsid w:val="00BC6C21"/>
    <w:rsid w:val="00BD0333"/>
    <w:rsid w:val="00BD0BB6"/>
    <w:rsid w:val="00BD1F78"/>
    <w:rsid w:val="00BD219E"/>
    <w:rsid w:val="00BD287D"/>
    <w:rsid w:val="00BD4621"/>
    <w:rsid w:val="00BD718D"/>
    <w:rsid w:val="00BE59F9"/>
    <w:rsid w:val="00BE6DC9"/>
    <w:rsid w:val="00BF3F69"/>
    <w:rsid w:val="00BF4D6B"/>
    <w:rsid w:val="00BF5E84"/>
    <w:rsid w:val="00BF78ED"/>
    <w:rsid w:val="00BF7BA9"/>
    <w:rsid w:val="00C00985"/>
    <w:rsid w:val="00C04456"/>
    <w:rsid w:val="00C06896"/>
    <w:rsid w:val="00C12190"/>
    <w:rsid w:val="00C17048"/>
    <w:rsid w:val="00C234A2"/>
    <w:rsid w:val="00C23728"/>
    <w:rsid w:val="00C3185F"/>
    <w:rsid w:val="00C325CC"/>
    <w:rsid w:val="00C34D1A"/>
    <w:rsid w:val="00C36C71"/>
    <w:rsid w:val="00C36DC4"/>
    <w:rsid w:val="00C40755"/>
    <w:rsid w:val="00C425F5"/>
    <w:rsid w:val="00C615D1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432A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27152"/>
    <w:rsid w:val="00D34A70"/>
    <w:rsid w:val="00D3539D"/>
    <w:rsid w:val="00D40E52"/>
    <w:rsid w:val="00D42D4E"/>
    <w:rsid w:val="00D4363D"/>
    <w:rsid w:val="00D470EC"/>
    <w:rsid w:val="00D51B1A"/>
    <w:rsid w:val="00D62348"/>
    <w:rsid w:val="00D63D11"/>
    <w:rsid w:val="00D712A5"/>
    <w:rsid w:val="00D721A7"/>
    <w:rsid w:val="00D729CD"/>
    <w:rsid w:val="00D76764"/>
    <w:rsid w:val="00D82804"/>
    <w:rsid w:val="00D82B3C"/>
    <w:rsid w:val="00D9045E"/>
    <w:rsid w:val="00D9252A"/>
    <w:rsid w:val="00DA0D3D"/>
    <w:rsid w:val="00DA684D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2769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C7B"/>
    <w:rsid w:val="00E36C3F"/>
    <w:rsid w:val="00E400B1"/>
    <w:rsid w:val="00E42132"/>
    <w:rsid w:val="00E42315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65E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53C5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5272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45E6"/>
    <w:rsid w:val="00F85213"/>
    <w:rsid w:val="00F9032A"/>
    <w:rsid w:val="00F92D94"/>
    <w:rsid w:val="00F9538B"/>
    <w:rsid w:val="00F972B3"/>
    <w:rsid w:val="00FA195B"/>
    <w:rsid w:val="00FA43CD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01F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A8323E"/>
  <w14:discardImageEditingData/>
  <w15:docId w15:val="{F6B42F6B-EC31-4030-BDBF-E2185359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B1"/>
  </w:style>
  <w:style w:type="paragraph" w:styleId="Heading1">
    <w:name w:val="heading 1"/>
    <w:next w:val="Normal"/>
    <w:link w:val="Heading1Char"/>
    <w:qFormat/>
    <w:rsid w:val="002B5EA0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B5EA0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2B5EA0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A0"/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5EA0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5EA0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2B5EA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2B5EA0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2B5EA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2B5EA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2B5EA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2B5EA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2B5EA0"/>
    <w:rPr>
      <w:b/>
      <w:sz w:val="18"/>
      <w:szCs w:val="20"/>
      <w:lang w:eastAsia="en-US"/>
    </w:rPr>
  </w:style>
  <w:style w:type="character" w:styleId="Hyperlink">
    <w:name w:val="Hyperlink"/>
    <w:uiPriority w:val="99"/>
    <w:qFormat/>
    <w:rsid w:val="002B5EA0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rsid w:val="00E04834"/>
    <w:pPr>
      <w:spacing w:before="240"/>
    </w:pPr>
  </w:style>
  <w:style w:type="character" w:styleId="PageNumber">
    <w:name w:val="page number"/>
    <w:basedOn w:val="DefaultParagraphFont"/>
    <w:uiPriority w:val="10"/>
    <w:qFormat/>
    <w:rsid w:val="002B5EA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2B5EA0"/>
    <w:rPr>
      <w:b/>
      <w:bCs/>
    </w:rPr>
  </w:style>
  <w:style w:type="paragraph" w:styleId="Title">
    <w:name w:val="Title"/>
    <w:next w:val="Normal"/>
    <w:link w:val="TitleChar"/>
    <w:uiPriority w:val="5"/>
    <w:qFormat/>
    <w:rsid w:val="002B5EA0"/>
    <w:pPr>
      <w:spacing w:before="240" w:after="60"/>
    </w:pPr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2B5EA0"/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2B5EA0"/>
    <w:pPr>
      <w:numPr>
        <w:numId w:val="18"/>
      </w:numPr>
    </w:pPr>
  </w:style>
  <w:style w:type="paragraph" w:customStyle="1" w:styleId="Bulletlevel2CSC">
    <w:name w:val="Bullet level 2 CSC"/>
    <w:basedOn w:val="Normal"/>
    <w:semiHidden/>
    <w:qFormat/>
    <w:rsid w:val="002B5EA0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2B5EA0"/>
    <w:pPr>
      <w:numPr>
        <w:ilvl w:val="2"/>
        <w:numId w:val="1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16"/>
      </w:numPr>
    </w:pPr>
  </w:style>
  <w:style w:type="paragraph" w:customStyle="1" w:styleId="Numberlevel2CSC">
    <w:name w:val="Number level 2 CSC"/>
    <w:basedOn w:val="Normal"/>
    <w:semiHidden/>
    <w:qFormat/>
    <w:rsid w:val="002B5EA0"/>
    <w:pPr>
      <w:numPr>
        <w:ilvl w:val="1"/>
        <w:numId w:val="21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2B5EA0"/>
    <w:pPr>
      <w:numPr>
        <w:ilvl w:val="2"/>
        <w:numId w:val="21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2B5EA0"/>
    <w:pPr>
      <w:numPr>
        <w:ilvl w:val="3"/>
        <w:numId w:val="21"/>
      </w:numPr>
      <w:spacing w:after="60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2B5EA0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paragraph" w:customStyle="1" w:styleId="BodyText-List-Indent">
    <w:name w:val="Body Text - List - Indent"/>
    <w:rsid w:val="009E4F03"/>
    <w:pPr>
      <w:numPr>
        <w:numId w:val="29"/>
      </w:numPr>
      <w:spacing w:after="120"/>
    </w:pPr>
    <w:rPr>
      <w:rFonts w:ascii="Arial" w:eastAsia="Times" w:hAnsi="Arial" w:cs="Arial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il@cardini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rdinia.vic.gov.au\dfs\Data\Office%202016\Templates\Promotional%20Material\Factsheet-general-blank.dotx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85FAA15-3749-42B3-9F11-C2312FA2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Factsheet-general-blank.dotx</Template>
  <TotalTime>141</TotalTime>
  <Pages>2</Pages>
  <Words>654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Larkman</dc:creator>
  <cp:lastModifiedBy>Megan Gill</cp:lastModifiedBy>
  <cp:revision>9</cp:revision>
  <cp:lastPrinted>2014-03-03T21:33:00Z</cp:lastPrinted>
  <dcterms:created xsi:type="dcterms:W3CDTF">2017-06-29T00:10:00Z</dcterms:created>
  <dcterms:modified xsi:type="dcterms:W3CDTF">2017-08-28T04:03:00Z</dcterms:modified>
</cp:coreProperties>
</file>