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AD" w:rsidRDefault="00057FAD" w:rsidP="00282C17">
      <w:pPr>
        <w:pStyle w:val="Heading1"/>
      </w:pPr>
    </w:p>
    <w:p w:rsidR="00282C17" w:rsidRDefault="00282C17" w:rsidP="00282C17">
      <w:pPr>
        <w:pStyle w:val="Heading1"/>
      </w:pPr>
      <w:r>
        <w:t xml:space="preserve">Cardinia Shire </w:t>
      </w:r>
      <w:r w:rsidRPr="00600307">
        <w:t>Liveability Plan 2017-</w:t>
      </w:r>
      <w:r>
        <w:t>29</w:t>
      </w:r>
    </w:p>
    <w:p w:rsidR="004B2973" w:rsidRDefault="004B2973" w:rsidP="004B2973">
      <w:pPr>
        <w:pStyle w:val="Heading2"/>
        <w:rPr>
          <w:rFonts w:ascii="Franklin Gothic Book" w:eastAsia="Times New Roman" w:hAnsi="Franklin Gothic Book" w:cs="Times New Roman"/>
          <w:color w:val="auto"/>
          <w:sz w:val="22"/>
          <w:szCs w:val="22"/>
          <w:lang w:eastAsia="en-AU"/>
        </w:rPr>
      </w:pPr>
      <w:r w:rsidRPr="00AF1D03">
        <w:rPr>
          <w:rFonts w:ascii="Franklin Gothic Book" w:eastAsia="Times New Roman" w:hAnsi="Franklin Gothic Book" w:cs="Times New Roman"/>
          <w:color w:val="auto"/>
          <w:sz w:val="22"/>
          <w:szCs w:val="22"/>
          <w:lang w:eastAsia="en-AU"/>
        </w:rPr>
        <w:t xml:space="preserve">Cardinia Shire’s Liveability Health Plan 2017-2029 identifies the top seven health and social priorities impacting the overall health and wellbeing of the municipality. </w:t>
      </w:r>
      <w:r w:rsidR="009909F2">
        <w:rPr>
          <w:rFonts w:ascii="Franklin Gothic Book" w:eastAsia="Times New Roman" w:hAnsi="Franklin Gothic Book" w:cs="Times New Roman"/>
          <w:color w:val="auto"/>
          <w:sz w:val="22"/>
          <w:szCs w:val="22"/>
          <w:lang w:eastAsia="en-AU"/>
        </w:rPr>
        <w:t xml:space="preserve">Harm from </w:t>
      </w:r>
      <w:r w:rsidR="002C1578">
        <w:rPr>
          <w:rFonts w:ascii="Franklin Gothic Book" w:eastAsia="Times New Roman" w:hAnsi="Franklin Gothic Book" w:cs="Times New Roman"/>
          <w:color w:val="auto"/>
          <w:sz w:val="22"/>
          <w:szCs w:val="22"/>
          <w:lang w:eastAsia="en-AU"/>
        </w:rPr>
        <w:t xml:space="preserve">tobacco, alcohol, </w:t>
      </w:r>
      <w:r w:rsidR="00BF45AD">
        <w:rPr>
          <w:rFonts w:ascii="Franklin Gothic Book" w:eastAsia="Times New Roman" w:hAnsi="Franklin Gothic Book" w:cs="Times New Roman"/>
          <w:color w:val="auto"/>
          <w:sz w:val="22"/>
          <w:szCs w:val="22"/>
          <w:lang w:eastAsia="en-AU"/>
        </w:rPr>
        <w:t>drugs</w:t>
      </w:r>
      <w:r w:rsidR="002C1578">
        <w:rPr>
          <w:rFonts w:ascii="Franklin Gothic Book" w:eastAsia="Times New Roman" w:hAnsi="Franklin Gothic Book" w:cs="Times New Roman"/>
          <w:color w:val="auto"/>
          <w:sz w:val="22"/>
          <w:szCs w:val="22"/>
          <w:lang w:eastAsia="en-AU"/>
        </w:rPr>
        <w:t xml:space="preserve"> and gambling</w:t>
      </w:r>
      <w:r>
        <w:rPr>
          <w:rFonts w:ascii="Franklin Gothic Book" w:eastAsia="Times New Roman" w:hAnsi="Franklin Gothic Book" w:cs="Times New Roman"/>
          <w:color w:val="auto"/>
          <w:sz w:val="22"/>
          <w:szCs w:val="22"/>
          <w:lang w:eastAsia="en-AU"/>
        </w:rPr>
        <w:t xml:space="preserve"> is one of these seven priority areas. </w:t>
      </w:r>
    </w:p>
    <w:p w:rsidR="00692264" w:rsidRDefault="00692264" w:rsidP="009909F2">
      <w:pPr>
        <w:pStyle w:val="Heading2"/>
      </w:pPr>
      <w:r>
        <w:t>What is</w:t>
      </w:r>
      <w:r w:rsidR="002C1578">
        <w:t xml:space="preserve"> harm from tobacco, alcohol, </w:t>
      </w:r>
      <w:r>
        <w:t>drugs</w:t>
      </w:r>
      <w:r w:rsidR="002C1578">
        <w:t xml:space="preserve"> and gambling</w:t>
      </w:r>
      <w:r>
        <w:t>?</w:t>
      </w:r>
    </w:p>
    <w:p w:rsidR="00282C17" w:rsidRDefault="003540CE" w:rsidP="0026100E">
      <w:pPr>
        <w:rPr>
          <w:rFonts w:cs="Calibri"/>
          <w:color w:val="444444"/>
          <w:lang w:val="en"/>
        </w:rPr>
      </w:pPr>
      <w:r w:rsidRPr="0026100E">
        <w:rPr>
          <w:lang w:val="en"/>
        </w:rPr>
        <w:t>Tobacco smoking is the leading preventable cause of death and disease in Victoria.</w:t>
      </w:r>
      <w:r w:rsidR="00997B54">
        <w:rPr>
          <w:rFonts w:cs="Calibri"/>
          <w:color w:val="444444"/>
          <w:lang w:val="en"/>
        </w:rPr>
        <w:t xml:space="preserve"> </w:t>
      </w:r>
      <w:r>
        <w:rPr>
          <w:lang w:val="en"/>
        </w:rPr>
        <w:t xml:space="preserve">People who smoke are at a higher risk of developing cancer, lung disease, heart disease and poor circulation which can lead to amputation. </w:t>
      </w:r>
      <w:r w:rsidR="00997B54">
        <w:rPr>
          <w:lang w:val="en"/>
        </w:rPr>
        <w:t xml:space="preserve">The drinking culture has seen the detrimental effects of harmful levels of drinking health and the social and economic impacts across communities.  </w:t>
      </w:r>
      <w:r w:rsidR="005B0748">
        <w:rPr>
          <w:lang w:val="en"/>
        </w:rPr>
        <w:t xml:space="preserve">Recreational drug use can affect a </w:t>
      </w:r>
      <w:r w:rsidR="00EA2F2F">
        <w:rPr>
          <w:lang w:val="en"/>
        </w:rPr>
        <w:t xml:space="preserve">person’s </w:t>
      </w:r>
      <w:r w:rsidR="005B0748">
        <w:rPr>
          <w:lang w:val="en"/>
        </w:rPr>
        <w:t xml:space="preserve">physical and emotional wellbeing. </w:t>
      </w:r>
      <w:r w:rsidR="00EA2F2F">
        <w:rPr>
          <w:lang w:val="en"/>
        </w:rPr>
        <w:t>B</w:t>
      </w:r>
      <w:r w:rsidR="005B0748">
        <w:rPr>
          <w:lang w:val="en"/>
        </w:rPr>
        <w:t xml:space="preserve">roader </w:t>
      </w:r>
      <w:r w:rsidR="00EA2F2F">
        <w:rPr>
          <w:lang w:val="en"/>
        </w:rPr>
        <w:t xml:space="preserve">impacts of drugs can include negative </w:t>
      </w:r>
      <w:r w:rsidR="005B0748">
        <w:rPr>
          <w:lang w:val="en"/>
        </w:rPr>
        <w:t>consequences on your social life, family, work, and financial situation.</w:t>
      </w:r>
      <w:r w:rsidR="0026100E">
        <w:rPr>
          <w:rFonts w:cs="Calibri"/>
          <w:color w:val="444444"/>
          <w:lang w:val="en"/>
        </w:rPr>
        <w:t xml:space="preserve"> </w:t>
      </w:r>
    </w:p>
    <w:p w:rsidR="002C1578" w:rsidRDefault="002C1578" w:rsidP="0026100E">
      <w:pPr>
        <w:rPr>
          <w:rFonts w:cs="Calibri"/>
          <w:color w:val="444444"/>
          <w:lang w:val="en"/>
        </w:rPr>
      </w:pPr>
    </w:p>
    <w:p w:rsidR="002C1578" w:rsidRDefault="002C1578" w:rsidP="0026100E">
      <w:pPr>
        <w:rPr>
          <w:rFonts w:cs="Calibri"/>
          <w:lang w:val="en"/>
        </w:rPr>
      </w:pPr>
      <w:r w:rsidRPr="0075296D">
        <w:rPr>
          <w:rFonts w:cs="Calibri"/>
          <w:lang w:val="en"/>
        </w:rPr>
        <w:t xml:space="preserve">Since the introduction of electronic gaming machines into local hotels and clubs in Victoria in 1991, </w:t>
      </w:r>
      <w:r w:rsidR="0075296D">
        <w:rPr>
          <w:rFonts w:cs="Calibri"/>
          <w:lang w:val="en"/>
        </w:rPr>
        <w:t>communities have s</w:t>
      </w:r>
      <w:r w:rsidR="0075296D" w:rsidRPr="0075296D">
        <w:rPr>
          <w:rFonts w:cs="Calibri"/>
          <w:lang w:val="en"/>
        </w:rPr>
        <w:t>een significant</w:t>
      </w:r>
      <w:r w:rsidR="0075296D" w:rsidRPr="0075296D">
        <w:rPr>
          <w:rFonts w:cs="Calibri"/>
          <w:color w:val="444444"/>
          <w:lang w:val="en"/>
        </w:rPr>
        <w:t xml:space="preserve"> </w:t>
      </w:r>
      <w:r w:rsidR="0075296D" w:rsidRPr="0075296D">
        <w:rPr>
          <w:rFonts w:cs="Calibri"/>
          <w:lang w:val="en"/>
        </w:rPr>
        <w:t>impacts</w:t>
      </w:r>
      <w:r w:rsidR="00AA2F9E">
        <w:rPr>
          <w:rFonts w:cs="Calibri"/>
          <w:lang w:val="en"/>
        </w:rPr>
        <w:t xml:space="preserve"> on</w:t>
      </w:r>
      <w:r w:rsidR="0075296D" w:rsidRPr="0075296D">
        <w:rPr>
          <w:rFonts w:cs="Calibri"/>
          <w:lang w:val="en"/>
        </w:rPr>
        <w:t xml:space="preserve"> family, friends and employers from those who have a serious gambling problem. </w:t>
      </w:r>
      <w:r w:rsidR="0075296D">
        <w:rPr>
          <w:rFonts w:cs="Calibri"/>
          <w:lang w:val="en"/>
        </w:rPr>
        <w:t xml:space="preserve">With digital technology, online gambling is becoming the fastest growing gambling </w:t>
      </w:r>
      <w:r w:rsidR="00A86CD4">
        <w:rPr>
          <w:rFonts w:cs="Calibri"/>
          <w:lang w:val="en"/>
        </w:rPr>
        <w:t xml:space="preserve">sector. </w:t>
      </w:r>
    </w:p>
    <w:p w:rsidR="00057FAD" w:rsidRPr="0075296D" w:rsidRDefault="00057FAD" w:rsidP="0026100E">
      <w:pPr>
        <w:rPr>
          <w:rFonts w:cs="Calibri"/>
          <w:lang w:val="en"/>
        </w:rPr>
      </w:pPr>
    </w:p>
    <w:p w:rsidR="00282C17" w:rsidRDefault="00282C17" w:rsidP="009909F2">
      <w:pPr>
        <w:pStyle w:val="Heading2"/>
      </w:pPr>
      <w:r>
        <w:t>What we know</w:t>
      </w:r>
      <w:r w:rsidR="000816C7" w:rsidRPr="000816C7">
        <w:t xml:space="preserve"> </w:t>
      </w:r>
      <w:r w:rsidR="000816C7">
        <w:t>for Cardinia Shire</w:t>
      </w:r>
      <w:r w:rsidR="0026100E">
        <w:t xml:space="preserve"> </w:t>
      </w:r>
    </w:p>
    <w:p w:rsidR="009E251C" w:rsidRDefault="000816C7" w:rsidP="00785D6F">
      <w:pPr>
        <w:pStyle w:val="Heading3"/>
      </w:pPr>
      <w:r>
        <w:t>Adult t</w:t>
      </w:r>
      <w:r w:rsidR="009E251C">
        <w:t>obacco use</w:t>
      </w:r>
      <w:r>
        <w:t xml:space="preserve"> </w:t>
      </w:r>
    </w:p>
    <w:p w:rsidR="0026100E" w:rsidRDefault="0026100E" w:rsidP="0026100E">
      <w:pPr>
        <w:pStyle w:val="Bulletlistmultilevel"/>
        <w:numPr>
          <w:ilvl w:val="0"/>
          <w:numId w:val="22"/>
        </w:numPr>
      </w:pPr>
      <w:r>
        <w:t>18% of adults are current smokers, compared to 13% of Victorians</w:t>
      </w:r>
      <w:bookmarkStart w:id="0" w:name="_Ref488917589"/>
      <w:r>
        <w:rPr>
          <w:rStyle w:val="FootnoteReference"/>
        </w:rPr>
        <w:footnoteReference w:id="1"/>
      </w:r>
      <w:bookmarkEnd w:id="0"/>
    </w:p>
    <w:p w:rsidR="0026100E" w:rsidRDefault="0026100E" w:rsidP="0026100E">
      <w:pPr>
        <w:pStyle w:val="Bulletlistmultilevel"/>
        <w:numPr>
          <w:ilvl w:val="0"/>
          <w:numId w:val="22"/>
        </w:numPr>
      </w:pPr>
      <w:r>
        <w:t>17% of adults who smoke are daily smokers, compared to 10% of Victorians</w:t>
      </w:r>
      <w:r w:rsidRPr="0026100E">
        <w:rPr>
          <w:vertAlign w:val="superscript"/>
        </w:rPr>
        <w:fldChar w:fldCharType="begin"/>
      </w:r>
      <w:r w:rsidRPr="0026100E">
        <w:rPr>
          <w:vertAlign w:val="superscript"/>
        </w:rPr>
        <w:instrText xml:space="preserve"> NOTEREF _Ref488917589 \h </w:instrText>
      </w:r>
      <w:r>
        <w:rPr>
          <w:vertAlign w:val="superscript"/>
        </w:rPr>
        <w:instrText xml:space="preserve"> \* MERGEFORMAT </w:instrText>
      </w:r>
      <w:r w:rsidRPr="0026100E">
        <w:rPr>
          <w:vertAlign w:val="superscript"/>
        </w:rPr>
      </w:r>
      <w:r w:rsidRPr="0026100E">
        <w:rPr>
          <w:vertAlign w:val="superscript"/>
        </w:rPr>
        <w:fldChar w:fldCharType="separate"/>
      </w:r>
      <w:r w:rsidRPr="0026100E">
        <w:rPr>
          <w:vertAlign w:val="superscript"/>
        </w:rPr>
        <w:t>1</w:t>
      </w:r>
      <w:r w:rsidRPr="0026100E">
        <w:rPr>
          <w:vertAlign w:val="superscript"/>
        </w:rPr>
        <w:fldChar w:fldCharType="end"/>
      </w:r>
    </w:p>
    <w:p w:rsidR="0026100E" w:rsidRDefault="009E251C" w:rsidP="009E251C">
      <w:pPr>
        <w:pStyle w:val="Bulletlistmultilevel"/>
        <w:numPr>
          <w:ilvl w:val="0"/>
          <w:numId w:val="22"/>
        </w:numPr>
      </w:pPr>
      <w:r>
        <w:t>20% of expectant mothers’ smoke during their pregnancy</w:t>
      </w:r>
      <w:r w:rsidR="0026100E">
        <w:t>, compared to 11.5% of Victorians</w:t>
      </w:r>
      <w:r w:rsidR="0026100E">
        <w:rPr>
          <w:rStyle w:val="FootnoteReference"/>
        </w:rPr>
        <w:footnoteReference w:id="2"/>
      </w:r>
      <w:r w:rsidR="0026100E">
        <w:t xml:space="preserve"> </w:t>
      </w:r>
    </w:p>
    <w:p w:rsidR="009E251C" w:rsidRDefault="0026100E" w:rsidP="009E251C">
      <w:pPr>
        <w:pStyle w:val="Bulletlistmultilevel"/>
        <w:numPr>
          <w:ilvl w:val="0"/>
          <w:numId w:val="22"/>
        </w:numPr>
      </w:pPr>
      <w:r>
        <w:rPr>
          <w:lang w:eastAsia="en-US"/>
        </w:rPr>
        <w:t>Cardinia has the third highest rate of Lung Cancer in the South East region</w:t>
      </w:r>
      <w:bookmarkStart w:id="1" w:name="_Ref488924868"/>
      <w:r>
        <w:rPr>
          <w:rStyle w:val="FootnoteReference"/>
          <w:lang w:eastAsia="en-US"/>
        </w:rPr>
        <w:footnoteReference w:id="3"/>
      </w:r>
      <w:bookmarkEnd w:id="1"/>
      <w:r w:rsidR="009E251C">
        <w:t xml:space="preserve">  </w:t>
      </w:r>
    </w:p>
    <w:p w:rsidR="00785D6F" w:rsidRPr="009E251C" w:rsidRDefault="000816C7" w:rsidP="00785D6F">
      <w:pPr>
        <w:pStyle w:val="Heading3"/>
      </w:pPr>
      <w:r>
        <w:t>Adult a</w:t>
      </w:r>
      <w:r w:rsidR="0026100E">
        <w:t>lcohol</w:t>
      </w:r>
      <w:r w:rsidR="006D694B">
        <w:t xml:space="preserve"> and drug use </w:t>
      </w:r>
    </w:p>
    <w:p w:rsidR="00282C17" w:rsidRDefault="00785D6F" w:rsidP="00282C17">
      <w:pPr>
        <w:pStyle w:val="Bulletlistmultilevel"/>
        <w:numPr>
          <w:ilvl w:val="0"/>
          <w:numId w:val="22"/>
        </w:numPr>
      </w:pPr>
      <w:r>
        <w:t xml:space="preserve">The percentage of </w:t>
      </w:r>
      <w:r w:rsidR="009E251C">
        <w:t xml:space="preserve">drug and alcohol clients per 1,000 </w:t>
      </w:r>
      <w:r>
        <w:t>population is 10.4%</w:t>
      </w:r>
      <w:r w:rsidR="009E251C">
        <w:t>, significantly higher than the Victorian measure of 5.8%</w:t>
      </w:r>
      <w:r w:rsidR="00932A0E">
        <w:rPr>
          <w:rStyle w:val="FootnoteReference"/>
        </w:rPr>
        <w:footnoteReference w:id="4"/>
      </w:r>
      <w:r w:rsidR="00932A0E">
        <w:t xml:space="preserve"> </w:t>
      </w:r>
    </w:p>
    <w:p w:rsidR="00932A0E" w:rsidRDefault="00932A0E" w:rsidP="00932A0E">
      <w:pPr>
        <w:pStyle w:val="Bulletlistmultilevel"/>
        <w:numPr>
          <w:ilvl w:val="0"/>
          <w:numId w:val="22"/>
        </w:numPr>
      </w:pPr>
      <w:r>
        <w:t xml:space="preserve">The percentage of parents who reported an </w:t>
      </w:r>
      <w:r w:rsidRPr="00785D6F">
        <w:t xml:space="preserve">alcohol or drug related problem in </w:t>
      </w:r>
      <w:r>
        <w:t xml:space="preserve">the </w:t>
      </w:r>
      <w:r w:rsidRPr="00785D6F">
        <w:t>family</w:t>
      </w:r>
      <w:r>
        <w:t xml:space="preserve"> is 5.2% compared to the Melbourne metropolitan </w:t>
      </w:r>
      <w:r w:rsidR="004B2973">
        <w:t xml:space="preserve">average </w:t>
      </w:r>
      <w:r>
        <w:t>of 3.1%</w:t>
      </w:r>
      <w:r>
        <w:rPr>
          <w:rStyle w:val="FootnoteReference"/>
        </w:rPr>
        <w:footnoteReference w:id="5"/>
      </w:r>
    </w:p>
    <w:p w:rsidR="00282C17" w:rsidRDefault="00282C17" w:rsidP="00282C17">
      <w:pPr>
        <w:pStyle w:val="Bulletlistmultilevel"/>
        <w:numPr>
          <w:ilvl w:val="0"/>
          <w:numId w:val="22"/>
        </w:numPr>
      </w:pPr>
      <w:r w:rsidRPr="004B74C9">
        <w:t xml:space="preserve">Contact </w:t>
      </w:r>
      <w:r>
        <w:t>with hospitals, ambulance or</w:t>
      </w:r>
      <w:r w:rsidRPr="004B74C9">
        <w:t xml:space="preserve"> treatm</w:t>
      </w:r>
      <w:r>
        <w:t>en</w:t>
      </w:r>
      <w:r w:rsidR="00932A0E">
        <w:t>t provider occurs on average six</w:t>
      </w:r>
      <w:r w:rsidRPr="004B74C9">
        <w:t xml:space="preserve"> times a day for drug </w:t>
      </w:r>
      <w:r w:rsidR="00932A0E">
        <w:t xml:space="preserve">or alcohol </w:t>
      </w:r>
      <w:r w:rsidRPr="004B74C9">
        <w:t xml:space="preserve">misuse </w:t>
      </w:r>
      <w:r>
        <w:t>across the municipality</w:t>
      </w:r>
      <w:bookmarkStart w:id="2" w:name="_Ref488924082"/>
      <w:r w:rsidR="00932A0E">
        <w:rPr>
          <w:rStyle w:val="FootnoteReference"/>
        </w:rPr>
        <w:footnoteReference w:id="6"/>
      </w:r>
      <w:bookmarkEnd w:id="2"/>
      <w:r w:rsidR="00DC0B9E">
        <w:t>.</w:t>
      </w:r>
    </w:p>
    <w:p w:rsidR="00932A0E" w:rsidRDefault="00932A0E" w:rsidP="00932A0E">
      <w:pPr>
        <w:pStyle w:val="Bulletlistmultilevel"/>
        <w:numPr>
          <w:ilvl w:val="0"/>
          <w:numId w:val="22"/>
        </w:numPr>
      </w:pPr>
      <w:r>
        <w:t>10% of adults living in rural areas of Cardinia Shire report that drug use negatively impacts them or their household, compared to 6% living in growth areas</w:t>
      </w:r>
      <w:bookmarkStart w:id="3" w:name="_Ref488918981"/>
      <w:r>
        <w:rPr>
          <w:rStyle w:val="FootnoteReference"/>
        </w:rPr>
        <w:footnoteReference w:id="7"/>
      </w:r>
      <w:bookmarkEnd w:id="3"/>
    </w:p>
    <w:p w:rsidR="009909F2" w:rsidRDefault="009909F2" w:rsidP="009909F2">
      <w:pPr>
        <w:pStyle w:val="Bulletlistmultilevel"/>
        <w:numPr>
          <w:ilvl w:val="0"/>
          <w:numId w:val="0"/>
        </w:numPr>
        <w:ind w:left="357" w:hanging="357"/>
      </w:pPr>
    </w:p>
    <w:p w:rsidR="009909F2" w:rsidRDefault="009909F2" w:rsidP="009909F2">
      <w:pPr>
        <w:pStyle w:val="Bulletlistmultilevel"/>
        <w:numPr>
          <w:ilvl w:val="0"/>
          <w:numId w:val="0"/>
        </w:numPr>
        <w:ind w:left="357"/>
      </w:pPr>
    </w:p>
    <w:p w:rsidR="00B92152" w:rsidRDefault="00B92152" w:rsidP="009909F2">
      <w:pPr>
        <w:pStyle w:val="Bulletlistmultilevel"/>
        <w:numPr>
          <w:ilvl w:val="0"/>
          <w:numId w:val="0"/>
        </w:numPr>
        <w:ind w:left="357"/>
      </w:pPr>
    </w:p>
    <w:p w:rsidR="0084268C" w:rsidRDefault="0084268C" w:rsidP="009909F2">
      <w:pPr>
        <w:pStyle w:val="Bulletlistmultilevel"/>
        <w:numPr>
          <w:ilvl w:val="0"/>
          <w:numId w:val="0"/>
        </w:numPr>
        <w:ind w:left="357"/>
      </w:pPr>
      <w:bookmarkStart w:id="4" w:name="_GoBack"/>
      <w:bookmarkEnd w:id="4"/>
    </w:p>
    <w:p w:rsidR="006D694B" w:rsidRDefault="006D694B" w:rsidP="00932A0E">
      <w:pPr>
        <w:pStyle w:val="Bulletlistmultilevel"/>
        <w:numPr>
          <w:ilvl w:val="0"/>
          <w:numId w:val="22"/>
        </w:numPr>
      </w:pPr>
      <w:r>
        <w:t xml:space="preserve">Overall Cardinia Shire has a higher rate compared to Victoria for: </w:t>
      </w:r>
    </w:p>
    <w:p w:rsidR="006D694B" w:rsidRDefault="006D694B" w:rsidP="006D694B">
      <w:pPr>
        <w:pStyle w:val="Bulletlistmultilevel"/>
        <w:numPr>
          <w:ilvl w:val="0"/>
          <w:numId w:val="29"/>
        </w:numPr>
      </w:pPr>
      <w:r>
        <w:t xml:space="preserve">Illicit drug </w:t>
      </w:r>
      <w:r w:rsidR="008D7F36">
        <w:t xml:space="preserve">and pharmaceutical drug </w:t>
      </w:r>
      <w:r>
        <w:t xml:space="preserve">related emergency department presentations </w:t>
      </w:r>
    </w:p>
    <w:p w:rsidR="008D7F36" w:rsidRDefault="006D694B" w:rsidP="008D7F36">
      <w:pPr>
        <w:pStyle w:val="Bulletlistmultilevel"/>
        <w:numPr>
          <w:ilvl w:val="0"/>
          <w:numId w:val="29"/>
        </w:numPr>
      </w:pPr>
      <w:r>
        <w:t xml:space="preserve">Illicit drug </w:t>
      </w:r>
      <w:r w:rsidR="008D7F36">
        <w:t xml:space="preserve">and Amphetamine related </w:t>
      </w:r>
      <w:r>
        <w:t>episode</w:t>
      </w:r>
      <w:r w:rsidR="008D7F36">
        <w:t>s</w:t>
      </w:r>
      <w:r>
        <w:t xml:space="preserve"> of care </w:t>
      </w:r>
      <w:r w:rsidR="008D7F36">
        <w:t xml:space="preserve">with treatment providers </w:t>
      </w:r>
    </w:p>
    <w:p w:rsidR="004B2973" w:rsidRDefault="008D7F36" w:rsidP="00640EEA">
      <w:pPr>
        <w:pStyle w:val="Bulletlistmultilevel"/>
      </w:pPr>
      <w:r>
        <w:t xml:space="preserve">Cardinia Shire has the third highest rate in the South East Melbourne region of </w:t>
      </w:r>
      <w:r w:rsidRPr="001456F1">
        <w:t>prescriptions dispensed for opioid medications</w:t>
      </w:r>
      <w:r>
        <w:fldChar w:fldCharType="begin"/>
      </w:r>
      <w:r>
        <w:instrText xml:space="preserve"> NOTEREF _Ref488924868 \f \h </w:instrText>
      </w:r>
      <w:r>
        <w:fldChar w:fldCharType="separate"/>
      </w:r>
      <w:r w:rsidRPr="008D7F36">
        <w:rPr>
          <w:rStyle w:val="FootnoteReference"/>
        </w:rPr>
        <w:t>3</w:t>
      </w:r>
      <w:r>
        <w:fldChar w:fldCharType="end"/>
      </w:r>
    </w:p>
    <w:p w:rsidR="00670174" w:rsidRDefault="00670174" w:rsidP="008D7F36">
      <w:pPr>
        <w:pStyle w:val="Bulletlistmultilevel"/>
      </w:pPr>
      <w:r>
        <w:t>The proportion of the adult population with an increased lifetime risk of alcohol related</w:t>
      </w:r>
      <w:r w:rsidR="00FE29FC">
        <w:t xml:space="preserve"> harm is 62%, higher than</w:t>
      </w:r>
      <w:r w:rsidR="00932A0E">
        <w:t xml:space="preserve"> the Victorian measure of 59%</w:t>
      </w:r>
      <w:r w:rsidR="00932A0E" w:rsidRPr="00932A0E">
        <w:rPr>
          <w:vertAlign w:val="superscript"/>
        </w:rPr>
        <w:fldChar w:fldCharType="begin"/>
      </w:r>
      <w:r w:rsidR="00932A0E" w:rsidRPr="00932A0E">
        <w:rPr>
          <w:vertAlign w:val="superscript"/>
        </w:rPr>
        <w:instrText xml:space="preserve"> NOTEREF _Ref488917589 \h </w:instrText>
      </w:r>
      <w:r w:rsidR="00932A0E">
        <w:rPr>
          <w:vertAlign w:val="superscript"/>
        </w:rPr>
        <w:instrText xml:space="preserve"> \* MERGEFORMAT </w:instrText>
      </w:r>
      <w:r w:rsidR="00932A0E" w:rsidRPr="00932A0E">
        <w:rPr>
          <w:vertAlign w:val="superscript"/>
        </w:rPr>
      </w:r>
      <w:r w:rsidR="00932A0E" w:rsidRPr="00932A0E">
        <w:rPr>
          <w:vertAlign w:val="superscript"/>
        </w:rPr>
        <w:fldChar w:fldCharType="separate"/>
      </w:r>
      <w:r w:rsidR="00932A0E" w:rsidRPr="00932A0E">
        <w:rPr>
          <w:vertAlign w:val="superscript"/>
        </w:rPr>
        <w:t>1</w:t>
      </w:r>
      <w:r w:rsidR="00932A0E" w:rsidRPr="00932A0E">
        <w:rPr>
          <w:vertAlign w:val="superscript"/>
        </w:rPr>
        <w:fldChar w:fldCharType="end"/>
      </w:r>
    </w:p>
    <w:p w:rsidR="001A61D7" w:rsidRDefault="005F4D94" w:rsidP="00282C17">
      <w:pPr>
        <w:pStyle w:val="Bulletlistmultilevel"/>
        <w:numPr>
          <w:ilvl w:val="0"/>
          <w:numId w:val="22"/>
        </w:numPr>
      </w:pPr>
      <w:r>
        <w:t>The proportion of the adult population at increased risk of alcohol-related inj</w:t>
      </w:r>
      <w:r w:rsidR="00932A0E">
        <w:t>ury on a single occasion is 43</w:t>
      </w:r>
      <w:r>
        <w:t>% comparable to the Victorian measure of 42.5%</w:t>
      </w:r>
      <w:r w:rsidR="00932A0E" w:rsidRPr="00932A0E">
        <w:rPr>
          <w:vertAlign w:val="superscript"/>
        </w:rPr>
        <w:fldChar w:fldCharType="begin"/>
      </w:r>
      <w:r w:rsidR="00932A0E" w:rsidRPr="00932A0E">
        <w:rPr>
          <w:vertAlign w:val="superscript"/>
        </w:rPr>
        <w:instrText xml:space="preserve"> NOTEREF _Ref488917589 \h </w:instrText>
      </w:r>
      <w:r w:rsidR="00932A0E">
        <w:rPr>
          <w:vertAlign w:val="superscript"/>
        </w:rPr>
        <w:instrText xml:space="preserve"> \* MERGEFORMAT </w:instrText>
      </w:r>
      <w:r w:rsidR="00932A0E" w:rsidRPr="00932A0E">
        <w:rPr>
          <w:vertAlign w:val="superscript"/>
        </w:rPr>
      </w:r>
      <w:r w:rsidR="00932A0E" w:rsidRPr="00932A0E">
        <w:rPr>
          <w:vertAlign w:val="superscript"/>
        </w:rPr>
        <w:fldChar w:fldCharType="separate"/>
      </w:r>
      <w:r w:rsidR="00932A0E" w:rsidRPr="00932A0E">
        <w:rPr>
          <w:vertAlign w:val="superscript"/>
        </w:rPr>
        <w:t>1</w:t>
      </w:r>
      <w:r w:rsidR="00932A0E" w:rsidRPr="00932A0E">
        <w:rPr>
          <w:vertAlign w:val="superscript"/>
        </w:rPr>
        <w:fldChar w:fldCharType="end"/>
      </w:r>
      <w:r>
        <w:t xml:space="preserve">. </w:t>
      </w:r>
    </w:p>
    <w:p w:rsidR="00932A0E" w:rsidRDefault="00932A0E" w:rsidP="00282C17">
      <w:pPr>
        <w:pStyle w:val="Bulletlistmultilevel"/>
        <w:numPr>
          <w:ilvl w:val="0"/>
          <w:numId w:val="22"/>
        </w:numPr>
      </w:pPr>
      <w:r>
        <w:t>7% of adults living in rural areas of Cardinia Shire report that alcohol use negatively impacts them or their household compared to 5% living in Growth area</w:t>
      </w:r>
      <w:r>
        <w:fldChar w:fldCharType="begin"/>
      </w:r>
      <w:r>
        <w:instrText xml:space="preserve"> NOTEREF _Ref488918981 \f \h </w:instrText>
      </w:r>
      <w:r>
        <w:fldChar w:fldCharType="separate"/>
      </w:r>
      <w:r w:rsidRPr="00932A0E">
        <w:rPr>
          <w:rStyle w:val="FootnoteReference"/>
        </w:rPr>
        <w:t>7</w:t>
      </w:r>
      <w:r>
        <w:fldChar w:fldCharType="end"/>
      </w:r>
    </w:p>
    <w:p w:rsidR="000816C7" w:rsidRDefault="000816C7" w:rsidP="000816C7">
      <w:pPr>
        <w:pStyle w:val="Bulletlistmultilevel"/>
        <w:numPr>
          <w:ilvl w:val="0"/>
          <w:numId w:val="0"/>
        </w:numPr>
        <w:ind w:left="357"/>
      </w:pPr>
    </w:p>
    <w:p w:rsidR="0026100E" w:rsidRDefault="000816C7" w:rsidP="00F01D0C">
      <w:pPr>
        <w:pStyle w:val="Heading3"/>
      </w:pPr>
      <w:r>
        <w:t>Youth t</w:t>
      </w:r>
      <w:r w:rsidR="0026100E">
        <w:t>obacco use</w:t>
      </w:r>
      <w:r>
        <w:t xml:space="preserve"> </w:t>
      </w:r>
    </w:p>
    <w:p w:rsidR="0026100E" w:rsidRPr="00C23B72" w:rsidRDefault="0026100E" w:rsidP="0026100E">
      <w:pPr>
        <w:pStyle w:val="Bulletlistmultilevel"/>
        <w:numPr>
          <w:ilvl w:val="0"/>
          <w:numId w:val="22"/>
        </w:numPr>
      </w:pPr>
      <w:r w:rsidRPr="00C23B72">
        <w:rPr>
          <w:lang w:eastAsia="en-US"/>
        </w:rPr>
        <w:t>The percentage of 15-17 year olds who sm</w:t>
      </w:r>
      <w:r w:rsidR="00C23B72">
        <w:rPr>
          <w:lang w:eastAsia="en-US"/>
        </w:rPr>
        <w:t>oked in the past 30 days is 19</w:t>
      </w:r>
      <w:r w:rsidRPr="00C23B72">
        <w:rPr>
          <w:lang w:eastAsia="en-US"/>
        </w:rPr>
        <w:t>%, higher th</w:t>
      </w:r>
      <w:r w:rsidR="00C23B72">
        <w:rPr>
          <w:lang w:eastAsia="en-US"/>
        </w:rPr>
        <w:t>an the Victorian measure of 13</w:t>
      </w:r>
      <w:r w:rsidRPr="00C23B72">
        <w:rPr>
          <w:lang w:eastAsia="en-US"/>
        </w:rPr>
        <w:t>%</w:t>
      </w:r>
      <w:r w:rsidR="008D7F36" w:rsidRPr="00C23B72">
        <w:rPr>
          <w:lang w:eastAsia="en-US"/>
        </w:rPr>
        <w:fldChar w:fldCharType="begin"/>
      </w:r>
      <w:r w:rsidR="008D7F36" w:rsidRPr="00C23B72">
        <w:rPr>
          <w:lang w:eastAsia="en-US"/>
        </w:rPr>
        <w:instrText xml:space="preserve"> NOTEREF _Ref488925255 \f \h </w:instrText>
      </w:r>
      <w:r w:rsidR="00C23B72">
        <w:rPr>
          <w:lang w:eastAsia="en-US"/>
        </w:rPr>
        <w:instrText xml:space="preserve"> \* MERGEFORMAT </w:instrText>
      </w:r>
      <w:r w:rsidR="008D7F36" w:rsidRPr="00C23B72">
        <w:rPr>
          <w:lang w:eastAsia="en-US"/>
        </w:rPr>
      </w:r>
      <w:r w:rsidR="008D7F36" w:rsidRPr="00C23B72">
        <w:rPr>
          <w:lang w:eastAsia="en-US"/>
        </w:rPr>
        <w:fldChar w:fldCharType="separate"/>
      </w:r>
      <w:r w:rsidR="008D7F36" w:rsidRPr="00C23B72">
        <w:rPr>
          <w:rStyle w:val="FootnoteReference"/>
        </w:rPr>
        <w:t>10</w:t>
      </w:r>
      <w:r w:rsidR="008D7F36" w:rsidRPr="00C23B72">
        <w:rPr>
          <w:lang w:eastAsia="en-US"/>
        </w:rPr>
        <w:fldChar w:fldCharType="end"/>
      </w:r>
      <w:r w:rsidRPr="00C23B72">
        <w:rPr>
          <w:lang w:eastAsia="en-US"/>
        </w:rPr>
        <w:t>.</w:t>
      </w:r>
    </w:p>
    <w:p w:rsidR="0026100E" w:rsidRPr="003C7CD7" w:rsidRDefault="0026100E" w:rsidP="0026100E">
      <w:pPr>
        <w:pStyle w:val="Bulletlistmultilevel"/>
        <w:numPr>
          <w:ilvl w:val="0"/>
          <w:numId w:val="22"/>
        </w:numPr>
      </w:pPr>
      <w:r w:rsidRPr="003C7CD7">
        <w:t>Lifetime cigarette use in Year 10 is high (21%</w:t>
      </w:r>
      <w:r w:rsidR="00C23B72">
        <w:t xml:space="preserve"> of students</w:t>
      </w:r>
      <w:r w:rsidRPr="003C7CD7">
        <w:t>), progressively increasing from Year 6 (3%</w:t>
      </w:r>
      <w:r w:rsidR="00C23B72">
        <w:t xml:space="preserve"> of students</w:t>
      </w:r>
      <w:r w:rsidRPr="003C7CD7">
        <w:t>)</w:t>
      </w:r>
      <w:r w:rsidR="003C7CD7" w:rsidRPr="003C7CD7">
        <w:fldChar w:fldCharType="begin"/>
      </w:r>
      <w:r w:rsidR="003C7CD7" w:rsidRPr="003C7CD7">
        <w:instrText xml:space="preserve"> NOTEREF _Ref488920698 \f \h </w:instrText>
      </w:r>
      <w:r w:rsidR="003C7CD7">
        <w:instrText xml:space="preserve"> \* MERGEFORMAT </w:instrText>
      </w:r>
      <w:r w:rsidR="003C7CD7" w:rsidRPr="003C7CD7">
        <w:fldChar w:fldCharType="separate"/>
      </w:r>
      <w:r w:rsidR="003C7CD7" w:rsidRPr="003C7CD7">
        <w:rPr>
          <w:rStyle w:val="FootnoteReference"/>
        </w:rPr>
        <w:t>9</w:t>
      </w:r>
      <w:r w:rsidR="003C7CD7" w:rsidRPr="003C7CD7">
        <w:fldChar w:fldCharType="end"/>
      </w:r>
    </w:p>
    <w:p w:rsidR="00FC1D87" w:rsidRDefault="000816C7" w:rsidP="00F01D0C">
      <w:pPr>
        <w:pStyle w:val="Heading3"/>
      </w:pPr>
      <w:r>
        <w:t>Youth a</w:t>
      </w:r>
      <w:r w:rsidR="00FC1D87">
        <w:t>lcohol and drug use</w:t>
      </w:r>
      <w:r>
        <w:t xml:space="preserve"> </w:t>
      </w:r>
    </w:p>
    <w:p w:rsidR="003C7CD7" w:rsidRPr="003C7CD7" w:rsidRDefault="003C7CD7" w:rsidP="00FC1D87">
      <w:pPr>
        <w:pStyle w:val="Bulletlistmultilevel"/>
        <w:numPr>
          <w:ilvl w:val="0"/>
          <w:numId w:val="22"/>
        </w:numPr>
        <w:autoSpaceDE w:val="0"/>
        <w:autoSpaceDN w:val="0"/>
        <w:adjustRightInd w:val="0"/>
        <w:rPr>
          <w:rFonts w:ascii="Calibri" w:hAnsi="Calibri" w:cs="Calibri"/>
          <w:color w:val="000000"/>
        </w:rPr>
      </w:pPr>
      <w:r w:rsidRPr="006D2ABD">
        <w:rPr>
          <w:lang w:eastAsia="en-US"/>
        </w:rPr>
        <w:t xml:space="preserve">56.5 per cent of 15-17 year olds in Cardinia Shire </w:t>
      </w:r>
      <w:r>
        <w:rPr>
          <w:lang w:eastAsia="en-US"/>
        </w:rPr>
        <w:t xml:space="preserve">reported </w:t>
      </w:r>
      <w:r w:rsidRPr="006D2ABD">
        <w:rPr>
          <w:lang w:eastAsia="en-US"/>
        </w:rPr>
        <w:t xml:space="preserve">drinking in the past 30 days, almost double </w:t>
      </w:r>
      <w:r>
        <w:rPr>
          <w:lang w:eastAsia="en-US"/>
        </w:rPr>
        <w:t>the Victorian average of 24.7%</w:t>
      </w:r>
      <w:r>
        <w:rPr>
          <w:rStyle w:val="FootnoteReference"/>
          <w:lang w:eastAsia="en-US"/>
        </w:rPr>
        <w:footnoteReference w:id="8"/>
      </w:r>
      <w:r>
        <w:rPr>
          <w:lang w:eastAsia="en-US"/>
        </w:rPr>
        <w:t>.</w:t>
      </w:r>
    </w:p>
    <w:p w:rsidR="003C7CD7" w:rsidRPr="003C7CD7" w:rsidRDefault="003C7CD7" w:rsidP="00FC1D87">
      <w:pPr>
        <w:pStyle w:val="Bulletlistmultilevel"/>
        <w:numPr>
          <w:ilvl w:val="0"/>
          <w:numId w:val="22"/>
        </w:numPr>
        <w:autoSpaceDE w:val="0"/>
        <w:autoSpaceDN w:val="0"/>
        <w:adjustRightInd w:val="0"/>
        <w:rPr>
          <w:rFonts w:ascii="Calibri" w:hAnsi="Calibri" w:cs="Calibri"/>
          <w:color w:val="000000"/>
        </w:rPr>
      </w:pPr>
      <w:r>
        <w:rPr>
          <w:lang w:eastAsia="en-US"/>
        </w:rPr>
        <w:t>More recent research identified that alcohol c</w:t>
      </w:r>
      <w:r w:rsidR="004B2973">
        <w:rPr>
          <w:lang w:eastAsia="en-US"/>
        </w:rPr>
        <w:t xml:space="preserve">onsumption among youth is </w:t>
      </w:r>
      <w:r>
        <w:rPr>
          <w:lang w:eastAsia="en-US"/>
        </w:rPr>
        <w:t>high across different year levels</w:t>
      </w:r>
      <w:r w:rsidR="009D71BC">
        <w:rPr>
          <w:lang w:eastAsia="en-US"/>
        </w:rPr>
        <w:t xml:space="preserve"> with parents being the main suppliers</w:t>
      </w:r>
      <w:r w:rsidR="009D71BC">
        <w:rPr>
          <w:lang w:eastAsia="en-US"/>
        </w:rPr>
        <w:fldChar w:fldCharType="begin"/>
      </w:r>
      <w:r w:rsidR="009D71BC">
        <w:rPr>
          <w:lang w:eastAsia="en-US"/>
        </w:rPr>
        <w:instrText xml:space="preserve"> NOTEREF _Ref488920698 \f \h </w:instrText>
      </w:r>
      <w:r w:rsidR="009D71BC">
        <w:rPr>
          <w:lang w:eastAsia="en-US"/>
        </w:rPr>
      </w:r>
      <w:r w:rsidR="009D71BC">
        <w:rPr>
          <w:lang w:eastAsia="en-US"/>
        </w:rPr>
        <w:fldChar w:fldCharType="separate"/>
      </w:r>
      <w:r w:rsidR="009D71BC" w:rsidRPr="009D71BC">
        <w:rPr>
          <w:rStyle w:val="FootnoteReference"/>
        </w:rPr>
        <w:t>9</w:t>
      </w:r>
      <w:r w:rsidR="009D71BC">
        <w:rPr>
          <w:lang w:eastAsia="en-US"/>
        </w:rPr>
        <w:fldChar w:fldCharType="end"/>
      </w:r>
      <w:r>
        <w:rPr>
          <w:lang w:eastAsia="en-US"/>
        </w:rPr>
        <w:t>:</w:t>
      </w:r>
    </w:p>
    <w:p w:rsidR="003C7CD7" w:rsidRDefault="003C7CD7" w:rsidP="003C7CD7">
      <w:pPr>
        <w:pStyle w:val="ListParagraph"/>
        <w:numPr>
          <w:ilvl w:val="0"/>
          <w:numId w:val="27"/>
        </w:numPr>
      </w:pPr>
      <w:r w:rsidRPr="00F71E95">
        <w:t>22</w:t>
      </w:r>
      <w:r>
        <w:t>% of Year 6 students</w:t>
      </w:r>
    </w:p>
    <w:p w:rsidR="003C7CD7" w:rsidRDefault="003C7CD7" w:rsidP="003C7CD7">
      <w:pPr>
        <w:pStyle w:val="ListParagraph"/>
        <w:numPr>
          <w:ilvl w:val="0"/>
          <w:numId w:val="27"/>
        </w:numPr>
      </w:pPr>
      <w:r>
        <w:t>36% of Year 8 students</w:t>
      </w:r>
    </w:p>
    <w:p w:rsidR="009D71BC" w:rsidRDefault="003C7CD7" w:rsidP="009D71BC">
      <w:pPr>
        <w:pStyle w:val="ListParagraph"/>
        <w:numPr>
          <w:ilvl w:val="0"/>
          <w:numId w:val="27"/>
        </w:numPr>
      </w:pPr>
      <w:r>
        <w:t xml:space="preserve">52% of Year 10 students. </w:t>
      </w:r>
    </w:p>
    <w:p w:rsidR="009D71BC" w:rsidRDefault="00FC1D87" w:rsidP="009D71BC">
      <w:pPr>
        <w:pStyle w:val="ListParagraph"/>
        <w:numPr>
          <w:ilvl w:val="0"/>
          <w:numId w:val="27"/>
        </w:numPr>
      </w:pPr>
      <w:r w:rsidRPr="0082769F">
        <w:t>Almost one fifth</w:t>
      </w:r>
      <w:r w:rsidR="009F373F">
        <w:t xml:space="preserve"> (19%)</w:t>
      </w:r>
      <w:r w:rsidRPr="0082769F">
        <w:t xml:space="preserve"> of Year 10 students</w:t>
      </w:r>
      <w:r w:rsidR="009F373F">
        <w:t xml:space="preserve"> identify they</w:t>
      </w:r>
      <w:r w:rsidRPr="0082769F">
        <w:t xml:space="preserve"> </w:t>
      </w:r>
      <w:bookmarkStart w:id="5" w:name="_Ref488919209"/>
      <w:r w:rsidR="009F373F">
        <w:t>binge drink</w:t>
      </w:r>
      <w:bookmarkStart w:id="6" w:name="_Ref488920698"/>
      <w:r w:rsidR="00932A0E">
        <w:rPr>
          <w:rStyle w:val="FootnoteReference"/>
        </w:rPr>
        <w:footnoteReference w:id="9"/>
      </w:r>
      <w:bookmarkEnd w:id="5"/>
      <w:bookmarkEnd w:id="6"/>
    </w:p>
    <w:p w:rsidR="00BC1893" w:rsidRDefault="009F373F" w:rsidP="00BC1893">
      <w:pPr>
        <w:pStyle w:val="Bulletlistmultilevel"/>
        <w:numPr>
          <w:ilvl w:val="0"/>
          <w:numId w:val="22"/>
        </w:numPr>
      </w:pPr>
      <w:r>
        <w:t xml:space="preserve">14% of </w:t>
      </w:r>
      <w:r w:rsidR="009D71BC">
        <w:t xml:space="preserve">Year 10 students report having </w:t>
      </w:r>
      <w:r>
        <w:t>used marijuana compared to the Victorian average of 11%</w:t>
      </w:r>
      <w:bookmarkStart w:id="7" w:name="_Ref488925255"/>
      <w:r w:rsidR="008D7F36">
        <w:rPr>
          <w:rStyle w:val="FootnoteReference"/>
        </w:rPr>
        <w:footnoteReference w:id="10"/>
      </w:r>
      <w:bookmarkEnd w:id="7"/>
    </w:p>
    <w:p w:rsidR="00BC1893" w:rsidRDefault="009D71BC" w:rsidP="00BC1893">
      <w:pPr>
        <w:pStyle w:val="Bulletlistmultilevel"/>
      </w:pPr>
      <w:r>
        <w:t>5% of Year 10 students report having recently used marijuana (past 30 days)</w:t>
      </w:r>
      <w:r w:rsidR="006D694B">
        <w:fldChar w:fldCharType="begin"/>
      </w:r>
      <w:r w:rsidR="006D694B">
        <w:instrText xml:space="preserve"> NOTEREF _Ref488920698 \f \h </w:instrText>
      </w:r>
      <w:r w:rsidR="006D694B">
        <w:fldChar w:fldCharType="separate"/>
      </w:r>
      <w:r w:rsidR="006D694B" w:rsidRPr="006D694B">
        <w:rPr>
          <w:rStyle w:val="FootnoteReference"/>
        </w:rPr>
        <w:t>9</w:t>
      </w:r>
      <w:r w:rsidR="006D694B">
        <w:fldChar w:fldCharType="end"/>
      </w:r>
      <w:r>
        <w:t xml:space="preserve"> </w:t>
      </w:r>
    </w:p>
    <w:p w:rsidR="00E143F5" w:rsidRDefault="00E143F5" w:rsidP="00BC1893">
      <w:pPr>
        <w:pStyle w:val="Bulletlistmultilevel"/>
      </w:pPr>
      <w:r>
        <w:t>7% of 15-17 year olds have used illicit drugs compared to the Victorian average of 3%</w:t>
      </w:r>
      <w:r>
        <w:fldChar w:fldCharType="begin"/>
      </w:r>
      <w:r>
        <w:instrText xml:space="preserve"> NOTEREF _Ref488925255 \f \h </w:instrText>
      </w:r>
      <w:r>
        <w:fldChar w:fldCharType="separate"/>
      </w:r>
      <w:r w:rsidRPr="00E143F5">
        <w:rPr>
          <w:rStyle w:val="FootnoteReference"/>
        </w:rPr>
        <w:t>10</w:t>
      </w:r>
      <w:r>
        <w:fldChar w:fldCharType="end"/>
      </w:r>
    </w:p>
    <w:p w:rsidR="006D694B" w:rsidRDefault="006D694B" w:rsidP="006D694B">
      <w:pPr>
        <w:pStyle w:val="Bulletlistmultilevel"/>
      </w:pPr>
      <w:r>
        <w:rPr>
          <w:lang w:eastAsia="en-US"/>
        </w:rPr>
        <w:t>For illicit drug use, youth aged 15 to 24 represented half the numbers of residents from Cardinia Shire presenting at emergency departments and requiring ambulance attendance, 53% and 52% respectively</w:t>
      </w:r>
      <w:r>
        <w:rPr>
          <w:lang w:eastAsia="en-US"/>
        </w:rPr>
        <w:fldChar w:fldCharType="begin"/>
      </w:r>
      <w:r>
        <w:rPr>
          <w:lang w:eastAsia="en-US"/>
        </w:rPr>
        <w:instrText xml:space="preserve"> NOTEREF _Ref488924082 \f \h </w:instrText>
      </w:r>
      <w:r>
        <w:rPr>
          <w:lang w:eastAsia="en-US"/>
        </w:rPr>
      </w:r>
      <w:r>
        <w:rPr>
          <w:lang w:eastAsia="en-US"/>
        </w:rPr>
        <w:fldChar w:fldCharType="separate"/>
      </w:r>
      <w:r w:rsidRPr="006D694B">
        <w:rPr>
          <w:rStyle w:val="FootnoteReference"/>
        </w:rPr>
        <w:t>6</w:t>
      </w:r>
      <w:r>
        <w:rPr>
          <w:lang w:eastAsia="en-US"/>
        </w:rPr>
        <w:fldChar w:fldCharType="end"/>
      </w:r>
      <w:r>
        <w:rPr>
          <w:lang w:eastAsia="en-US"/>
        </w:rPr>
        <w:t>.</w:t>
      </w:r>
    </w:p>
    <w:p w:rsidR="006D694B" w:rsidRPr="00A86CD4" w:rsidRDefault="006D694B" w:rsidP="006D694B">
      <w:pPr>
        <w:pStyle w:val="Bulletlistmultilevel"/>
      </w:pPr>
      <w:r>
        <w:rPr>
          <w:lang w:eastAsia="en-US"/>
        </w:rPr>
        <w:t>Rates of presentation to emergency departments for harm caused by illicit drug use amongst young people aged 15 to 24 was double that of the Victorian averag</w:t>
      </w:r>
      <w:r>
        <w:rPr>
          <w:szCs w:val="24"/>
          <w:lang w:eastAsia="en-US"/>
        </w:rPr>
        <w:t>e</w:t>
      </w:r>
      <w:r>
        <w:rPr>
          <w:szCs w:val="24"/>
          <w:lang w:eastAsia="en-US"/>
        </w:rPr>
        <w:fldChar w:fldCharType="begin"/>
      </w:r>
      <w:r>
        <w:rPr>
          <w:szCs w:val="24"/>
          <w:lang w:eastAsia="en-US"/>
        </w:rPr>
        <w:instrText xml:space="preserve"> NOTEREF _Ref488924082 \f \h </w:instrText>
      </w:r>
      <w:r>
        <w:rPr>
          <w:szCs w:val="24"/>
          <w:lang w:eastAsia="en-US"/>
        </w:rPr>
      </w:r>
      <w:r>
        <w:rPr>
          <w:szCs w:val="24"/>
          <w:lang w:eastAsia="en-US"/>
        </w:rPr>
        <w:fldChar w:fldCharType="separate"/>
      </w:r>
      <w:r w:rsidRPr="006D694B">
        <w:rPr>
          <w:rStyle w:val="FootnoteReference"/>
        </w:rPr>
        <w:t>6</w:t>
      </w:r>
      <w:r>
        <w:rPr>
          <w:szCs w:val="24"/>
          <w:lang w:eastAsia="en-US"/>
        </w:rPr>
        <w:fldChar w:fldCharType="end"/>
      </w:r>
      <w:r>
        <w:rPr>
          <w:szCs w:val="24"/>
          <w:lang w:eastAsia="en-US"/>
        </w:rPr>
        <w:t xml:space="preserve"> </w:t>
      </w:r>
    </w:p>
    <w:p w:rsidR="00A86CD4" w:rsidRDefault="00A86CD4" w:rsidP="00A86CD4">
      <w:pPr>
        <w:pStyle w:val="Bulletlistmultilevel"/>
        <w:numPr>
          <w:ilvl w:val="0"/>
          <w:numId w:val="0"/>
        </w:numPr>
        <w:ind w:left="357" w:hanging="357"/>
        <w:rPr>
          <w:szCs w:val="24"/>
          <w:lang w:eastAsia="en-US"/>
        </w:rPr>
      </w:pPr>
    </w:p>
    <w:p w:rsidR="00953127" w:rsidRDefault="00953127" w:rsidP="00953127"/>
    <w:p w:rsidR="009909F2" w:rsidRDefault="009909F2" w:rsidP="00953127"/>
    <w:p w:rsidR="009909F2" w:rsidRDefault="009909F2" w:rsidP="00953127"/>
    <w:p w:rsidR="009909F2" w:rsidRDefault="009909F2" w:rsidP="00953127"/>
    <w:p w:rsidR="009909F2" w:rsidRDefault="009909F2" w:rsidP="00953127"/>
    <w:p w:rsidR="009909F2" w:rsidRDefault="009909F2" w:rsidP="00953127"/>
    <w:p w:rsidR="009909F2" w:rsidRDefault="009909F2" w:rsidP="00953127"/>
    <w:p w:rsidR="00A86CD4" w:rsidRDefault="00953127" w:rsidP="000D5300">
      <w:pPr>
        <w:pStyle w:val="Heading3"/>
      </w:pPr>
      <w:r>
        <w:t xml:space="preserve">Electronic Gaming Machines (EGM’s) </w:t>
      </w:r>
    </w:p>
    <w:p w:rsidR="00EB59A6" w:rsidRDefault="00EB59A6" w:rsidP="00D81CCE">
      <w:pPr>
        <w:pStyle w:val="Bulletlistmultilevel"/>
      </w:pPr>
      <w:r>
        <w:t>Cardinia Shire has 325 licensed EGM’s across five venues</w:t>
      </w:r>
      <w:r w:rsidR="00953127">
        <w:rPr>
          <w:rStyle w:val="FootnoteReference"/>
        </w:rPr>
        <w:footnoteReference w:id="11"/>
      </w:r>
      <w:r w:rsidR="00953127" w:rsidRPr="00D81CCE">
        <w:t xml:space="preserve"> </w:t>
      </w:r>
      <w:r>
        <w:t xml:space="preserve"> </w:t>
      </w:r>
    </w:p>
    <w:p w:rsidR="00635D7C" w:rsidRDefault="00635D7C" w:rsidP="00D81CCE">
      <w:pPr>
        <w:pStyle w:val="Bulletlistmultilevel"/>
      </w:pPr>
      <w:r>
        <w:t xml:space="preserve">$27 million </w:t>
      </w:r>
      <w:r w:rsidR="00CF1480">
        <w:t>($27, 045,323.57)</w:t>
      </w:r>
      <w:r w:rsidR="00CF1480" w:rsidRPr="00CF1480">
        <w:rPr>
          <w:rStyle w:val="FootnoteReference"/>
        </w:rPr>
        <w:t xml:space="preserve"> </w:t>
      </w:r>
      <w:r w:rsidR="00EB59A6">
        <w:t>was lost by players on these</w:t>
      </w:r>
      <w:r w:rsidR="00CF1480">
        <w:t xml:space="preserve"> EGM’s </w:t>
      </w:r>
      <w:r w:rsidR="00EB59A6">
        <w:t>during 2016/17</w:t>
      </w:r>
      <w:r w:rsidR="00CF1480">
        <w:rPr>
          <w:rStyle w:val="FootnoteReference"/>
        </w:rPr>
        <w:footnoteReference w:id="12"/>
      </w:r>
    </w:p>
    <w:p w:rsidR="00953127" w:rsidRDefault="00953127" w:rsidP="00635D7C">
      <w:pPr>
        <w:pStyle w:val="Bulletlistmultilevel"/>
      </w:pPr>
      <w:r>
        <w:t xml:space="preserve">Losses on EGM’s in Cardinia increased by 8% between </w:t>
      </w:r>
      <w:r w:rsidR="00DA596F">
        <w:t xml:space="preserve">2015/16 and </w:t>
      </w:r>
      <w:r w:rsidR="009909F2">
        <w:t xml:space="preserve">2016/17 </w:t>
      </w:r>
      <w:r>
        <w:t>compared to Metropolitan Melbourne and Victoria</w:t>
      </w:r>
      <w:r w:rsidR="009909F2">
        <w:t>,</w:t>
      </w:r>
      <w:r>
        <w:t xml:space="preserve"> </w:t>
      </w:r>
      <w:r w:rsidR="009909F2">
        <w:t xml:space="preserve">both of </w:t>
      </w:r>
      <w:r>
        <w:t xml:space="preserve">which recorded a decrease in losses of 0.5% and 0.3% respectively. See Table 1 below.  </w:t>
      </w:r>
    </w:p>
    <w:p w:rsidR="001B401D" w:rsidRDefault="001B401D" w:rsidP="00953127">
      <w:pPr>
        <w:pStyle w:val="Bulletlistmultilevel"/>
      </w:pPr>
      <w:r>
        <w:t>It is estimated that 1.5% of Cardinia’s population has a severe gambling problem similar to</w:t>
      </w:r>
      <w:r w:rsidR="00EB59A6">
        <w:t xml:space="preserve"> 2% of the Victorian population</w:t>
      </w:r>
      <w:r w:rsidR="00EB59A6" w:rsidRPr="00953127">
        <w:rPr>
          <w:vertAlign w:val="superscript"/>
        </w:rPr>
        <w:fldChar w:fldCharType="begin"/>
      </w:r>
      <w:r w:rsidR="00EB59A6" w:rsidRPr="00953127">
        <w:rPr>
          <w:vertAlign w:val="superscript"/>
        </w:rPr>
        <w:instrText xml:space="preserve"> NOTEREF _Ref488925255 \h  \* MERGEFORMAT </w:instrText>
      </w:r>
      <w:r w:rsidR="00EB59A6" w:rsidRPr="00953127">
        <w:rPr>
          <w:vertAlign w:val="superscript"/>
        </w:rPr>
      </w:r>
      <w:r w:rsidR="00EB59A6" w:rsidRPr="00953127">
        <w:rPr>
          <w:vertAlign w:val="superscript"/>
        </w:rPr>
        <w:fldChar w:fldCharType="separate"/>
      </w:r>
      <w:r w:rsidR="00EB59A6" w:rsidRPr="00953127">
        <w:rPr>
          <w:vertAlign w:val="superscript"/>
        </w:rPr>
        <w:t>10</w:t>
      </w:r>
      <w:r w:rsidR="00EB59A6" w:rsidRPr="00953127">
        <w:rPr>
          <w:vertAlign w:val="superscript"/>
        </w:rPr>
        <w:fldChar w:fldCharType="end"/>
      </w:r>
      <w:r w:rsidR="00EB59A6" w:rsidRPr="00953127">
        <w:rPr>
          <w:vertAlign w:val="superscript"/>
        </w:rPr>
        <w:t xml:space="preserve">. </w:t>
      </w:r>
      <w:r w:rsidR="00953127">
        <w:rPr>
          <w:vertAlign w:val="superscript"/>
        </w:rPr>
        <w:t xml:space="preserve"> </w:t>
      </w:r>
      <w:r w:rsidR="00953127">
        <w:t xml:space="preserve">Social research also identified that </w:t>
      </w:r>
      <w:r>
        <w:t>2% of households across the municipality report that gambling negatively impacts them or their households</w:t>
      </w:r>
      <w:r w:rsidRPr="00953127">
        <w:rPr>
          <w:vertAlign w:val="superscript"/>
        </w:rPr>
        <w:fldChar w:fldCharType="begin"/>
      </w:r>
      <w:r w:rsidRPr="00953127">
        <w:rPr>
          <w:vertAlign w:val="superscript"/>
        </w:rPr>
        <w:instrText xml:space="preserve"> NOTEREF _Ref488918981 \h  \* MERGEFORMAT </w:instrText>
      </w:r>
      <w:r w:rsidRPr="00953127">
        <w:rPr>
          <w:vertAlign w:val="superscript"/>
        </w:rPr>
      </w:r>
      <w:r w:rsidRPr="00953127">
        <w:rPr>
          <w:vertAlign w:val="superscript"/>
        </w:rPr>
        <w:fldChar w:fldCharType="separate"/>
      </w:r>
      <w:r w:rsidRPr="00953127">
        <w:rPr>
          <w:vertAlign w:val="superscript"/>
        </w:rPr>
        <w:t>7</w:t>
      </w:r>
      <w:r w:rsidRPr="00953127">
        <w:rPr>
          <w:vertAlign w:val="superscript"/>
        </w:rPr>
        <w:fldChar w:fldCharType="end"/>
      </w:r>
      <w:r w:rsidRPr="00953127">
        <w:rPr>
          <w:vertAlign w:val="superscript"/>
        </w:rPr>
        <w:t xml:space="preserve">  </w:t>
      </w:r>
    </w:p>
    <w:p w:rsidR="00A86CD4" w:rsidRDefault="00A86CD4" w:rsidP="00A86CD4">
      <w:pPr>
        <w:pStyle w:val="Bulletlistmultilevel"/>
        <w:numPr>
          <w:ilvl w:val="0"/>
          <w:numId w:val="0"/>
        </w:numPr>
      </w:pPr>
    </w:p>
    <w:tbl>
      <w:tblPr>
        <w:tblStyle w:val="GridTable5Dark-Accent6"/>
        <w:tblW w:w="8359" w:type="dxa"/>
        <w:tblLook w:val="04A0" w:firstRow="1" w:lastRow="0" w:firstColumn="1" w:lastColumn="0" w:noHBand="0" w:noVBand="1"/>
      </w:tblPr>
      <w:tblGrid>
        <w:gridCol w:w="3397"/>
        <w:gridCol w:w="1560"/>
        <w:gridCol w:w="1701"/>
        <w:gridCol w:w="1701"/>
      </w:tblGrid>
      <w:tr w:rsidR="00F01AA1" w:rsidRPr="00D55CBC" w:rsidTr="00A27882">
        <w:trPr>
          <w:cnfStyle w:val="100000000000" w:firstRow="1" w:lastRow="0" w:firstColumn="0" w:lastColumn="0" w:oddVBand="0" w:evenVBand="0" w:oddHBand="0"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3397" w:type="dxa"/>
            <w:noWrap/>
            <w:hideMark/>
          </w:tcPr>
          <w:p w:rsidR="00F01AA1" w:rsidRPr="00D55CBC" w:rsidRDefault="00F01AA1" w:rsidP="00BA486B">
            <w:pPr>
              <w:jc w:val="center"/>
              <w:rPr>
                <w:rFonts w:asciiTheme="minorHAnsi" w:hAnsiTheme="minorHAnsi" w:cs="Arial"/>
                <w:sz w:val="20"/>
                <w:szCs w:val="20"/>
              </w:rPr>
            </w:pPr>
          </w:p>
        </w:tc>
        <w:tc>
          <w:tcPr>
            <w:tcW w:w="1560" w:type="dxa"/>
          </w:tcPr>
          <w:p w:rsidR="00F01AA1" w:rsidRPr="00D55CBC" w:rsidRDefault="00F01AA1" w:rsidP="00BA486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Cardinia</w:t>
            </w:r>
            <w:r>
              <w:rPr>
                <w:rFonts w:asciiTheme="minorHAnsi" w:hAnsiTheme="minorHAnsi" w:cs="Arial"/>
                <w:sz w:val="20"/>
                <w:szCs w:val="20"/>
              </w:rPr>
              <w:t xml:space="preserve"> Shire</w:t>
            </w:r>
          </w:p>
        </w:tc>
        <w:tc>
          <w:tcPr>
            <w:tcW w:w="1701" w:type="dxa"/>
            <w:noWrap/>
            <w:hideMark/>
          </w:tcPr>
          <w:p w:rsidR="00F01AA1" w:rsidRPr="00D55CBC" w:rsidRDefault="00F01AA1" w:rsidP="00BA486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Melbourne metro.</w:t>
            </w:r>
          </w:p>
        </w:tc>
        <w:tc>
          <w:tcPr>
            <w:tcW w:w="1701" w:type="dxa"/>
          </w:tcPr>
          <w:p w:rsidR="00F01AA1" w:rsidRPr="00D55CBC" w:rsidRDefault="00F01AA1" w:rsidP="00BA486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Victoria</w:t>
            </w:r>
          </w:p>
        </w:tc>
      </w:tr>
      <w:tr w:rsidR="00F01AA1" w:rsidRPr="00D55CBC" w:rsidTr="00F01AA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397" w:type="dxa"/>
            <w:noWrap/>
          </w:tcPr>
          <w:p w:rsidR="00F01AA1" w:rsidRPr="00D55CBC" w:rsidRDefault="00F01AA1" w:rsidP="00BA486B">
            <w:pPr>
              <w:rPr>
                <w:rFonts w:asciiTheme="minorHAnsi" w:hAnsiTheme="minorHAnsi" w:cs="Arial"/>
                <w:sz w:val="20"/>
                <w:szCs w:val="20"/>
              </w:rPr>
            </w:pPr>
            <w:r>
              <w:rPr>
                <w:rFonts w:asciiTheme="minorHAnsi" w:hAnsiTheme="minorHAnsi" w:cs="Arial"/>
                <w:sz w:val="20"/>
                <w:szCs w:val="20"/>
              </w:rPr>
              <w:t>Venues</w:t>
            </w:r>
          </w:p>
        </w:tc>
        <w:tc>
          <w:tcPr>
            <w:tcW w:w="1560" w:type="dxa"/>
            <w:noWrap/>
          </w:tcPr>
          <w:p w:rsidR="00F01AA1" w:rsidRPr="00D55CBC"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5</w:t>
            </w:r>
          </w:p>
        </w:tc>
        <w:tc>
          <w:tcPr>
            <w:tcW w:w="1701" w:type="dxa"/>
            <w:noWrap/>
          </w:tcPr>
          <w:p w:rsidR="00F01AA1" w:rsidRPr="00D55CBC"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315</w:t>
            </w:r>
          </w:p>
        </w:tc>
        <w:tc>
          <w:tcPr>
            <w:tcW w:w="1701" w:type="dxa"/>
          </w:tcPr>
          <w:p w:rsidR="00F01AA1"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502</w:t>
            </w:r>
          </w:p>
        </w:tc>
      </w:tr>
      <w:tr w:rsidR="00F01AA1" w:rsidRPr="00D55CBC" w:rsidTr="00F01AA1">
        <w:trPr>
          <w:trHeight w:val="325"/>
        </w:trPr>
        <w:tc>
          <w:tcPr>
            <w:cnfStyle w:val="001000000000" w:firstRow="0" w:lastRow="0" w:firstColumn="1" w:lastColumn="0" w:oddVBand="0" w:evenVBand="0" w:oddHBand="0" w:evenHBand="0" w:firstRowFirstColumn="0" w:firstRowLastColumn="0" w:lastRowFirstColumn="0" w:lastRowLastColumn="0"/>
            <w:tcW w:w="3397" w:type="dxa"/>
            <w:noWrap/>
          </w:tcPr>
          <w:p w:rsidR="00F01AA1" w:rsidRPr="00D55CBC" w:rsidRDefault="00F01AA1" w:rsidP="00BA486B">
            <w:pPr>
              <w:rPr>
                <w:rFonts w:asciiTheme="minorHAnsi" w:hAnsiTheme="minorHAnsi" w:cs="Arial"/>
                <w:sz w:val="20"/>
                <w:szCs w:val="20"/>
              </w:rPr>
            </w:pPr>
            <w:r>
              <w:rPr>
                <w:rFonts w:asciiTheme="minorHAnsi" w:hAnsiTheme="minorHAnsi" w:cs="Arial"/>
                <w:sz w:val="20"/>
                <w:szCs w:val="20"/>
              </w:rPr>
              <w:t>Number of licensed EGM’s</w:t>
            </w:r>
          </w:p>
        </w:tc>
        <w:tc>
          <w:tcPr>
            <w:tcW w:w="1560" w:type="dxa"/>
            <w:noWrap/>
          </w:tcPr>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325</w:t>
            </w:r>
          </w:p>
        </w:tc>
        <w:tc>
          <w:tcPr>
            <w:tcW w:w="1701" w:type="dxa"/>
            <w:noWrap/>
          </w:tcPr>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18,801</w:t>
            </w:r>
          </w:p>
        </w:tc>
        <w:tc>
          <w:tcPr>
            <w:tcW w:w="1701" w:type="dxa"/>
          </w:tcPr>
          <w:p w:rsidR="00F01AA1"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26,365</w:t>
            </w:r>
          </w:p>
        </w:tc>
      </w:tr>
      <w:tr w:rsidR="00F01AA1" w:rsidRPr="00D55CBC" w:rsidTr="00F01AA1">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3397" w:type="dxa"/>
            <w:noWrap/>
            <w:hideMark/>
          </w:tcPr>
          <w:p w:rsidR="00F01AA1" w:rsidRPr="00D55CBC" w:rsidRDefault="00F01AA1" w:rsidP="00BA486B">
            <w:pPr>
              <w:rPr>
                <w:rFonts w:asciiTheme="minorHAnsi" w:hAnsiTheme="minorHAnsi" w:cs="Arial"/>
                <w:sz w:val="20"/>
                <w:szCs w:val="20"/>
              </w:rPr>
            </w:pPr>
            <w:r w:rsidRPr="00D55CBC">
              <w:rPr>
                <w:rFonts w:asciiTheme="minorHAnsi" w:hAnsiTheme="minorHAnsi" w:cs="Arial"/>
                <w:sz w:val="20"/>
                <w:szCs w:val="20"/>
              </w:rPr>
              <w:t>EGMs per 1,000 Adults: 2016/2017</w:t>
            </w:r>
          </w:p>
        </w:tc>
        <w:tc>
          <w:tcPr>
            <w:tcW w:w="1560" w:type="dxa"/>
            <w:noWrap/>
            <w:hideMark/>
          </w:tcPr>
          <w:p w:rsidR="00F01AA1" w:rsidRPr="00D55CBC"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55CBC">
              <w:rPr>
                <w:rFonts w:asciiTheme="minorHAnsi" w:hAnsiTheme="minorHAnsi" w:cs="Arial"/>
                <w:sz w:val="20"/>
                <w:szCs w:val="20"/>
              </w:rPr>
              <w:t>4.5 </w:t>
            </w:r>
          </w:p>
        </w:tc>
        <w:tc>
          <w:tcPr>
            <w:tcW w:w="1701" w:type="dxa"/>
            <w:noWrap/>
            <w:hideMark/>
          </w:tcPr>
          <w:p w:rsidR="00F01AA1" w:rsidRPr="00D55CBC"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rPr>
            </w:pPr>
            <w:r w:rsidRPr="00D55CBC">
              <w:rPr>
                <w:rFonts w:asciiTheme="minorHAnsi" w:hAnsiTheme="minorHAnsi" w:cs="Arial"/>
                <w:sz w:val="20"/>
                <w:szCs w:val="20"/>
              </w:rPr>
              <w:t>5.2 </w:t>
            </w:r>
          </w:p>
        </w:tc>
        <w:tc>
          <w:tcPr>
            <w:tcW w:w="1701" w:type="dxa"/>
          </w:tcPr>
          <w:p w:rsidR="00F01AA1" w:rsidRPr="00D55CBC"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5.5</w:t>
            </w:r>
          </w:p>
        </w:tc>
      </w:tr>
      <w:tr w:rsidR="00F01AA1" w:rsidRPr="00D55CBC" w:rsidTr="00F01AA1">
        <w:trPr>
          <w:trHeight w:val="336"/>
        </w:trPr>
        <w:tc>
          <w:tcPr>
            <w:cnfStyle w:val="001000000000" w:firstRow="0" w:lastRow="0" w:firstColumn="1" w:lastColumn="0" w:oddVBand="0" w:evenVBand="0" w:oddHBand="0" w:evenHBand="0" w:firstRowFirstColumn="0" w:firstRowLastColumn="0" w:lastRowFirstColumn="0" w:lastRowLastColumn="0"/>
            <w:tcW w:w="3397" w:type="dxa"/>
            <w:noWrap/>
            <w:hideMark/>
          </w:tcPr>
          <w:p w:rsidR="00F01AA1" w:rsidRPr="00D55CBC" w:rsidRDefault="00F01AA1" w:rsidP="00BA486B">
            <w:pPr>
              <w:rPr>
                <w:rFonts w:asciiTheme="minorHAnsi" w:hAnsiTheme="minorHAnsi" w:cs="Arial"/>
                <w:sz w:val="20"/>
                <w:szCs w:val="20"/>
              </w:rPr>
            </w:pPr>
            <w:r w:rsidRPr="00D55CBC">
              <w:rPr>
                <w:rFonts w:asciiTheme="minorHAnsi" w:hAnsiTheme="minorHAnsi" w:cs="Arial"/>
                <w:sz w:val="20"/>
                <w:szCs w:val="20"/>
              </w:rPr>
              <w:t>EGM Gambling Losses 2016/2017</w:t>
            </w:r>
          </w:p>
        </w:tc>
        <w:tc>
          <w:tcPr>
            <w:tcW w:w="1560" w:type="dxa"/>
            <w:noWrap/>
            <w:hideMark/>
          </w:tcPr>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$27.0</w:t>
            </w:r>
            <w:r w:rsidRPr="00762F7E">
              <w:rPr>
                <w:rFonts w:asciiTheme="minorHAnsi" w:hAnsiTheme="minorHAnsi" w:cs="Arial"/>
              </w:rPr>
              <w:t xml:space="preserve"> </w:t>
            </w:r>
            <w:r w:rsidRPr="00D55CBC">
              <w:rPr>
                <w:rFonts w:asciiTheme="minorHAnsi" w:hAnsiTheme="minorHAnsi" w:cs="Arial"/>
                <w:sz w:val="20"/>
                <w:szCs w:val="20"/>
              </w:rPr>
              <w:t>million</w:t>
            </w:r>
          </w:p>
        </w:tc>
        <w:tc>
          <w:tcPr>
            <w:tcW w:w="1701" w:type="dxa"/>
            <w:noWrap/>
            <w:hideMark/>
          </w:tcPr>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$2,047</w:t>
            </w:r>
            <w:r w:rsidRPr="00762F7E">
              <w:rPr>
                <w:rFonts w:asciiTheme="minorHAnsi" w:hAnsiTheme="minorHAnsi" w:cs="Arial"/>
              </w:rPr>
              <w:t xml:space="preserve"> </w:t>
            </w:r>
            <w:r w:rsidRPr="00D55CBC">
              <w:rPr>
                <w:rFonts w:asciiTheme="minorHAnsi" w:hAnsiTheme="minorHAnsi" w:cs="Arial"/>
                <w:sz w:val="20"/>
                <w:szCs w:val="20"/>
              </w:rPr>
              <w:t>million</w:t>
            </w:r>
          </w:p>
        </w:tc>
        <w:tc>
          <w:tcPr>
            <w:tcW w:w="1701" w:type="dxa"/>
          </w:tcPr>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$2,610 million</w:t>
            </w:r>
          </w:p>
        </w:tc>
      </w:tr>
      <w:tr w:rsidR="00F01AA1" w:rsidRPr="00D55CBC" w:rsidTr="00F01AA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397" w:type="dxa"/>
            <w:noWrap/>
            <w:hideMark/>
          </w:tcPr>
          <w:p w:rsidR="00F01AA1" w:rsidRPr="00D55CBC" w:rsidRDefault="00F01AA1" w:rsidP="00BA486B">
            <w:pPr>
              <w:rPr>
                <w:rFonts w:asciiTheme="minorHAnsi" w:hAnsiTheme="minorHAnsi" w:cs="Arial"/>
                <w:sz w:val="20"/>
                <w:szCs w:val="20"/>
              </w:rPr>
            </w:pPr>
            <w:r w:rsidRPr="00D55CBC">
              <w:rPr>
                <w:rFonts w:asciiTheme="minorHAnsi" w:hAnsiTheme="minorHAnsi" w:cs="Arial"/>
                <w:sz w:val="20"/>
                <w:szCs w:val="20"/>
              </w:rPr>
              <w:t>EGM Gambling Losses per day</w:t>
            </w:r>
          </w:p>
        </w:tc>
        <w:tc>
          <w:tcPr>
            <w:tcW w:w="1560" w:type="dxa"/>
            <w:noWrap/>
            <w:hideMark/>
          </w:tcPr>
          <w:p w:rsidR="00F01AA1" w:rsidRPr="00D55CBC"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$74,097</w:t>
            </w:r>
          </w:p>
        </w:tc>
        <w:tc>
          <w:tcPr>
            <w:tcW w:w="1701" w:type="dxa"/>
            <w:noWrap/>
            <w:hideMark/>
          </w:tcPr>
          <w:p w:rsidR="00F01AA1" w:rsidRPr="00D55CBC"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$5,607,910</w:t>
            </w:r>
          </w:p>
        </w:tc>
        <w:tc>
          <w:tcPr>
            <w:tcW w:w="1701" w:type="dxa"/>
          </w:tcPr>
          <w:p w:rsidR="00F01AA1" w:rsidRPr="00D55CBC"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$7,149,397</w:t>
            </w:r>
          </w:p>
        </w:tc>
      </w:tr>
      <w:tr w:rsidR="00F01AA1" w:rsidRPr="00D55CBC" w:rsidTr="00F01AA1">
        <w:trPr>
          <w:trHeight w:val="338"/>
        </w:trPr>
        <w:tc>
          <w:tcPr>
            <w:cnfStyle w:val="001000000000" w:firstRow="0" w:lastRow="0" w:firstColumn="1" w:lastColumn="0" w:oddVBand="0" w:evenVBand="0" w:oddHBand="0" w:evenHBand="0" w:firstRowFirstColumn="0" w:firstRowLastColumn="0" w:lastRowFirstColumn="0" w:lastRowLastColumn="0"/>
            <w:tcW w:w="3397" w:type="dxa"/>
            <w:noWrap/>
            <w:hideMark/>
          </w:tcPr>
          <w:p w:rsidR="00F01AA1" w:rsidRPr="00D55CBC" w:rsidRDefault="00F01AA1" w:rsidP="00BA486B">
            <w:pPr>
              <w:rPr>
                <w:rFonts w:asciiTheme="minorHAnsi" w:hAnsiTheme="minorHAnsi" w:cs="Arial"/>
                <w:sz w:val="20"/>
                <w:szCs w:val="20"/>
              </w:rPr>
            </w:pPr>
            <w:r w:rsidRPr="00D55CBC">
              <w:rPr>
                <w:rFonts w:asciiTheme="minorHAnsi" w:hAnsiTheme="minorHAnsi" w:cs="Arial"/>
                <w:sz w:val="20"/>
                <w:szCs w:val="20"/>
              </w:rPr>
              <w:t>Losses per Adult 2016/2017</w:t>
            </w:r>
          </w:p>
        </w:tc>
        <w:tc>
          <w:tcPr>
            <w:tcW w:w="1560" w:type="dxa"/>
            <w:noWrap/>
            <w:hideMark/>
          </w:tcPr>
          <w:p w:rsidR="00F01AA1" w:rsidRPr="00762F7E"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55CBC">
              <w:rPr>
                <w:rFonts w:asciiTheme="minorHAnsi" w:hAnsiTheme="minorHAnsi" w:cs="Arial"/>
                <w:sz w:val="20"/>
                <w:szCs w:val="20"/>
              </w:rPr>
              <w:t>$375</w:t>
            </w:r>
          </w:p>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 </w:t>
            </w:r>
          </w:p>
        </w:tc>
        <w:tc>
          <w:tcPr>
            <w:tcW w:w="1701" w:type="dxa"/>
            <w:noWrap/>
            <w:hideMark/>
          </w:tcPr>
          <w:p w:rsidR="00F01AA1" w:rsidRPr="00762F7E"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rPr>
            </w:pPr>
            <w:r w:rsidRPr="00D55CBC">
              <w:rPr>
                <w:rFonts w:asciiTheme="minorHAnsi" w:hAnsiTheme="minorHAnsi" w:cs="Arial"/>
                <w:sz w:val="20"/>
                <w:szCs w:val="20"/>
              </w:rPr>
              <w:t>$562</w:t>
            </w:r>
          </w:p>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 </w:t>
            </w:r>
          </w:p>
        </w:tc>
        <w:tc>
          <w:tcPr>
            <w:tcW w:w="1701" w:type="dxa"/>
          </w:tcPr>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$542</w:t>
            </w:r>
          </w:p>
        </w:tc>
      </w:tr>
      <w:tr w:rsidR="00F01AA1" w:rsidRPr="00D55CBC" w:rsidTr="00F01AA1">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3397" w:type="dxa"/>
            <w:noWrap/>
            <w:hideMark/>
          </w:tcPr>
          <w:p w:rsidR="00F01AA1" w:rsidRPr="001B401D" w:rsidRDefault="00F01AA1" w:rsidP="00BA486B">
            <w:pPr>
              <w:rPr>
                <w:rFonts w:asciiTheme="minorHAnsi" w:hAnsiTheme="minorHAnsi" w:cs="Arial"/>
                <w:sz w:val="20"/>
                <w:szCs w:val="20"/>
              </w:rPr>
            </w:pPr>
            <w:r w:rsidRPr="001B401D">
              <w:rPr>
                <w:rFonts w:asciiTheme="minorHAnsi" w:hAnsiTheme="minorHAnsi" w:cs="Arial"/>
                <w:sz w:val="20"/>
                <w:szCs w:val="20"/>
              </w:rPr>
              <w:t>% Change in Losses in year 2016/2017</w:t>
            </w:r>
          </w:p>
        </w:tc>
        <w:tc>
          <w:tcPr>
            <w:tcW w:w="1560" w:type="dxa"/>
            <w:noWrap/>
            <w:hideMark/>
          </w:tcPr>
          <w:p w:rsidR="00F01AA1" w:rsidRPr="001B401D"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r w:rsidRPr="001B401D">
              <w:rPr>
                <w:rFonts w:asciiTheme="minorHAnsi" w:hAnsiTheme="minorHAnsi" w:cs="Arial"/>
                <w:color w:val="FF0000"/>
                <w:sz w:val="20"/>
                <w:szCs w:val="20"/>
              </w:rPr>
              <w:t>8.0</w:t>
            </w:r>
            <w:r w:rsidRPr="001B401D">
              <w:rPr>
                <w:rFonts w:asciiTheme="minorHAnsi" w:hAnsiTheme="minorHAnsi" w:cs="Arial"/>
                <w:color w:val="FF0000"/>
              </w:rPr>
              <w:t xml:space="preserve"> </w:t>
            </w:r>
            <w:r w:rsidRPr="001B401D">
              <w:rPr>
                <w:rFonts w:asciiTheme="minorHAnsi" w:hAnsiTheme="minorHAnsi" w:cs="Arial"/>
                <w:color w:val="FF0000"/>
                <w:sz w:val="20"/>
                <w:szCs w:val="20"/>
              </w:rPr>
              <w:t>%</w:t>
            </w:r>
          </w:p>
        </w:tc>
        <w:tc>
          <w:tcPr>
            <w:tcW w:w="1701" w:type="dxa"/>
            <w:noWrap/>
            <w:hideMark/>
          </w:tcPr>
          <w:p w:rsidR="00F01AA1" w:rsidRPr="001B401D"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r w:rsidRPr="001B401D">
              <w:rPr>
                <w:rFonts w:asciiTheme="minorHAnsi" w:hAnsiTheme="minorHAnsi" w:cs="Arial"/>
                <w:color w:val="FF0000"/>
                <w:sz w:val="20"/>
                <w:szCs w:val="20"/>
              </w:rPr>
              <w:t>-0.5</w:t>
            </w:r>
            <w:r w:rsidRPr="001B401D">
              <w:rPr>
                <w:rFonts w:asciiTheme="minorHAnsi" w:hAnsiTheme="minorHAnsi" w:cs="Arial"/>
                <w:color w:val="FF0000"/>
              </w:rPr>
              <w:t xml:space="preserve"> </w:t>
            </w:r>
            <w:r w:rsidRPr="001B401D">
              <w:rPr>
                <w:rFonts w:asciiTheme="minorHAnsi" w:hAnsiTheme="minorHAnsi" w:cs="Arial"/>
                <w:color w:val="FF0000"/>
                <w:sz w:val="20"/>
                <w:szCs w:val="20"/>
              </w:rPr>
              <w:t>%</w:t>
            </w:r>
          </w:p>
        </w:tc>
        <w:tc>
          <w:tcPr>
            <w:tcW w:w="1701" w:type="dxa"/>
          </w:tcPr>
          <w:p w:rsidR="00F01AA1" w:rsidRPr="001B401D" w:rsidRDefault="00F01AA1" w:rsidP="00BA486B">
            <w:pPr>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Arial"/>
                <w:color w:val="FF0000"/>
                <w:sz w:val="20"/>
                <w:szCs w:val="20"/>
              </w:rPr>
            </w:pPr>
            <w:r w:rsidRPr="001B401D">
              <w:rPr>
                <w:rFonts w:asciiTheme="minorHAnsi" w:hAnsiTheme="minorHAnsi" w:cs="Arial"/>
                <w:color w:val="FF0000"/>
                <w:sz w:val="20"/>
                <w:szCs w:val="20"/>
              </w:rPr>
              <w:t>-0.3%</w:t>
            </w:r>
          </w:p>
        </w:tc>
      </w:tr>
      <w:tr w:rsidR="00F01AA1" w:rsidRPr="00D55CBC" w:rsidTr="00F01AA1">
        <w:trPr>
          <w:trHeight w:val="197"/>
        </w:trPr>
        <w:tc>
          <w:tcPr>
            <w:cnfStyle w:val="001000000000" w:firstRow="0" w:lastRow="0" w:firstColumn="1" w:lastColumn="0" w:oddVBand="0" w:evenVBand="0" w:oddHBand="0" w:evenHBand="0" w:firstRowFirstColumn="0" w:firstRowLastColumn="0" w:lastRowFirstColumn="0" w:lastRowLastColumn="0"/>
            <w:tcW w:w="3397" w:type="dxa"/>
            <w:noWrap/>
            <w:hideMark/>
          </w:tcPr>
          <w:p w:rsidR="00F01AA1" w:rsidRPr="00BF2B97" w:rsidRDefault="00F01AA1" w:rsidP="00BA486B">
            <w:pPr>
              <w:rPr>
                <w:rFonts w:asciiTheme="minorHAnsi" w:hAnsiTheme="minorHAnsi"/>
                <w:sz w:val="20"/>
                <w:szCs w:val="20"/>
              </w:rPr>
            </w:pPr>
            <w:r w:rsidRPr="00D55CBC">
              <w:rPr>
                <w:rFonts w:asciiTheme="minorHAnsi" w:hAnsiTheme="minorHAnsi" w:cs="Arial"/>
                <w:sz w:val="20"/>
                <w:szCs w:val="20"/>
              </w:rPr>
              <w:t>% Change in Losses</w:t>
            </w:r>
            <w:r w:rsidRPr="00D55CBC">
              <w:rPr>
                <w:rFonts w:asciiTheme="minorHAnsi" w:hAnsiTheme="minorHAnsi"/>
                <w:i/>
                <w:iCs/>
                <w:sz w:val="20"/>
                <w:szCs w:val="20"/>
              </w:rPr>
              <w:t xml:space="preserve"> </w:t>
            </w:r>
          </w:p>
          <w:p w:rsidR="00F01AA1" w:rsidRPr="00D55CBC" w:rsidRDefault="00F01AA1" w:rsidP="00BA486B">
            <w:pPr>
              <w:rPr>
                <w:rFonts w:asciiTheme="minorHAnsi" w:hAnsiTheme="minorHAnsi" w:cs="Arial"/>
                <w:sz w:val="20"/>
                <w:szCs w:val="20"/>
              </w:rPr>
            </w:pPr>
            <w:r w:rsidRPr="00BF2B97">
              <w:rPr>
                <w:rFonts w:asciiTheme="minorHAnsi" w:hAnsiTheme="minorHAnsi"/>
                <w:sz w:val="20"/>
                <w:szCs w:val="20"/>
              </w:rPr>
              <w:t>[</w:t>
            </w:r>
            <w:r w:rsidRPr="00D55CBC">
              <w:rPr>
                <w:rFonts w:asciiTheme="minorHAnsi" w:hAnsiTheme="minorHAnsi"/>
                <w:sz w:val="20"/>
                <w:szCs w:val="20"/>
              </w:rPr>
              <w:t>adjusted for Inflation</w:t>
            </w:r>
            <w:r w:rsidRPr="00BF2B97">
              <w:rPr>
                <w:rFonts w:asciiTheme="minorHAnsi" w:hAnsiTheme="minorHAnsi"/>
                <w:sz w:val="20"/>
                <w:szCs w:val="20"/>
              </w:rPr>
              <w:t>]</w:t>
            </w:r>
          </w:p>
        </w:tc>
        <w:tc>
          <w:tcPr>
            <w:tcW w:w="1560" w:type="dxa"/>
            <w:noWrap/>
            <w:hideMark/>
          </w:tcPr>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5.7</w:t>
            </w:r>
            <w:r w:rsidRPr="00762F7E">
              <w:rPr>
                <w:rFonts w:asciiTheme="minorHAnsi" w:hAnsiTheme="minorHAnsi" w:cs="Arial"/>
              </w:rPr>
              <w:t xml:space="preserve"> </w:t>
            </w:r>
            <w:r w:rsidRPr="00D55CBC">
              <w:rPr>
                <w:rFonts w:asciiTheme="minorHAnsi" w:hAnsiTheme="minorHAnsi" w:cs="Arial"/>
                <w:sz w:val="20"/>
                <w:szCs w:val="20"/>
              </w:rPr>
              <w:t>%</w:t>
            </w:r>
          </w:p>
        </w:tc>
        <w:tc>
          <w:tcPr>
            <w:tcW w:w="1701" w:type="dxa"/>
            <w:noWrap/>
            <w:hideMark/>
          </w:tcPr>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sidRPr="00D55CBC">
              <w:rPr>
                <w:rFonts w:asciiTheme="minorHAnsi" w:hAnsiTheme="minorHAnsi" w:cs="Arial"/>
                <w:sz w:val="20"/>
                <w:szCs w:val="20"/>
              </w:rPr>
              <w:t>-2.7</w:t>
            </w:r>
            <w:r w:rsidRPr="00762F7E">
              <w:rPr>
                <w:rFonts w:asciiTheme="minorHAnsi" w:hAnsiTheme="minorHAnsi" w:cs="Arial"/>
              </w:rPr>
              <w:t xml:space="preserve"> </w:t>
            </w:r>
            <w:r w:rsidRPr="00D55CBC">
              <w:rPr>
                <w:rFonts w:asciiTheme="minorHAnsi" w:hAnsiTheme="minorHAnsi" w:cs="Arial"/>
                <w:sz w:val="20"/>
                <w:szCs w:val="20"/>
              </w:rPr>
              <w:t>%</w:t>
            </w:r>
          </w:p>
        </w:tc>
        <w:tc>
          <w:tcPr>
            <w:tcW w:w="1701" w:type="dxa"/>
          </w:tcPr>
          <w:p w:rsidR="00F01AA1" w:rsidRPr="00D55CBC" w:rsidRDefault="00F01AA1" w:rsidP="00BA486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r>
              <w:rPr>
                <w:rFonts w:asciiTheme="minorHAnsi" w:hAnsiTheme="minorHAnsi" w:cs="Arial"/>
                <w:sz w:val="20"/>
                <w:szCs w:val="20"/>
              </w:rPr>
              <w:t>-2.4%</w:t>
            </w:r>
          </w:p>
        </w:tc>
      </w:tr>
    </w:tbl>
    <w:p w:rsidR="00A86CD4" w:rsidRPr="00D55CBC" w:rsidRDefault="00A86CD4" w:rsidP="00A86CD4">
      <w:pPr>
        <w:pStyle w:val="Caption"/>
        <w:rPr>
          <w:rFonts w:asciiTheme="minorHAnsi" w:hAnsiTheme="minorHAnsi"/>
          <w:szCs w:val="20"/>
        </w:rPr>
      </w:pPr>
      <w:r>
        <w:t xml:space="preserve">Table </w:t>
      </w:r>
      <w:r w:rsidR="0084268C">
        <w:fldChar w:fldCharType="begin"/>
      </w:r>
      <w:r w:rsidR="0084268C">
        <w:instrText xml:space="preserve"> SEQ Table \* ARABIC </w:instrText>
      </w:r>
      <w:r w:rsidR="0084268C">
        <w:fldChar w:fldCharType="separate"/>
      </w:r>
      <w:r>
        <w:rPr>
          <w:noProof/>
        </w:rPr>
        <w:t>1</w:t>
      </w:r>
      <w:r w:rsidR="0084268C">
        <w:rPr>
          <w:noProof/>
        </w:rPr>
        <w:fldChar w:fldCharType="end"/>
      </w:r>
      <w:r>
        <w:t xml:space="preserve">: Source: </w:t>
      </w:r>
      <w:r w:rsidR="00F71E95">
        <w:t xml:space="preserve">Victorian Commission for Gambling and Liquor Regulation (VCGLR) 2017 </w:t>
      </w:r>
    </w:p>
    <w:p w:rsidR="008D7F36" w:rsidRDefault="008D7F36" w:rsidP="00640EEA">
      <w:pPr>
        <w:pStyle w:val="Bulletlistmultilevel"/>
        <w:numPr>
          <w:ilvl w:val="0"/>
          <w:numId w:val="0"/>
        </w:numPr>
      </w:pPr>
    </w:p>
    <w:p w:rsidR="00635D7C" w:rsidRDefault="00635D7C" w:rsidP="00640EEA">
      <w:pPr>
        <w:pStyle w:val="Bulletlistmultilevel"/>
        <w:numPr>
          <w:ilvl w:val="0"/>
          <w:numId w:val="0"/>
        </w:numPr>
      </w:pPr>
    </w:p>
    <w:p w:rsidR="00635D7C" w:rsidRDefault="00635D7C" w:rsidP="00640EEA">
      <w:pPr>
        <w:pStyle w:val="Bulletlistmultilevel"/>
        <w:numPr>
          <w:ilvl w:val="0"/>
          <w:numId w:val="0"/>
        </w:numPr>
      </w:pPr>
    </w:p>
    <w:p w:rsidR="00635D7C" w:rsidRDefault="00635D7C" w:rsidP="00640EEA">
      <w:pPr>
        <w:pStyle w:val="Bulletlistmultilevel"/>
        <w:numPr>
          <w:ilvl w:val="0"/>
          <w:numId w:val="0"/>
        </w:numPr>
      </w:pPr>
    </w:p>
    <w:p w:rsidR="00635D7C" w:rsidRDefault="00635D7C" w:rsidP="00640EEA">
      <w:pPr>
        <w:pStyle w:val="Bulletlistmultilevel"/>
        <w:numPr>
          <w:ilvl w:val="0"/>
          <w:numId w:val="0"/>
        </w:numPr>
      </w:pPr>
    </w:p>
    <w:p w:rsidR="00635D7C" w:rsidRDefault="00635D7C" w:rsidP="00640EEA">
      <w:pPr>
        <w:pStyle w:val="Bulletlistmultilevel"/>
        <w:numPr>
          <w:ilvl w:val="0"/>
          <w:numId w:val="0"/>
        </w:numPr>
      </w:pPr>
    </w:p>
    <w:p w:rsidR="00635D7C" w:rsidRDefault="00635D7C" w:rsidP="00640EEA">
      <w:pPr>
        <w:pStyle w:val="Bulletlistmultilevel"/>
        <w:numPr>
          <w:ilvl w:val="0"/>
          <w:numId w:val="0"/>
        </w:numPr>
      </w:pPr>
    </w:p>
    <w:p w:rsidR="00953127" w:rsidRDefault="00953127" w:rsidP="00640EEA">
      <w:pPr>
        <w:pStyle w:val="Bulletlistmultilevel"/>
        <w:numPr>
          <w:ilvl w:val="0"/>
          <w:numId w:val="0"/>
        </w:numPr>
      </w:pPr>
    </w:p>
    <w:p w:rsidR="00635D7C" w:rsidRDefault="00635D7C" w:rsidP="00640EEA">
      <w:pPr>
        <w:pStyle w:val="Bulletlistmultilevel"/>
        <w:numPr>
          <w:ilvl w:val="0"/>
          <w:numId w:val="0"/>
        </w:numPr>
      </w:pPr>
    </w:p>
    <w:p w:rsidR="00635D7C" w:rsidRDefault="00635D7C" w:rsidP="00640EEA">
      <w:pPr>
        <w:pStyle w:val="Bulletlistmultilevel"/>
        <w:numPr>
          <w:ilvl w:val="0"/>
          <w:numId w:val="0"/>
        </w:numPr>
      </w:pPr>
    </w:p>
    <w:p w:rsidR="00282C17" w:rsidRPr="00546E2C" w:rsidRDefault="00282C17" w:rsidP="00282C17">
      <w:pPr>
        <w:pStyle w:val="Heading1"/>
      </w:pPr>
      <w:r w:rsidRPr="00546E2C">
        <w:t>Contact us</w:t>
      </w:r>
    </w:p>
    <w:p w:rsidR="00282C17" w:rsidRDefault="0023521B" w:rsidP="0023521B">
      <w:pPr>
        <w:rPr>
          <w:rStyle w:val="Hyperlink"/>
          <w:rFonts w:eastAsiaTheme="majorEastAsia"/>
        </w:rPr>
      </w:pPr>
      <w:r>
        <w:rPr>
          <w:rFonts w:eastAsiaTheme="majorEastAsia"/>
          <w:lang w:eastAsia="en-US"/>
        </w:rPr>
        <w:t xml:space="preserve">For more information contact Social and Community Planning on 1300 787 624 or email </w:t>
      </w:r>
      <w:hyperlink r:id="rId10" w:history="1">
        <w:r w:rsidRPr="007531B8">
          <w:rPr>
            <w:rStyle w:val="Hyperlink"/>
            <w:rFonts w:eastAsiaTheme="majorEastAsia"/>
          </w:rPr>
          <w:t>mail@cardinia.vic.gov.au</w:t>
        </w:r>
      </w:hyperlink>
      <w:r>
        <w:rPr>
          <w:rFonts w:eastAsiaTheme="majorEastAsia"/>
          <w:lang w:eastAsia="en-US"/>
        </w:rPr>
        <w:t>.</w:t>
      </w:r>
    </w:p>
    <w:sectPr w:rsidR="00282C17" w:rsidSect="0084268C">
      <w:headerReference w:type="even" r:id="rId11"/>
      <w:headerReference w:type="default" r:id="rId12"/>
      <w:footerReference w:type="even" r:id="rId13"/>
      <w:footerReference w:type="default" r:id="rId14"/>
      <w:headerReference w:type="first" r:id="rId15"/>
      <w:pgSz w:w="11906" w:h="16838" w:code="9"/>
      <w:pgMar w:top="1418" w:right="992" w:bottom="1276" w:left="1134"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C17" w:rsidRDefault="00282C17" w:rsidP="00756052">
      <w:r>
        <w:separator/>
      </w:r>
    </w:p>
    <w:p w:rsidR="00282C17" w:rsidRDefault="00282C17"/>
  </w:endnote>
  <w:endnote w:type="continuationSeparator" w:id="0">
    <w:p w:rsidR="00282C17" w:rsidRDefault="00282C17" w:rsidP="00756052">
      <w:r>
        <w:continuationSeparator/>
      </w:r>
    </w:p>
    <w:p w:rsidR="00282C17" w:rsidRDefault="00282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68C" w:rsidRDefault="0084268C" w:rsidP="0084268C">
    <w:pPr>
      <w:pStyle w:val="Footer"/>
      <w:jc w:val="right"/>
    </w:pPr>
    <w:r>
      <w:t>Prepared July 2017</w:t>
    </w:r>
  </w:p>
  <w:p w:rsidR="0084268C" w:rsidRDefault="0084268C" w:rsidP="0084268C">
    <w:pPr>
      <w:pStyle w:val="Footer"/>
    </w:pPr>
  </w:p>
  <w:p w:rsidR="0084268C" w:rsidRDefault="0084268C">
    <w:pPr>
      <w:pStyle w:val="Footer"/>
    </w:pPr>
  </w:p>
  <w:p w:rsidR="004B2973" w:rsidRDefault="004B2973" w:rsidP="004B297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9F2" w:rsidRDefault="009909F2" w:rsidP="009909F2">
    <w:pPr>
      <w:pStyle w:val="Footer"/>
      <w:jc w:val="right"/>
    </w:pPr>
    <w:r>
      <w:t>Prepared July 2017</w:t>
    </w:r>
  </w:p>
  <w:p w:rsidR="009909F2" w:rsidRDefault="009909F2" w:rsidP="009909F2">
    <w:pPr>
      <w:pStyle w:val="Footer"/>
    </w:pPr>
  </w:p>
  <w:p w:rsidR="00793CBF" w:rsidRPr="009909F2" w:rsidRDefault="00793CBF" w:rsidP="009909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C17" w:rsidRDefault="00282C17" w:rsidP="00756052">
      <w:r>
        <w:separator/>
      </w:r>
    </w:p>
    <w:p w:rsidR="00282C17" w:rsidRDefault="00282C17"/>
  </w:footnote>
  <w:footnote w:type="continuationSeparator" w:id="0">
    <w:p w:rsidR="00282C17" w:rsidRDefault="00282C17" w:rsidP="00756052">
      <w:r>
        <w:continuationSeparator/>
      </w:r>
    </w:p>
    <w:p w:rsidR="00282C17" w:rsidRDefault="00282C17"/>
  </w:footnote>
  <w:footnote w:id="1">
    <w:p w:rsidR="0026100E" w:rsidRDefault="0026100E">
      <w:pPr>
        <w:pStyle w:val="FootnoteText"/>
      </w:pPr>
      <w:r>
        <w:rPr>
          <w:rStyle w:val="FootnoteReference"/>
        </w:rPr>
        <w:footnoteRef/>
      </w:r>
      <w:r>
        <w:t xml:space="preserve"> Victorian Population Health Survey 2014</w:t>
      </w:r>
    </w:p>
  </w:footnote>
  <w:footnote w:id="2">
    <w:p w:rsidR="0026100E" w:rsidRDefault="0026100E">
      <w:pPr>
        <w:pStyle w:val="FootnoteText"/>
      </w:pPr>
      <w:r>
        <w:rPr>
          <w:rStyle w:val="FootnoteReference"/>
        </w:rPr>
        <w:footnoteRef/>
      </w:r>
      <w:r>
        <w:t xml:space="preserve"> Social Health Atlas 2014 </w:t>
      </w:r>
    </w:p>
  </w:footnote>
  <w:footnote w:id="3">
    <w:p w:rsidR="0026100E" w:rsidRDefault="0026100E">
      <w:pPr>
        <w:pStyle w:val="FootnoteText"/>
      </w:pPr>
      <w:r>
        <w:rPr>
          <w:rStyle w:val="FootnoteReference"/>
        </w:rPr>
        <w:footnoteRef/>
      </w:r>
      <w:r>
        <w:t xml:space="preserve"> South East Melbourne Primary Health Network Needs Analysis 2015  </w:t>
      </w:r>
    </w:p>
  </w:footnote>
  <w:footnote w:id="4">
    <w:p w:rsidR="00932A0E" w:rsidRDefault="00932A0E">
      <w:pPr>
        <w:pStyle w:val="FootnoteText"/>
      </w:pPr>
      <w:r>
        <w:rPr>
          <w:rStyle w:val="FootnoteReference"/>
        </w:rPr>
        <w:footnoteRef/>
      </w:r>
      <w:r>
        <w:t xml:space="preserve"> Department of Health and Human Services, Local Government Profile, 2015</w:t>
      </w:r>
    </w:p>
  </w:footnote>
  <w:footnote w:id="5">
    <w:p w:rsidR="00932A0E" w:rsidRDefault="00932A0E" w:rsidP="00932A0E">
      <w:pPr>
        <w:pStyle w:val="FootnoteText"/>
      </w:pPr>
      <w:r>
        <w:rPr>
          <w:rStyle w:val="FootnoteReference"/>
        </w:rPr>
        <w:footnoteRef/>
      </w:r>
      <w:r>
        <w:t xml:space="preserve"> School Entrant Health </w:t>
      </w:r>
      <w:r w:rsidR="0042289D">
        <w:t>Questionnaire</w:t>
      </w:r>
      <w:r>
        <w:t xml:space="preserve">, 2014 </w:t>
      </w:r>
    </w:p>
  </w:footnote>
  <w:footnote w:id="6">
    <w:p w:rsidR="00932A0E" w:rsidRDefault="00932A0E">
      <w:pPr>
        <w:pStyle w:val="FootnoteText"/>
      </w:pPr>
      <w:r>
        <w:rPr>
          <w:rStyle w:val="FootnoteReference"/>
        </w:rPr>
        <w:footnoteRef/>
      </w:r>
      <w:r>
        <w:t xml:space="preserve"> Turning Point, AOD Stats, 2014 </w:t>
      </w:r>
    </w:p>
  </w:footnote>
  <w:footnote w:id="7">
    <w:p w:rsidR="00932A0E" w:rsidRDefault="00932A0E" w:rsidP="00932A0E">
      <w:pPr>
        <w:pStyle w:val="FootnoteText"/>
      </w:pPr>
      <w:r>
        <w:rPr>
          <w:rStyle w:val="FootnoteReference"/>
        </w:rPr>
        <w:footnoteRef/>
      </w:r>
      <w:r>
        <w:t xml:space="preserve"> Cardinia Shire Council, Social Research, 2014/15-2015/16 </w:t>
      </w:r>
    </w:p>
  </w:footnote>
  <w:footnote w:id="8">
    <w:p w:rsidR="003C7CD7" w:rsidRDefault="003C7CD7">
      <w:pPr>
        <w:pStyle w:val="FootnoteText"/>
      </w:pPr>
      <w:r>
        <w:rPr>
          <w:rStyle w:val="FootnoteReference"/>
        </w:rPr>
        <w:footnoteRef/>
      </w:r>
      <w:r>
        <w:t xml:space="preserve"> Department of Education and Early Childhood Development, Cardinia Profile, 2012 </w:t>
      </w:r>
    </w:p>
  </w:footnote>
  <w:footnote w:id="9">
    <w:p w:rsidR="00932A0E" w:rsidRDefault="00932A0E">
      <w:pPr>
        <w:pStyle w:val="FootnoteText"/>
      </w:pPr>
      <w:r>
        <w:rPr>
          <w:rStyle w:val="FootnoteReference"/>
        </w:rPr>
        <w:footnoteRef/>
      </w:r>
      <w:r>
        <w:t xml:space="preserve"> Communities That Care Research Report Cardinia, 2015 </w:t>
      </w:r>
    </w:p>
  </w:footnote>
  <w:footnote w:id="10">
    <w:p w:rsidR="008D7F36" w:rsidRDefault="008D7F36">
      <w:pPr>
        <w:pStyle w:val="FootnoteText"/>
      </w:pPr>
      <w:r>
        <w:rPr>
          <w:rStyle w:val="FootnoteReference"/>
        </w:rPr>
        <w:footnoteRef/>
      </w:r>
      <w:r>
        <w:t xml:space="preserve"> Social Statistics, Ci</w:t>
      </w:r>
      <w:r w:rsidR="00EB59A6">
        <w:t>ty of Greater Dandenong</w:t>
      </w:r>
    </w:p>
  </w:footnote>
  <w:footnote w:id="11">
    <w:p w:rsidR="00953127" w:rsidRDefault="00953127" w:rsidP="00953127">
      <w:pPr>
        <w:pStyle w:val="FootnoteText"/>
      </w:pPr>
      <w:r>
        <w:rPr>
          <w:rStyle w:val="FootnoteReference"/>
        </w:rPr>
        <w:footnoteRef/>
      </w:r>
      <w:r>
        <w:t xml:space="preserve"> Source; Victorian Commission for Gambling and Liquor Regulation, 2017.</w:t>
      </w:r>
    </w:p>
  </w:footnote>
  <w:footnote w:id="12">
    <w:p w:rsidR="00CF1480" w:rsidRDefault="00CF1480" w:rsidP="00CF1480">
      <w:pPr>
        <w:pStyle w:val="FootnoteText"/>
      </w:pPr>
      <w:r>
        <w:rPr>
          <w:rStyle w:val="FootnoteReference"/>
        </w:rPr>
        <w:footnoteRef/>
      </w:r>
      <w:r>
        <w:t xml:space="preserve"> </w:t>
      </w:r>
      <w:r w:rsidR="00EB59A6">
        <w:t xml:space="preserve">This is recorded as </w:t>
      </w:r>
      <w:r>
        <w:t xml:space="preserve">Net </w:t>
      </w:r>
      <w:r w:rsidR="00EB59A6">
        <w:t xml:space="preserve">EGM. </w:t>
      </w:r>
      <w:r>
        <w:t>The "Monthly Net Electronic Gaming Machin</w:t>
      </w:r>
      <w:r w:rsidR="00EB59A6">
        <w:t xml:space="preserve">e Expenditure" amount recorded by VCGLR is based </w:t>
      </w:r>
      <w:r>
        <w:t>on data that may not have been fully audited to date. The data is audited on an ongoing basis during each financial year to produce the annual net expenditure amount appearing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27" w:rsidRDefault="00953127" w:rsidP="00953127">
    <w:pPr>
      <w:rPr>
        <w:color w:val="FFFFFF" w:themeColor="background1"/>
        <w:sz w:val="32"/>
        <w:szCs w:val="32"/>
      </w:rPr>
    </w:pPr>
    <w:r>
      <w:rPr>
        <w:noProof/>
        <w:color w:val="FFFFFF" w:themeColor="background1"/>
        <w:sz w:val="32"/>
        <w:szCs w:val="32"/>
      </w:rPr>
      <w:drawing>
        <wp:anchor distT="0" distB="0" distL="114300" distR="114300" simplePos="0" relativeHeight="251662336" behindDoc="0" locked="0" layoutInCell="1" allowOverlap="1" wp14:anchorId="03BE6430" wp14:editId="3A1637DD">
          <wp:simplePos x="0" y="0"/>
          <wp:positionH relativeFrom="page">
            <wp:posOffset>5678170</wp:posOffset>
          </wp:positionH>
          <wp:positionV relativeFrom="page">
            <wp:posOffset>360045</wp:posOffset>
          </wp:positionV>
          <wp:extent cx="1440000" cy="849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iaSC_Logo_RevWhite.png"/>
                  <pic:cNvPicPr/>
                </pic:nvPicPr>
                <pic:blipFill>
                  <a:blip r:embed="rId1">
                    <a:extLst>
                      <a:ext uri="{28A0092B-C50C-407E-A947-70E740481C1C}">
                        <a14:useLocalDpi xmlns:a14="http://schemas.microsoft.com/office/drawing/2010/main" val="0"/>
                      </a:ext>
                    </a:extLst>
                  </a:blip>
                  <a:stretch>
                    <a:fillRect/>
                  </a:stretch>
                </pic:blipFill>
                <pic:spPr>
                  <a:xfrm>
                    <a:off x="0" y="0"/>
                    <a:ext cx="1440000" cy="84960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32"/>
        <w:szCs w:val="32"/>
      </w:rPr>
      <w:drawing>
        <wp:anchor distT="0" distB="0" distL="114300" distR="114300" simplePos="0" relativeHeight="251663360" behindDoc="1" locked="0" layoutInCell="0" allowOverlap="1" wp14:anchorId="0169FC7F" wp14:editId="5A083421">
          <wp:simplePos x="0" y="0"/>
          <wp:positionH relativeFrom="page">
            <wp:posOffset>-31898</wp:posOffset>
          </wp:positionH>
          <wp:positionV relativeFrom="page">
            <wp:posOffset>-10633</wp:posOffset>
          </wp:positionV>
          <wp:extent cx="7632185" cy="2477386"/>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act-sheet-artwork-1.png"/>
                  <pic:cNvPicPr/>
                </pic:nvPicPr>
                <pic:blipFill>
                  <a:blip r:embed="rId2">
                    <a:extLst>
                      <a:ext uri="{28A0092B-C50C-407E-A947-70E740481C1C}">
                        <a14:useLocalDpi xmlns:a14="http://schemas.microsoft.com/office/drawing/2010/main" val="0"/>
                      </a:ext>
                    </a:extLst>
                  </a:blip>
                  <a:stretch>
                    <a:fillRect/>
                  </a:stretch>
                </pic:blipFill>
                <pic:spPr>
                  <a:xfrm>
                    <a:off x="0" y="0"/>
                    <a:ext cx="7634194" cy="247803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32"/>
        <w:szCs w:val="32"/>
      </w:rPr>
      <w:t>Cardinia Shire Council</w:t>
    </w:r>
  </w:p>
  <w:p w:rsidR="001269A9" w:rsidRDefault="001269A9" w:rsidP="00953127">
    <w:pPr>
      <w:rPr>
        <w:color w:val="FFFFFF" w:themeColor="background1"/>
        <w:sz w:val="32"/>
        <w:szCs w:val="32"/>
      </w:rPr>
    </w:pPr>
  </w:p>
  <w:p w:rsidR="009909F2" w:rsidRDefault="009909F2" w:rsidP="009909F2">
    <w:pPr>
      <w:pStyle w:val="Title"/>
      <w:spacing w:before="0" w:after="0"/>
      <w:rPr>
        <w:sz w:val="44"/>
        <w:szCs w:val="44"/>
      </w:rPr>
    </w:pPr>
    <w:r>
      <w:rPr>
        <w:sz w:val="44"/>
        <w:szCs w:val="44"/>
      </w:rPr>
      <w:t xml:space="preserve">Factsheet </w:t>
    </w:r>
  </w:p>
  <w:p w:rsidR="009909F2" w:rsidRPr="009909F2" w:rsidRDefault="009909F2" w:rsidP="009909F2">
    <w:pPr>
      <w:pStyle w:val="Title"/>
      <w:spacing w:before="0" w:after="0"/>
      <w:rPr>
        <w:sz w:val="44"/>
        <w:szCs w:val="44"/>
      </w:rPr>
    </w:pPr>
    <w:r>
      <w:rPr>
        <w:sz w:val="44"/>
        <w:szCs w:val="44"/>
      </w:rPr>
      <w:t>T</w:t>
    </w:r>
    <w:r w:rsidRPr="009909F2">
      <w:rPr>
        <w:sz w:val="44"/>
        <w:szCs w:val="44"/>
      </w:rPr>
      <w:t>obacco, alcohol, drugs and gambling</w:t>
    </w:r>
  </w:p>
  <w:p w:rsidR="004B2973" w:rsidRPr="00282C17" w:rsidRDefault="00057FAD" w:rsidP="00057FAD">
    <w:pPr>
      <w:tabs>
        <w:tab w:val="right" w:pos="9780"/>
      </w:tabs>
      <w:rPr>
        <w:sz w:val="32"/>
        <w:szCs w:val="32"/>
        <w:lang w:eastAsia="en-US"/>
      </w:rPr>
    </w:pPr>
    <w:r>
      <w:rPr>
        <w:color w:val="FFFFFF" w:themeColor="background1"/>
        <w:sz w:val="32"/>
        <w:szCs w:val="32"/>
        <w:lang w:eastAsia="en-US"/>
      </w:rPr>
      <w:tab/>
    </w:r>
  </w:p>
  <w:p w:rsidR="004B2973" w:rsidRDefault="004B29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127" w:rsidRDefault="00953127" w:rsidP="00953127">
    <w:pPr>
      <w:rPr>
        <w:color w:val="FFFFFF" w:themeColor="background1"/>
        <w:sz w:val="32"/>
        <w:szCs w:val="32"/>
      </w:rPr>
    </w:pPr>
    <w:r>
      <w:rPr>
        <w:noProof/>
        <w:color w:val="FFFFFF" w:themeColor="background1"/>
        <w:sz w:val="32"/>
        <w:szCs w:val="32"/>
      </w:rPr>
      <w:drawing>
        <wp:anchor distT="0" distB="0" distL="114300" distR="114300" simplePos="0" relativeHeight="251665408" behindDoc="0" locked="0" layoutInCell="1" allowOverlap="1" wp14:anchorId="213289C6" wp14:editId="2ADC3591">
          <wp:simplePos x="0" y="0"/>
          <wp:positionH relativeFrom="page">
            <wp:posOffset>5678170</wp:posOffset>
          </wp:positionH>
          <wp:positionV relativeFrom="page">
            <wp:posOffset>360045</wp:posOffset>
          </wp:positionV>
          <wp:extent cx="1440000" cy="84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iaSC_Logo_RevWhite.png"/>
                  <pic:cNvPicPr/>
                </pic:nvPicPr>
                <pic:blipFill>
                  <a:blip r:embed="rId1">
                    <a:extLst>
                      <a:ext uri="{28A0092B-C50C-407E-A947-70E740481C1C}">
                        <a14:useLocalDpi xmlns:a14="http://schemas.microsoft.com/office/drawing/2010/main" val="0"/>
                      </a:ext>
                    </a:extLst>
                  </a:blip>
                  <a:stretch>
                    <a:fillRect/>
                  </a:stretch>
                </pic:blipFill>
                <pic:spPr>
                  <a:xfrm>
                    <a:off x="0" y="0"/>
                    <a:ext cx="1440000" cy="84960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32"/>
        <w:szCs w:val="32"/>
      </w:rPr>
      <w:drawing>
        <wp:anchor distT="0" distB="0" distL="114300" distR="114300" simplePos="0" relativeHeight="251666432" behindDoc="1" locked="0" layoutInCell="0" allowOverlap="1" wp14:anchorId="5CFFBDD6" wp14:editId="5A22A37E">
          <wp:simplePos x="0" y="0"/>
          <wp:positionH relativeFrom="page">
            <wp:posOffset>-31898</wp:posOffset>
          </wp:positionH>
          <wp:positionV relativeFrom="page">
            <wp:posOffset>-10633</wp:posOffset>
          </wp:positionV>
          <wp:extent cx="7632185" cy="2477386"/>
          <wp:effectExtent l="0" t="0" r="698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act-sheet-artwork-1.png"/>
                  <pic:cNvPicPr/>
                </pic:nvPicPr>
                <pic:blipFill>
                  <a:blip r:embed="rId2">
                    <a:extLst>
                      <a:ext uri="{28A0092B-C50C-407E-A947-70E740481C1C}">
                        <a14:useLocalDpi xmlns:a14="http://schemas.microsoft.com/office/drawing/2010/main" val="0"/>
                      </a:ext>
                    </a:extLst>
                  </a:blip>
                  <a:stretch>
                    <a:fillRect/>
                  </a:stretch>
                </pic:blipFill>
                <pic:spPr>
                  <a:xfrm>
                    <a:off x="0" y="0"/>
                    <a:ext cx="7634194" cy="247803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32"/>
        <w:szCs w:val="32"/>
      </w:rPr>
      <w:t>Cardinia Shire Council</w:t>
    </w:r>
  </w:p>
  <w:p w:rsidR="001269A9" w:rsidRDefault="001269A9" w:rsidP="00953127">
    <w:pPr>
      <w:rPr>
        <w:color w:val="FFFFFF" w:themeColor="background1"/>
        <w:sz w:val="32"/>
        <w:szCs w:val="32"/>
      </w:rPr>
    </w:pPr>
  </w:p>
  <w:p w:rsidR="009909F2" w:rsidRDefault="009909F2" w:rsidP="009909F2">
    <w:pPr>
      <w:pStyle w:val="Title"/>
      <w:spacing w:before="0" w:after="0"/>
      <w:rPr>
        <w:sz w:val="44"/>
        <w:szCs w:val="44"/>
      </w:rPr>
    </w:pPr>
    <w:r>
      <w:rPr>
        <w:sz w:val="44"/>
        <w:szCs w:val="44"/>
      </w:rPr>
      <w:t xml:space="preserve">Factsheet </w:t>
    </w:r>
  </w:p>
  <w:p w:rsidR="009909F2" w:rsidRPr="009909F2" w:rsidRDefault="009909F2" w:rsidP="009909F2">
    <w:pPr>
      <w:pStyle w:val="Title"/>
      <w:spacing w:before="0" w:after="0"/>
      <w:rPr>
        <w:sz w:val="44"/>
        <w:szCs w:val="44"/>
      </w:rPr>
    </w:pPr>
    <w:r>
      <w:rPr>
        <w:sz w:val="44"/>
        <w:szCs w:val="44"/>
      </w:rPr>
      <w:t>T</w:t>
    </w:r>
    <w:r w:rsidRPr="009909F2">
      <w:rPr>
        <w:sz w:val="44"/>
        <w:szCs w:val="44"/>
      </w:rPr>
      <w:t>obacco, alcohol, drugs and gambling</w:t>
    </w:r>
  </w:p>
  <w:p w:rsidR="0026100E" w:rsidRPr="00282C17" w:rsidRDefault="0026100E" w:rsidP="0026100E">
    <w:pPr>
      <w:rPr>
        <w:sz w:val="32"/>
        <w:szCs w:val="32"/>
        <w:lang w:eastAsia="en-US"/>
      </w:rPr>
    </w:pPr>
  </w:p>
  <w:p w:rsidR="0026100E" w:rsidRDefault="00261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39" w:rsidRDefault="002A7F39" w:rsidP="002A7F39">
    <w:pPr>
      <w:rPr>
        <w:color w:val="FFFFFF" w:themeColor="background1"/>
        <w:sz w:val="32"/>
        <w:szCs w:val="32"/>
      </w:rPr>
    </w:pPr>
    <w:r>
      <w:rPr>
        <w:noProof/>
        <w:color w:val="FFFFFF" w:themeColor="background1"/>
        <w:sz w:val="32"/>
        <w:szCs w:val="32"/>
      </w:rPr>
      <w:drawing>
        <wp:anchor distT="0" distB="0" distL="114300" distR="114300" simplePos="0" relativeHeight="251659264" behindDoc="0" locked="0" layoutInCell="1" allowOverlap="1" wp14:anchorId="0AA8A7F2" wp14:editId="033FB068">
          <wp:simplePos x="0" y="0"/>
          <wp:positionH relativeFrom="page">
            <wp:posOffset>5678170</wp:posOffset>
          </wp:positionH>
          <wp:positionV relativeFrom="page">
            <wp:posOffset>360045</wp:posOffset>
          </wp:positionV>
          <wp:extent cx="1440000" cy="84960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diniaSC_Logo_RevWhite.png"/>
                  <pic:cNvPicPr/>
                </pic:nvPicPr>
                <pic:blipFill>
                  <a:blip r:embed="rId1">
                    <a:extLst>
                      <a:ext uri="{28A0092B-C50C-407E-A947-70E740481C1C}">
                        <a14:useLocalDpi xmlns:a14="http://schemas.microsoft.com/office/drawing/2010/main" val="0"/>
                      </a:ext>
                    </a:extLst>
                  </a:blip>
                  <a:stretch>
                    <a:fillRect/>
                  </a:stretch>
                </pic:blipFill>
                <pic:spPr>
                  <a:xfrm>
                    <a:off x="0" y="0"/>
                    <a:ext cx="1440000" cy="849600"/>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32"/>
        <w:szCs w:val="32"/>
      </w:rPr>
      <w:drawing>
        <wp:anchor distT="0" distB="0" distL="114300" distR="114300" simplePos="0" relativeHeight="251660288" behindDoc="1" locked="0" layoutInCell="0" allowOverlap="1" wp14:anchorId="3D5F2FD1" wp14:editId="07BA3AF3">
          <wp:simplePos x="0" y="0"/>
          <wp:positionH relativeFrom="page">
            <wp:posOffset>-31898</wp:posOffset>
          </wp:positionH>
          <wp:positionV relativeFrom="page">
            <wp:posOffset>-10633</wp:posOffset>
          </wp:positionV>
          <wp:extent cx="7632185" cy="2477386"/>
          <wp:effectExtent l="0" t="0" r="698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C-fact-sheet-artwork-1.png"/>
                  <pic:cNvPicPr/>
                </pic:nvPicPr>
                <pic:blipFill>
                  <a:blip r:embed="rId2">
                    <a:extLst>
                      <a:ext uri="{28A0092B-C50C-407E-A947-70E740481C1C}">
                        <a14:useLocalDpi xmlns:a14="http://schemas.microsoft.com/office/drawing/2010/main" val="0"/>
                      </a:ext>
                    </a:extLst>
                  </a:blip>
                  <a:stretch>
                    <a:fillRect/>
                  </a:stretch>
                </pic:blipFill>
                <pic:spPr>
                  <a:xfrm>
                    <a:off x="0" y="0"/>
                    <a:ext cx="7634194" cy="2478038"/>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FFFFFF" w:themeColor="background1"/>
        <w:sz w:val="32"/>
        <w:szCs w:val="32"/>
      </w:rPr>
      <w:t>Cardinia Shire Council</w:t>
    </w:r>
  </w:p>
  <w:p w:rsidR="001269A9" w:rsidRDefault="001269A9" w:rsidP="002A7F39">
    <w:pPr>
      <w:rPr>
        <w:color w:val="FFFFFF" w:themeColor="background1"/>
        <w:sz w:val="32"/>
        <w:szCs w:val="32"/>
      </w:rPr>
    </w:pPr>
  </w:p>
  <w:p w:rsidR="009909F2" w:rsidRDefault="009909F2" w:rsidP="009909F2">
    <w:pPr>
      <w:pStyle w:val="Title"/>
      <w:spacing w:before="0" w:after="0"/>
      <w:rPr>
        <w:sz w:val="44"/>
        <w:szCs w:val="44"/>
      </w:rPr>
    </w:pPr>
    <w:r>
      <w:rPr>
        <w:sz w:val="44"/>
        <w:szCs w:val="44"/>
      </w:rPr>
      <w:t xml:space="preserve">Factsheet </w:t>
    </w:r>
  </w:p>
  <w:p w:rsidR="002A7F39" w:rsidRPr="009909F2" w:rsidRDefault="009909F2" w:rsidP="009909F2">
    <w:pPr>
      <w:pStyle w:val="Title"/>
      <w:spacing w:before="0" w:after="0"/>
      <w:rPr>
        <w:sz w:val="44"/>
        <w:szCs w:val="44"/>
      </w:rPr>
    </w:pPr>
    <w:r>
      <w:rPr>
        <w:sz w:val="44"/>
        <w:szCs w:val="44"/>
      </w:rPr>
      <w:t>T</w:t>
    </w:r>
    <w:r w:rsidR="002C1578" w:rsidRPr="009909F2">
      <w:rPr>
        <w:sz w:val="44"/>
        <w:szCs w:val="44"/>
      </w:rPr>
      <w:t xml:space="preserve">obacco, alcohol, </w:t>
    </w:r>
    <w:r w:rsidR="00282C17" w:rsidRPr="009909F2">
      <w:rPr>
        <w:sz w:val="44"/>
        <w:szCs w:val="44"/>
      </w:rPr>
      <w:t>drugs</w:t>
    </w:r>
    <w:r w:rsidR="0026100E" w:rsidRPr="009909F2">
      <w:rPr>
        <w:sz w:val="44"/>
        <w:szCs w:val="44"/>
      </w:rPr>
      <w:t xml:space="preserve"> </w:t>
    </w:r>
    <w:r w:rsidR="002C1578" w:rsidRPr="009909F2">
      <w:rPr>
        <w:sz w:val="44"/>
        <w:szCs w:val="44"/>
      </w:rPr>
      <w:t>and gambling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15:restartNumberingAfterBreak="0">
    <w:nsid w:val="125C7B49"/>
    <w:multiLevelType w:val="hybridMultilevel"/>
    <w:tmpl w:val="41F4BF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6" w15:restartNumberingAfterBreak="0">
    <w:nsid w:val="238028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AA4DF2"/>
    <w:multiLevelType w:val="hybridMultilevel"/>
    <w:tmpl w:val="E37CA52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CA2538"/>
    <w:multiLevelType w:val="multilevel"/>
    <w:tmpl w:val="DDCC9C7E"/>
    <w:styleLink w:val="CSCtablenumberlist"/>
    <w:lvl w:ilvl="0">
      <w:start w:val="1"/>
      <w:numFmt w:val="decimal"/>
      <w:pStyle w:val="Tablenumberedlist"/>
      <w:lvlText w:val="%1."/>
      <w:lvlJc w:val="left"/>
      <w:pPr>
        <w:ind w:left="187" w:hanging="187"/>
      </w:pPr>
      <w:rPr>
        <w:rFonts w:hint="default"/>
      </w:rPr>
    </w:lvl>
    <w:lvl w:ilvl="1">
      <w:start w:val="1"/>
      <w:numFmt w:val="lowerLetter"/>
      <w:pStyle w:val="Tablenumberlevel2"/>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9" w15:restartNumberingAfterBreak="0">
    <w:nsid w:val="2E6053F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ACC7020"/>
    <w:multiLevelType w:val="hybridMultilevel"/>
    <w:tmpl w:val="BC22E160"/>
    <w:lvl w:ilvl="0" w:tplc="DA7A2714">
      <w:start w:val="1"/>
      <w:numFmt w:val="bullet"/>
      <w:lvlText w:val="•"/>
      <w:lvlJc w:val="left"/>
      <w:pPr>
        <w:tabs>
          <w:tab w:val="num" w:pos="360"/>
        </w:tabs>
        <w:ind w:left="360" w:hanging="360"/>
      </w:pPr>
      <w:rPr>
        <w:rFonts w:ascii="Arial" w:hAnsi="Arial" w:cs="Times New Roman" w:hint="default"/>
      </w:rPr>
    </w:lvl>
    <w:lvl w:ilvl="1" w:tplc="6ECAC78A">
      <w:start w:val="1"/>
      <w:numFmt w:val="bullet"/>
      <w:lvlText w:val="•"/>
      <w:lvlJc w:val="left"/>
      <w:pPr>
        <w:tabs>
          <w:tab w:val="num" w:pos="1080"/>
        </w:tabs>
        <w:ind w:left="1080" w:hanging="360"/>
      </w:pPr>
      <w:rPr>
        <w:rFonts w:ascii="Arial" w:hAnsi="Arial" w:cs="Times New Roman" w:hint="default"/>
      </w:rPr>
    </w:lvl>
    <w:lvl w:ilvl="2" w:tplc="8E54B01C">
      <w:start w:val="1"/>
      <w:numFmt w:val="bullet"/>
      <w:lvlText w:val="•"/>
      <w:lvlJc w:val="left"/>
      <w:pPr>
        <w:tabs>
          <w:tab w:val="num" w:pos="1800"/>
        </w:tabs>
        <w:ind w:left="1800" w:hanging="360"/>
      </w:pPr>
      <w:rPr>
        <w:rFonts w:ascii="Arial" w:hAnsi="Arial" w:cs="Times New Roman" w:hint="default"/>
      </w:rPr>
    </w:lvl>
    <w:lvl w:ilvl="3" w:tplc="CF881020">
      <w:start w:val="1"/>
      <w:numFmt w:val="bullet"/>
      <w:lvlText w:val="•"/>
      <w:lvlJc w:val="left"/>
      <w:pPr>
        <w:tabs>
          <w:tab w:val="num" w:pos="2520"/>
        </w:tabs>
        <w:ind w:left="2520" w:hanging="360"/>
      </w:pPr>
      <w:rPr>
        <w:rFonts w:ascii="Arial" w:hAnsi="Arial" w:cs="Times New Roman" w:hint="default"/>
      </w:rPr>
    </w:lvl>
    <w:lvl w:ilvl="4" w:tplc="1CC630F6">
      <w:start w:val="1"/>
      <w:numFmt w:val="bullet"/>
      <w:lvlText w:val="•"/>
      <w:lvlJc w:val="left"/>
      <w:pPr>
        <w:tabs>
          <w:tab w:val="num" w:pos="3240"/>
        </w:tabs>
        <w:ind w:left="3240" w:hanging="360"/>
      </w:pPr>
      <w:rPr>
        <w:rFonts w:ascii="Arial" w:hAnsi="Arial" w:cs="Times New Roman" w:hint="default"/>
      </w:rPr>
    </w:lvl>
    <w:lvl w:ilvl="5" w:tplc="C9BCEC44">
      <w:start w:val="1"/>
      <w:numFmt w:val="bullet"/>
      <w:lvlText w:val="•"/>
      <w:lvlJc w:val="left"/>
      <w:pPr>
        <w:tabs>
          <w:tab w:val="num" w:pos="3960"/>
        </w:tabs>
        <w:ind w:left="3960" w:hanging="360"/>
      </w:pPr>
      <w:rPr>
        <w:rFonts w:ascii="Arial" w:hAnsi="Arial" w:cs="Times New Roman" w:hint="default"/>
      </w:rPr>
    </w:lvl>
    <w:lvl w:ilvl="6" w:tplc="AABEB846">
      <w:start w:val="1"/>
      <w:numFmt w:val="bullet"/>
      <w:lvlText w:val="•"/>
      <w:lvlJc w:val="left"/>
      <w:pPr>
        <w:tabs>
          <w:tab w:val="num" w:pos="4680"/>
        </w:tabs>
        <w:ind w:left="4680" w:hanging="360"/>
      </w:pPr>
      <w:rPr>
        <w:rFonts w:ascii="Arial" w:hAnsi="Arial" w:cs="Times New Roman" w:hint="default"/>
      </w:rPr>
    </w:lvl>
    <w:lvl w:ilvl="7" w:tplc="E7227F7A">
      <w:start w:val="1"/>
      <w:numFmt w:val="bullet"/>
      <w:lvlText w:val="•"/>
      <w:lvlJc w:val="left"/>
      <w:pPr>
        <w:tabs>
          <w:tab w:val="num" w:pos="5400"/>
        </w:tabs>
        <w:ind w:left="5400" w:hanging="360"/>
      </w:pPr>
      <w:rPr>
        <w:rFonts w:ascii="Arial" w:hAnsi="Arial" w:cs="Times New Roman" w:hint="default"/>
      </w:rPr>
    </w:lvl>
    <w:lvl w:ilvl="8" w:tplc="0A54B434">
      <w:start w:val="1"/>
      <w:numFmt w:val="bullet"/>
      <w:lvlText w:val="•"/>
      <w:lvlJc w:val="left"/>
      <w:pPr>
        <w:tabs>
          <w:tab w:val="num" w:pos="6120"/>
        </w:tabs>
        <w:ind w:left="6120" w:hanging="360"/>
      </w:pPr>
      <w:rPr>
        <w:rFonts w:ascii="Arial" w:hAnsi="Arial" w:cs="Times New Roman" w:hint="default"/>
      </w:rPr>
    </w:lvl>
  </w:abstractNum>
  <w:abstractNum w:abstractNumId="11" w15:restartNumberingAfterBreak="0">
    <w:nsid w:val="3E837903"/>
    <w:multiLevelType w:val="hybridMultilevel"/>
    <w:tmpl w:val="4322E76C"/>
    <w:lvl w:ilvl="0" w:tplc="CC627FBC">
      <w:start w:val="1"/>
      <w:numFmt w:val="bullet"/>
      <w:pStyle w:val="BodyText-List-Indent"/>
      <w:lvlText w:val=""/>
      <w:lvlJc w:val="left"/>
      <w:pPr>
        <w:tabs>
          <w:tab w:val="num" w:pos="1588"/>
        </w:tabs>
        <w:ind w:left="1588" w:hanging="397"/>
      </w:pPr>
      <w:rPr>
        <w:rFonts w:ascii="Wingdings" w:hAnsi="Wingdings" w:hint="default"/>
        <w:sz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84F6F"/>
    <w:multiLevelType w:val="multilevel"/>
    <w:tmpl w:val="DDC42E42"/>
    <w:lvl w:ilvl="0">
      <w:start w:val="1"/>
      <w:numFmt w:val="bullet"/>
      <w:lvlText w:val=""/>
      <w:lvlJc w:val="left"/>
      <w:pPr>
        <w:ind w:left="357" w:hanging="357"/>
      </w:pPr>
      <w:rPr>
        <w:rFonts w:ascii="Symbol" w:hAnsi="Symbol" w:hint="default"/>
        <w:sz w:val="24"/>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3" w15:restartNumberingAfterBreak="0">
    <w:nsid w:val="43E55C87"/>
    <w:multiLevelType w:val="multilevel"/>
    <w:tmpl w:val="866EB94A"/>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4" w15:restartNumberingAfterBreak="0">
    <w:nsid w:val="4E4E4FB1"/>
    <w:multiLevelType w:val="multilevel"/>
    <w:tmpl w:val="CF34B204"/>
    <w:styleLink w:val="CSCTablebulletlist"/>
    <w:lvl w:ilvl="0">
      <w:start w:val="1"/>
      <w:numFmt w:val="bullet"/>
      <w:pStyle w:val="Tablebulletlist"/>
      <w:lvlText w:val=""/>
      <w:lvlJc w:val="left"/>
      <w:pPr>
        <w:ind w:left="187" w:hanging="187"/>
      </w:pPr>
      <w:rPr>
        <w:rFonts w:ascii="Symbol" w:hAnsi="Symbol" w:hint="default"/>
        <w:sz w:val="20"/>
      </w:rPr>
    </w:lvl>
    <w:lvl w:ilvl="1">
      <w:start w:val="1"/>
      <w:numFmt w:val="bullet"/>
      <w:pStyle w:val="Tablebullet2CSC"/>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15" w15:restartNumberingAfterBreak="0">
    <w:nsid w:val="6BA730E4"/>
    <w:multiLevelType w:val="hybridMultilevel"/>
    <w:tmpl w:val="8CAC4D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2A2010F"/>
    <w:multiLevelType w:val="hybridMultilevel"/>
    <w:tmpl w:val="19B221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4A12590"/>
    <w:multiLevelType w:val="hybridMultilevel"/>
    <w:tmpl w:val="DDCCA066"/>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15:restartNumberingAfterBreak="0">
    <w:nsid w:val="79E9270A"/>
    <w:multiLevelType w:val="hybridMultilevel"/>
    <w:tmpl w:val="BFC22C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
  </w:num>
  <w:num w:numId="4">
    <w:abstractNumId w:val="1"/>
  </w:num>
  <w:num w:numId="5">
    <w:abstractNumId w:val="2"/>
  </w:num>
  <w:num w:numId="6">
    <w:abstractNumId w:val="2"/>
  </w:num>
  <w:num w:numId="7">
    <w:abstractNumId w:val="4"/>
  </w:num>
  <w:num w:numId="8">
    <w:abstractNumId w:val="12"/>
  </w:num>
  <w:num w:numId="9">
    <w:abstractNumId w:val="0"/>
  </w:num>
  <w:num w:numId="10">
    <w:abstractNumId w:val="14"/>
  </w:num>
  <w:num w:numId="11">
    <w:abstractNumId w:val="8"/>
  </w:num>
  <w:num w:numId="12">
    <w:abstractNumId w:val="10"/>
  </w:num>
  <w:num w:numId="13">
    <w:abstractNumId w:val="9"/>
  </w:num>
  <w:num w:numId="14">
    <w:abstractNumId w:val="6"/>
  </w:num>
  <w:num w:numId="15">
    <w:abstractNumId w:val="0"/>
  </w:num>
  <w:num w:numId="16">
    <w:abstractNumId w:val="13"/>
  </w:num>
  <w:num w:numId="17">
    <w:abstractNumId w:val="13"/>
  </w:num>
  <w:num w:numId="18">
    <w:abstractNumId w:val="13"/>
  </w:num>
  <w:num w:numId="19">
    <w:abstractNumId w:val="0"/>
  </w:num>
  <w:num w:numId="20">
    <w:abstractNumId w:val="0"/>
  </w:num>
  <w:num w:numId="21">
    <w:abstractNumId w:val="0"/>
  </w:num>
  <w:num w:numId="22">
    <w:abstractNumId w:val="13"/>
    <w:lvlOverride w:ilvl="0">
      <w:lvl w:ilvl="0">
        <w:start w:val="1"/>
        <w:numFmt w:val="bullet"/>
        <w:pStyle w:val="Bulletlistmultilevel"/>
        <w:lvlText w:val=""/>
        <w:lvlJc w:val="left"/>
        <w:pPr>
          <w:ind w:left="357" w:hanging="357"/>
        </w:pPr>
        <w:rPr>
          <w:rFonts w:ascii="Symbol" w:hAnsi="Symbol" w:hint="default"/>
          <w:color w:val="auto"/>
        </w:rPr>
      </w:lvl>
    </w:lvlOverride>
  </w:num>
  <w:num w:numId="23">
    <w:abstractNumId w:val="17"/>
  </w:num>
  <w:num w:numId="24">
    <w:abstractNumId w:val="15"/>
  </w:num>
  <w:num w:numId="25">
    <w:abstractNumId w:val="3"/>
  </w:num>
  <w:num w:numId="26">
    <w:abstractNumId w:val="18"/>
  </w:num>
  <w:num w:numId="27">
    <w:abstractNumId w:val="7"/>
  </w:num>
  <w:num w:numId="28">
    <w:abstractNumId w:val="11"/>
  </w:num>
  <w:num w:numId="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stylePaneSortMethod w:val="0000"/>
  <w:defaultTabStop w:val="714"/>
  <w:drawingGridHorizontalSpacing w:val="110"/>
  <w:displayHorizontalDrawingGridEvery w:val="2"/>
  <w:displayVerticalDrawingGridEvery w:val="2"/>
  <w:noPunctuationKerning/>
  <w:characterSpacingControl w:val="doNotCompress"/>
  <w:hdrShapeDefaults>
    <o:shapedefaults v:ext="edit" spidmax="3686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C17"/>
    <w:rsid w:val="00002076"/>
    <w:rsid w:val="0000276F"/>
    <w:rsid w:val="00003EF1"/>
    <w:rsid w:val="000065FA"/>
    <w:rsid w:val="0001029C"/>
    <w:rsid w:val="00027AC5"/>
    <w:rsid w:val="000300C4"/>
    <w:rsid w:val="00033AC3"/>
    <w:rsid w:val="00034D73"/>
    <w:rsid w:val="000353BD"/>
    <w:rsid w:val="000405A2"/>
    <w:rsid w:val="00045C32"/>
    <w:rsid w:val="00046498"/>
    <w:rsid w:val="00047F61"/>
    <w:rsid w:val="00055C7A"/>
    <w:rsid w:val="00057FAD"/>
    <w:rsid w:val="00063997"/>
    <w:rsid w:val="00064A68"/>
    <w:rsid w:val="00065254"/>
    <w:rsid w:val="00065C0D"/>
    <w:rsid w:val="00074A01"/>
    <w:rsid w:val="0008005A"/>
    <w:rsid w:val="0008026E"/>
    <w:rsid w:val="000816C7"/>
    <w:rsid w:val="00082AD3"/>
    <w:rsid w:val="000851DC"/>
    <w:rsid w:val="00092F88"/>
    <w:rsid w:val="00092FBA"/>
    <w:rsid w:val="00093396"/>
    <w:rsid w:val="0009420D"/>
    <w:rsid w:val="000A1287"/>
    <w:rsid w:val="000A4852"/>
    <w:rsid w:val="000A4C5C"/>
    <w:rsid w:val="000A5213"/>
    <w:rsid w:val="000C1A4E"/>
    <w:rsid w:val="000C235B"/>
    <w:rsid w:val="000C3551"/>
    <w:rsid w:val="000C670F"/>
    <w:rsid w:val="000C76C1"/>
    <w:rsid w:val="000C76E1"/>
    <w:rsid w:val="000D01A0"/>
    <w:rsid w:val="000D0D69"/>
    <w:rsid w:val="000D11EA"/>
    <w:rsid w:val="000D270A"/>
    <w:rsid w:val="000D5300"/>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1176C"/>
    <w:rsid w:val="00111D08"/>
    <w:rsid w:val="00111E78"/>
    <w:rsid w:val="00117201"/>
    <w:rsid w:val="001225DB"/>
    <w:rsid w:val="00124147"/>
    <w:rsid w:val="00125CF9"/>
    <w:rsid w:val="001269A9"/>
    <w:rsid w:val="00130D42"/>
    <w:rsid w:val="001314F3"/>
    <w:rsid w:val="00131F04"/>
    <w:rsid w:val="001321F7"/>
    <w:rsid w:val="001334D0"/>
    <w:rsid w:val="00135F1E"/>
    <w:rsid w:val="00140935"/>
    <w:rsid w:val="00143C09"/>
    <w:rsid w:val="0014484B"/>
    <w:rsid w:val="00150264"/>
    <w:rsid w:val="0015243E"/>
    <w:rsid w:val="0015476D"/>
    <w:rsid w:val="0015784C"/>
    <w:rsid w:val="00161C68"/>
    <w:rsid w:val="00165585"/>
    <w:rsid w:val="0016623A"/>
    <w:rsid w:val="001702E8"/>
    <w:rsid w:val="001712ED"/>
    <w:rsid w:val="00173DCB"/>
    <w:rsid w:val="001742EE"/>
    <w:rsid w:val="001811D4"/>
    <w:rsid w:val="0018257D"/>
    <w:rsid w:val="00186C9B"/>
    <w:rsid w:val="0019007C"/>
    <w:rsid w:val="00190FD2"/>
    <w:rsid w:val="00191872"/>
    <w:rsid w:val="001926AC"/>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1D7"/>
    <w:rsid w:val="001A6967"/>
    <w:rsid w:val="001B1822"/>
    <w:rsid w:val="001B18D1"/>
    <w:rsid w:val="001B401D"/>
    <w:rsid w:val="001B4169"/>
    <w:rsid w:val="001B5F72"/>
    <w:rsid w:val="001B6B91"/>
    <w:rsid w:val="001B70DC"/>
    <w:rsid w:val="001B7D9D"/>
    <w:rsid w:val="001C4795"/>
    <w:rsid w:val="001C567C"/>
    <w:rsid w:val="001D78B1"/>
    <w:rsid w:val="001E0F6C"/>
    <w:rsid w:val="001E1022"/>
    <w:rsid w:val="001E7B39"/>
    <w:rsid w:val="001F03C8"/>
    <w:rsid w:val="001F0D0B"/>
    <w:rsid w:val="001F0E8F"/>
    <w:rsid w:val="001F27BF"/>
    <w:rsid w:val="001F71EC"/>
    <w:rsid w:val="00201284"/>
    <w:rsid w:val="00202FFD"/>
    <w:rsid w:val="002122F6"/>
    <w:rsid w:val="0021486E"/>
    <w:rsid w:val="002174D6"/>
    <w:rsid w:val="002179B8"/>
    <w:rsid w:val="00221B33"/>
    <w:rsid w:val="00223B8D"/>
    <w:rsid w:val="00223D30"/>
    <w:rsid w:val="00223D74"/>
    <w:rsid w:val="00225383"/>
    <w:rsid w:val="0022626D"/>
    <w:rsid w:val="002302F9"/>
    <w:rsid w:val="0023048B"/>
    <w:rsid w:val="0023345A"/>
    <w:rsid w:val="002349BF"/>
    <w:rsid w:val="0023521B"/>
    <w:rsid w:val="00235C8A"/>
    <w:rsid w:val="00236758"/>
    <w:rsid w:val="00243AFA"/>
    <w:rsid w:val="00245897"/>
    <w:rsid w:val="002504C0"/>
    <w:rsid w:val="00255ACC"/>
    <w:rsid w:val="0025629D"/>
    <w:rsid w:val="00260450"/>
    <w:rsid w:val="0026100E"/>
    <w:rsid w:val="002626F9"/>
    <w:rsid w:val="00265994"/>
    <w:rsid w:val="00267E49"/>
    <w:rsid w:val="002701AD"/>
    <w:rsid w:val="00272B4E"/>
    <w:rsid w:val="00281664"/>
    <w:rsid w:val="00282C17"/>
    <w:rsid w:val="00283A4B"/>
    <w:rsid w:val="00284355"/>
    <w:rsid w:val="00287645"/>
    <w:rsid w:val="00287D46"/>
    <w:rsid w:val="002933AA"/>
    <w:rsid w:val="002A10B2"/>
    <w:rsid w:val="002A2271"/>
    <w:rsid w:val="002A5D54"/>
    <w:rsid w:val="002A7F39"/>
    <w:rsid w:val="002B0EC7"/>
    <w:rsid w:val="002B525B"/>
    <w:rsid w:val="002B5EA0"/>
    <w:rsid w:val="002B7DA3"/>
    <w:rsid w:val="002C05FC"/>
    <w:rsid w:val="002C1578"/>
    <w:rsid w:val="002C320C"/>
    <w:rsid w:val="002D3AC4"/>
    <w:rsid w:val="002E187E"/>
    <w:rsid w:val="002E27A0"/>
    <w:rsid w:val="002F017E"/>
    <w:rsid w:val="002F334D"/>
    <w:rsid w:val="002F5ADC"/>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D6F"/>
    <w:rsid w:val="00337557"/>
    <w:rsid w:val="00340478"/>
    <w:rsid w:val="00341533"/>
    <w:rsid w:val="00341AFA"/>
    <w:rsid w:val="00345DAD"/>
    <w:rsid w:val="00350C3B"/>
    <w:rsid w:val="00351C08"/>
    <w:rsid w:val="003534C9"/>
    <w:rsid w:val="003540CE"/>
    <w:rsid w:val="00357C44"/>
    <w:rsid w:val="00361F26"/>
    <w:rsid w:val="00362495"/>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69A1"/>
    <w:rsid w:val="003A76E1"/>
    <w:rsid w:val="003C26EF"/>
    <w:rsid w:val="003C37E0"/>
    <w:rsid w:val="003C7B87"/>
    <w:rsid w:val="003C7CD7"/>
    <w:rsid w:val="003D0278"/>
    <w:rsid w:val="003D06BD"/>
    <w:rsid w:val="003D4CED"/>
    <w:rsid w:val="003D4F97"/>
    <w:rsid w:val="003D5D07"/>
    <w:rsid w:val="003E0907"/>
    <w:rsid w:val="003E23A7"/>
    <w:rsid w:val="003E58BF"/>
    <w:rsid w:val="003E659E"/>
    <w:rsid w:val="003E67D6"/>
    <w:rsid w:val="003E6DE1"/>
    <w:rsid w:val="003F24A1"/>
    <w:rsid w:val="003F75DF"/>
    <w:rsid w:val="0040072B"/>
    <w:rsid w:val="0040164F"/>
    <w:rsid w:val="00402027"/>
    <w:rsid w:val="00402A24"/>
    <w:rsid w:val="00403877"/>
    <w:rsid w:val="004061BD"/>
    <w:rsid w:val="00407AB5"/>
    <w:rsid w:val="004117B5"/>
    <w:rsid w:val="00412B8C"/>
    <w:rsid w:val="004156EF"/>
    <w:rsid w:val="00421C46"/>
    <w:rsid w:val="004221B7"/>
    <w:rsid w:val="0042289D"/>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4E1C"/>
    <w:rsid w:val="00475601"/>
    <w:rsid w:val="0049015B"/>
    <w:rsid w:val="0049161A"/>
    <w:rsid w:val="00494B2B"/>
    <w:rsid w:val="00495D95"/>
    <w:rsid w:val="00497911"/>
    <w:rsid w:val="004A0784"/>
    <w:rsid w:val="004A0CE3"/>
    <w:rsid w:val="004A1AB0"/>
    <w:rsid w:val="004B04D7"/>
    <w:rsid w:val="004B0C4B"/>
    <w:rsid w:val="004B2973"/>
    <w:rsid w:val="004B2EEE"/>
    <w:rsid w:val="004B5FC4"/>
    <w:rsid w:val="004B7502"/>
    <w:rsid w:val="004C1D0D"/>
    <w:rsid w:val="004C6B4A"/>
    <w:rsid w:val="004C7240"/>
    <w:rsid w:val="004C7F7B"/>
    <w:rsid w:val="004D5EA5"/>
    <w:rsid w:val="004E0D59"/>
    <w:rsid w:val="004E122D"/>
    <w:rsid w:val="004E444D"/>
    <w:rsid w:val="004E4A89"/>
    <w:rsid w:val="004E4D48"/>
    <w:rsid w:val="004E6995"/>
    <w:rsid w:val="004E7872"/>
    <w:rsid w:val="004F04E0"/>
    <w:rsid w:val="004F19B8"/>
    <w:rsid w:val="004F2511"/>
    <w:rsid w:val="004F544A"/>
    <w:rsid w:val="00501BAF"/>
    <w:rsid w:val="00503F73"/>
    <w:rsid w:val="00504664"/>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0748"/>
    <w:rsid w:val="005B1D98"/>
    <w:rsid w:val="005B1E2E"/>
    <w:rsid w:val="005B2D52"/>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3F5A"/>
    <w:rsid w:val="005D4ECC"/>
    <w:rsid w:val="005D4F00"/>
    <w:rsid w:val="005D5501"/>
    <w:rsid w:val="005E067A"/>
    <w:rsid w:val="005E4993"/>
    <w:rsid w:val="005E6A56"/>
    <w:rsid w:val="005F2251"/>
    <w:rsid w:val="005F4D94"/>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231F"/>
    <w:rsid w:val="0063597E"/>
    <w:rsid w:val="00635D7C"/>
    <w:rsid w:val="006361E3"/>
    <w:rsid w:val="0063666E"/>
    <w:rsid w:val="00637BDF"/>
    <w:rsid w:val="00640EEA"/>
    <w:rsid w:val="00643088"/>
    <w:rsid w:val="00652D02"/>
    <w:rsid w:val="00655516"/>
    <w:rsid w:val="00656AEB"/>
    <w:rsid w:val="00661FCE"/>
    <w:rsid w:val="00663D93"/>
    <w:rsid w:val="006666B2"/>
    <w:rsid w:val="0066743F"/>
    <w:rsid w:val="00670174"/>
    <w:rsid w:val="00670610"/>
    <w:rsid w:val="00671007"/>
    <w:rsid w:val="0067111E"/>
    <w:rsid w:val="006727E4"/>
    <w:rsid w:val="00672BB0"/>
    <w:rsid w:val="00673A5B"/>
    <w:rsid w:val="0067651F"/>
    <w:rsid w:val="006767D9"/>
    <w:rsid w:val="006873F7"/>
    <w:rsid w:val="0068744B"/>
    <w:rsid w:val="00690649"/>
    <w:rsid w:val="00690C90"/>
    <w:rsid w:val="006911EB"/>
    <w:rsid w:val="00692264"/>
    <w:rsid w:val="00694D70"/>
    <w:rsid w:val="00694F3D"/>
    <w:rsid w:val="006951D1"/>
    <w:rsid w:val="00695E65"/>
    <w:rsid w:val="006A0DD7"/>
    <w:rsid w:val="006A2F2F"/>
    <w:rsid w:val="006A4F5A"/>
    <w:rsid w:val="006A56F1"/>
    <w:rsid w:val="006B0415"/>
    <w:rsid w:val="006B3FB9"/>
    <w:rsid w:val="006B71B5"/>
    <w:rsid w:val="006C1C35"/>
    <w:rsid w:val="006C4F09"/>
    <w:rsid w:val="006D095A"/>
    <w:rsid w:val="006D3928"/>
    <w:rsid w:val="006D61AD"/>
    <w:rsid w:val="006D694B"/>
    <w:rsid w:val="006E0E6D"/>
    <w:rsid w:val="006E1C25"/>
    <w:rsid w:val="006E36AC"/>
    <w:rsid w:val="006E44C2"/>
    <w:rsid w:val="006E468C"/>
    <w:rsid w:val="006E66A1"/>
    <w:rsid w:val="006F0BD6"/>
    <w:rsid w:val="006F41B2"/>
    <w:rsid w:val="006F4332"/>
    <w:rsid w:val="006F5371"/>
    <w:rsid w:val="006F676E"/>
    <w:rsid w:val="006F6836"/>
    <w:rsid w:val="00704AEA"/>
    <w:rsid w:val="007071F8"/>
    <w:rsid w:val="00711E46"/>
    <w:rsid w:val="007218DF"/>
    <w:rsid w:val="00722ACC"/>
    <w:rsid w:val="0072340D"/>
    <w:rsid w:val="00723EE1"/>
    <w:rsid w:val="00726554"/>
    <w:rsid w:val="007302A6"/>
    <w:rsid w:val="00732391"/>
    <w:rsid w:val="00732636"/>
    <w:rsid w:val="00732E19"/>
    <w:rsid w:val="00734AA9"/>
    <w:rsid w:val="007359F2"/>
    <w:rsid w:val="0073671E"/>
    <w:rsid w:val="0073790F"/>
    <w:rsid w:val="00737E17"/>
    <w:rsid w:val="007415A6"/>
    <w:rsid w:val="0074337D"/>
    <w:rsid w:val="00746FF0"/>
    <w:rsid w:val="00751EAB"/>
    <w:rsid w:val="0075296D"/>
    <w:rsid w:val="0075344B"/>
    <w:rsid w:val="00756052"/>
    <w:rsid w:val="0075635E"/>
    <w:rsid w:val="00757E5E"/>
    <w:rsid w:val="00761933"/>
    <w:rsid w:val="00761CFB"/>
    <w:rsid w:val="0076254F"/>
    <w:rsid w:val="00762AA7"/>
    <w:rsid w:val="00763A14"/>
    <w:rsid w:val="0076509F"/>
    <w:rsid w:val="00765E1E"/>
    <w:rsid w:val="00765EE5"/>
    <w:rsid w:val="007661B8"/>
    <w:rsid w:val="00772B41"/>
    <w:rsid w:val="007741B6"/>
    <w:rsid w:val="0077522E"/>
    <w:rsid w:val="007753B1"/>
    <w:rsid w:val="00775E6C"/>
    <w:rsid w:val="007822E7"/>
    <w:rsid w:val="0078337D"/>
    <w:rsid w:val="00785116"/>
    <w:rsid w:val="00785D6F"/>
    <w:rsid w:val="00786CDD"/>
    <w:rsid w:val="007878E6"/>
    <w:rsid w:val="00787979"/>
    <w:rsid w:val="0079043F"/>
    <w:rsid w:val="00793CB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69F"/>
    <w:rsid w:val="00827A8C"/>
    <w:rsid w:val="00830C51"/>
    <w:rsid w:val="00830F31"/>
    <w:rsid w:val="0083282C"/>
    <w:rsid w:val="0083390E"/>
    <w:rsid w:val="0083440D"/>
    <w:rsid w:val="008418F1"/>
    <w:rsid w:val="0084268C"/>
    <w:rsid w:val="0084436F"/>
    <w:rsid w:val="00845AE9"/>
    <w:rsid w:val="00845EEB"/>
    <w:rsid w:val="00847EEB"/>
    <w:rsid w:val="0085039E"/>
    <w:rsid w:val="0085216F"/>
    <w:rsid w:val="008521A4"/>
    <w:rsid w:val="0085329C"/>
    <w:rsid w:val="008545CA"/>
    <w:rsid w:val="00855CAF"/>
    <w:rsid w:val="008610AC"/>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33B6"/>
    <w:rsid w:val="008C5961"/>
    <w:rsid w:val="008C5D4B"/>
    <w:rsid w:val="008C7F57"/>
    <w:rsid w:val="008D32BA"/>
    <w:rsid w:val="008D3BDF"/>
    <w:rsid w:val="008D5D65"/>
    <w:rsid w:val="008D6D44"/>
    <w:rsid w:val="008D7F36"/>
    <w:rsid w:val="008E08E4"/>
    <w:rsid w:val="008E0F30"/>
    <w:rsid w:val="008F3314"/>
    <w:rsid w:val="008F387E"/>
    <w:rsid w:val="008F3E83"/>
    <w:rsid w:val="008F406F"/>
    <w:rsid w:val="00905516"/>
    <w:rsid w:val="0090576B"/>
    <w:rsid w:val="00910363"/>
    <w:rsid w:val="00911DC8"/>
    <w:rsid w:val="00912FC1"/>
    <w:rsid w:val="00914982"/>
    <w:rsid w:val="00914B24"/>
    <w:rsid w:val="00915B61"/>
    <w:rsid w:val="00915F86"/>
    <w:rsid w:val="009170A7"/>
    <w:rsid w:val="0092120C"/>
    <w:rsid w:val="00922171"/>
    <w:rsid w:val="009247EA"/>
    <w:rsid w:val="00926645"/>
    <w:rsid w:val="00931AD2"/>
    <w:rsid w:val="00932A0E"/>
    <w:rsid w:val="00933E64"/>
    <w:rsid w:val="00935609"/>
    <w:rsid w:val="009457AC"/>
    <w:rsid w:val="009478F7"/>
    <w:rsid w:val="00951AF2"/>
    <w:rsid w:val="00952141"/>
    <w:rsid w:val="00953127"/>
    <w:rsid w:val="00954AD2"/>
    <w:rsid w:val="0095506F"/>
    <w:rsid w:val="00955271"/>
    <w:rsid w:val="0095679D"/>
    <w:rsid w:val="00957848"/>
    <w:rsid w:val="00960533"/>
    <w:rsid w:val="0096384E"/>
    <w:rsid w:val="00965336"/>
    <w:rsid w:val="009669C3"/>
    <w:rsid w:val="00967B26"/>
    <w:rsid w:val="00970B10"/>
    <w:rsid w:val="009736B4"/>
    <w:rsid w:val="0097525D"/>
    <w:rsid w:val="00983405"/>
    <w:rsid w:val="0098392F"/>
    <w:rsid w:val="009909F2"/>
    <w:rsid w:val="009966E5"/>
    <w:rsid w:val="00996B54"/>
    <w:rsid w:val="00997B54"/>
    <w:rsid w:val="00997DF0"/>
    <w:rsid w:val="009A1B7C"/>
    <w:rsid w:val="009A1E5F"/>
    <w:rsid w:val="009A3425"/>
    <w:rsid w:val="009A6D51"/>
    <w:rsid w:val="009B19C4"/>
    <w:rsid w:val="009B3CAA"/>
    <w:rsid w:val="009B5181"/>
    <w:rsid w:val="009B5ED3"/>
    <w:rsid w:val="009C00C1"/>
    <w:rsid w:val="009C0279"/>
    <w:rsid w:val="009C2AEA"/>
    <w:rsid w:val="009C2BE0"/>
    <w:rsid w:val="009C6EA1"/>
    <w:rsid w:val="009D0241"/>
    <w:rsid w:val="009D71BC"/>
    <w:rsid w:val="009E0FF6"/>
    <w:rsid w:val="009E251C"/>
    <w:rsid w:val="009E5749"/>
    <w:rsid w:val="009E5B1B"/>
    <w:rsid w:val="009E62C8"/>
    <w:rsid w:val="009F1141"/>
    <w:rsid w:val="009F373F"/>
    <w:rsid w:val="009F59C3"/>
    <w:rsid w:val="009F75E4"/>
    <w:rsid w:val="00A00EDD"/>
    <w:rsid w:val="00A017C9"/>
    <w:rsid w:val="00A0328C"/>
    <w:rsid w:val="00A10212"/>
    <w:rsid w:val="00A10AEC"/>
    <w:rsid w:val="00A11121"/>
    <w:rsid w:val="00A12A31"/>
    <w:rsid w:val="00A132C2"/>
    <w:rsid w:val="00A13EA2"/>
    <w:rsid w:val="00A15A48"/>
    <w:rsid w:val="00A173E8"/>
    <w:rsid w:val="00A17C99"/>
    <w:rsid w:val="00A20432"/>
    <w:rsid w:val="00A22538"/>
    <w:rsid w:val="00A22A48"/>
    <w:rsid w:val="00A23231"/>
    <w:rsid w:val="00A23774"/>
    <w:rsid w:val="00A238AD"/>
    <w:rsid w:val="00A267CB"/>
    <w:rsid w:val="00A26BA1"/>
    <w:rsid w:val="00A31EE7"/>
    <w:rsid w:val="00A34B90"/>
    <w:rsid w:val="00A34D17"/>
    <w:rsid w:val="00A36CE1"/>
    <w:rsid w:val="00A40CF4"/>
    <w:rsid w:val="00A437B7"/>
    <w:rsid w:val="00A45845"/>
    <w:rsid w:val="00A47791"/>
    <w:rsid w:val="00A50567"/>
    <w:rsid w:val="00A5158B"/>
    <w:rsid w:val="00A52D0B"/>
    <w:rsid w:val="00A60F53"/>
    <w:rsid w:val="00A62160"/>
    <w:rsid w:val="00A622B2"/>
    <w:rsid w:val="00A65FBB"/>
    <w:rsid w:val="00A664D1"/>
    <w:rsid w:val="00A66563"/>
    <w:rsid w:val="00A72ACC"/>
    <w:rsid w:val="00A74DE5"/>
    <w:rsid w:val="00A76F08"/>
    <w:rsid w:val="00A77D00"/>
    <w:rsid w:val="00A81CF4"/>
    <w:rsid w:val="00A822AF"/>
    <w:rsid w:val="00A823AD"/>
    <w:rsid w:val="00A851B0"/>
    <w:rsid w:val="00A858E7"/>
    <w:rsid w:val="00A862FD"/>
    <w:rsid w:val="00A86769"/>
    <w:rsid w:val="00A86CD4"/>
    <w:rsid w:val="00A9143D"/>
    <w:rsid w:val="00A9540A"/>
    <w:rsid w:val="00A96056"/>
    <w:rsid w:val="00A96716"/>
    <w:rsid w:val="00AA0A7B"/>
    <w:rsid w:val="00AA169C"/>
    <w:rsid w:val="00AA2983"/>
    <w:rsid w:val="00AA2D9F"/>
    <w:rsid w:val="00AA2F9E"/>
    <w:rsid w:val="00AA3E55"/>
    <w:rsid w:val="00AA4938"/>
    <w:rsid w:val="00AA5530"/>
    <w:rsid w:val="00AA56AB"/>
    <w:rsid w:val="00AA61EC"/>
    <w:rsid w:val="00AA7553"/>
    <w:rsid w:val="00AC3709"/>
    <w:rsid w:val="00AC3D6E"/>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23226"/>
    <w:rsid w:val="00B315E9"/>
    <w:rsid w:val="00B34CC1"/>
    <w:rsid w:val="00B35A70"/>
    <w:rsid w:val="00B36D39"/>
    <w:rsid w:val="00B430C4"/>
    <w:rsid w:val="00B44859"/>
    <w:rsid w:val="00B50B15"/>
    <w:rsid w:val="00B510C3"/>
    <w:rsid w:val="00B51847"/>
    <w:rsid w:val="00B525ED"/>
    <w:rsid w:val="00B54DE4"/>
    <w:rsid w:val="00B6253A"/>
    <w:rsid w:val="00B628C0"/>
    <w:rsid w:val="00B64078"/>
    <w:rsid w:val="00B64B83"/>
    <w:rsid w:val="00B65477"/>
    <w:rsid w:val="00B67F61"/>
    <w:rsid w:val="00B709F6"/>
    <w:rsid w:val="00B71628"/>
    <w:rsid w:val="00B7382A"/>
    <w:rsid w:val="00B74F3E"/>
    <w:rsid w:val="00B76BB3"/>
    <w:rsid w:val="00B7743B"/>
    <w:rsid w:val="00B806B8"/>
    <w:rsid w:val="00B80F0E"/>
    <w:rsid w:val="00B843BC"/>
    <w:rsid w:val="00B8496A"/>
    <w:rsid w:val="00B84C4A"/>
    <w:rsid w:val="00B85545"/>
    <w:rsid w:val="00B87CA6"/>
    <w:rsid w:val="00B92152"/>
    <w:rsid w:val="00B95955"/>
    <w:rsid w:val="00B9610A"/>
    <w:rsid w:val="00B97B6E"/>
    <w:rsid w:val="00BB07DC"/>
    <w:rsid w:val="00BB717E"/>
    <w:rsid w:val="00BB777A"/>
    <w:rsid w:val="00BC03C4"/>
    <w:rsid w:val="00BC0824"/>
    <w:rsid w:val="00BC1893"/>
    <w:rsid w:val="00BC2A1E"/>
    <w:rsid w:val="00BC31E7"/>
    <w:rsid w:val="00BC6C21"/>
    <w:rsid w:val="00BD0333"/>
    <w:rsid w:val="00BD1F78"/>
    <w:rsid w:val="00BD219E"/>
    <w:rsid w:val="00BD287D"/>
    <w:rsid w:val="00BD4621"/>
    <w:rsid w:val="00BD718D"/>
    <w:rsid w:val="00BE59F9"/>
    <w:rsid w:val="00BE6DC9"/>
    <w:rsid w:val="00BF3F69"/>
    <w:rsid w:val="00BF45AD"/>
    <w:rsid w:val="00BF4D6B"/>
    <w:rsid w:val="00BF5E84"/>
    <w:rsid w:val="00BF78ED"/>
    <w:rsid w:val="00BF7BA9"/>
    <w:rsid w:val="00C00985"/>
    <w:rsid w:val="00C04456"/>
    <w:rsid w:val="00C06896"/>
    <w:rsid w:val="00C12190"/>
    <w:rsid w:val="00C17048"/>
    <w:rsid w:val="00C234A2"/>
    <w:rsid w:val="00C23728"/>
    <w:rsid w:val="00C23B72"/>
    <w:rsid w:val="00C3185F"/>
    <w:rsid w:val="00C325CC"/>
    <w:rsid w:val="00C34D1A"/>
    <w:rsid w:val="00C36C71"/>
    <w:rsid w:val="00C40755"/>
    <w:rsid w:val="00C425F5"/>
    <w:rsid w:val="00C615D1"/>
    <w:rsid w:val="00C61E7F"/>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916"/>
    <w:rsid w:val="00CC70A6"/>
    <w:rsid w:val="00CD01A7"/>
    <w:rsid w:val="00CE3984"/>
    <w:rsid w:val="00CE47BF"/>
    <w:rsid w:val="00CE530D"/>
    <w:rsid w:val="00CE5CF6"/>
    <w:rsid w:val="00CE6FB5"/>
    <w:rsid w:val="00CF1480"/>
    <w:rsid w:val="00CF201A"/>
    <w:rsid w:val="00CF3016"/>
    <w:rsid w:val="00CF357F"/>
    <w:rsid w:val="00CF742D"/>
    <w:rsid w:val="00CF7C14"/>
    <w:rsid w:val="00D00907"/>
    <w:rsid w:val="00D01374"/>
    <w:rsid w:val="00D026CE"/>
    <w:rsid w:val="00D03E99"/>
    <w:rsid w:val="00D03F7B"/>
    <w:rsid w:val="00D0432A"/>
    <w:rsid w:val="00D054A9"/>
    <w:rsid w:val="00D128AD"/>
    <w:rsid w:val="00D13F20"/>
    <w:rsid w:val="00D15CFA"/>
    <w:rsid w:val="00D162E4"/>
    <w:rsid w:val="00D16AB6"/>
    <w:rsid w:val="00D16F5D"/>
    <w:rsid w:val="00D173E1"/>
    <w:rsid w:val="00D22CB2"/>
    <w:rsid w:val="00D22F65"/>
    <w:rsid w:val="00D24FE4"/>
    <w:rsid w:val="00D34A70"/>
    <w:rsid w:val="00D3539D"/>
    <w:rsid w:val="00D40E52"/>
    <w:rsid w:val="00D42D4E"/>
    <w:rsid w:val="00D4363D"/>
    <w:rsid w:val="00D470EC"/>
    <w:rsid w:val="00D51B1A"/>
    <w:rsid w:val="00D62348"/>
    <w:rsid w:val="00D63D11"/>
    <w:rsid w:val="00D712A5"/>
    <w:rsid w:val="00D729CD"/>
    <w:rsid w:val="00D76764"/>
    <w:rsid w:val="00D81CCE"/>
    <w:rsid w:val="00D82804"/>
    <w:rsid w:val="00D82B3C"/>
    <w:rsid w:val="00D9252A"/>
    <w:rsid w:val="00DA0D3D"/>
    <w:rsid w:val="00DA1EAF"/>
    <w:rsid w:val="00DA596F"/>
    <w:rsid w:val="00DA684D"/>
    <w:rsid w:val="00DB1778"/>
    <w:rsid w:val="00DB2B21"/>
    <w:rsid w:val="00DB2DF5"/>
    <w:rsid w:val="00DB7471"/>
    <w:rsid w:val="00DC0B9E"/>
    <w:rsid w:val="00DD017A"/>
    <w:rsid w:val="00DD37FB"/>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2769"/>
    <w:rsid w:val="00E0420F"/>
    <w:rsid w:val="00E04834"/>
    <w:rsid w:val="00E07A46"/>
    <w:rsid w:val="00E07B2D"/>
    <w:rsid w:val="00E10124"/>
    <w:rsid w:val="00E10693"/>
    <w:rsid w:val="00E11770"/>
    <w:rsid w:val="00E13C2E"/>
    <w:rsid w:val="00E143F5"/>
    <w:rsid w:val="00E167AD"/>
    <w:rsid w:val="00E17953"/>
    <w:rsid w:val="00E20589"/>
    <w:rsid w:val="00E20AB5"/>
    <w:rsid w:val="00E21185"/>
    <w:rsid w:val="00E23D66"/>
    <w:rsid w:val="00E27DA1"/>
    <w:rsid w:val="00E30C15"/>
    <w:rsid w:val="00E31563"/>
    <w:rsid w:val="00E35C7B"/>
    <w:rsid w:val="00E36C3F"/>
    <w:rsid w:val="00E400B1"/>
    <w:rsid w:val="00E42132"/>
    <w:rsid w:val="00E42315"/>
    <w:rsid w:val="00E43302"/>
    <w:rsid w:val="00E4608E"/>
    <w:rsid w:val="00E46740"/>
    <w:rsid w:val="00E504EE"/>
    <w:rsid w:val="00E522D6"/>
    <w:rsid w:val="00E53ABC"/>
    <w:rsid w:val="00E55273"/>
    <w:rsid w:val="00E56BEE"/>
    <w:rsid w:val="00E60668"/>
    <w:rsid w:val="00E61196"/>
    <w:rsid w:val="00E65A52"/>
    <w:rsid w:val="00E66449"/>
    <w:rsid w:val="00E70B76"/>
    <w:rsid w:val="00E714C1"/>
    <w:rsid w:val="00E7395F"/>
    <w:rsid w:val="00E743AB"/>
    <w:rsid w:val="00E74B15"/>
    <w:rsid w:val="00E80CE0"/>
    <w:rsid w:val="00E80EC3"/>
    <w:rsid w:val="00E83A6F"/>
    <w:rsid w:val="00E86184"/>
    <w:rsid w:val="00E92F1C"/>
    <w:rsid w:val="00E950AF"/>
    <w:rsid w:val="00E979AF"/>
    <w:rsid w:val="00E97FCF"/>
    <w:rsid w:val="00EA2F2F"/>
    <w:rsid w:val="00EA5359"/>
    <w:rsid w:val="00EA7DAF"/>
    <w:rsid w:val="00EB1AD4"/>
    <w:rsid w:val="00EB2530"/>
    <w:rsid w:val="00EB27A2"/>
    <w:rsid w:val="00EB379D"/>
    <w:rsid w:val="00EB59A6"/>
    <w:rsid w:val="00EB6A86"/>
    <w:rsid w:val="00EC0CE9"/>
    <w:rsid w:val="00EC0E3E"/>
    <w:rsid w:val="00ED13A5"/>
    <w:rsid w:val="00ED271E"/>
    <w:rsid w:val="00ED44C4"/>
    <w:rsid w:val="00ED4913"/>
    <w:rsid w:val="00ED4B8C"/>
    <w:rsid w:val="00ED51C4"/>
    <w:rsid w:val="00ED5663"/>
    <w:rsid w:val="00EE43FF"/>
    <w:rsid w:val="00EE51E0"/>
    <w:rsid w:val="00EE53C5"/>
    <w:rsid w:val="00EE65A6"/>
    <w:rsid w:val="00EF01AB"/>
    <w:rsid w:val="00EF3A68"/>
    <w:rsid w:val="00F01AA1"/>
    <w:rsid w:val="00F01D0C"/>
    <w:rsid w:val="00F02AD2"/>
    <w:rsid w:val="00F051C6"/>
    <w:rsid w:val="00F076B3"/>
    <w:rsid w:val="00F10B16"/>
    <w:rsid w:val="00F1138E"/>
    <w:rsid w:val="00F137C3"/>
    <w:rsid w:val="00F158AD"/>
    <w:rsid w:val="00F16B8E"/>
    <w:rsid w:val="00F17D5B"/>
    <w:rsid w:val="00F17EE1"/>
    <w:rsid w:val="00F219F7"/>
    <w:rsid w:val="00F2411D"/>
    <w:rsid w:val="00F249E5"/>
    <w:rsid w:val="00F24CDF"/>
    <w:rsid w:val="00F25272"/>
    <w:rsid w:val="00F27DF6"/>
    <w:rsid w:val="00F34ACA"/>
    <w:rsid w:val="00F40AB1"/>
    <w:rsid w:val="00F40DAB"/>
    <w:rsid w:val="00F42D5C"/>
    <w:rsid w:val="00F43129"/>
    <w:rsid w:val="00F4495A"/>
    <w:rsid w:val="00F46274"/>
    <w:rsid w:val="00F52C91"/>
    <w:rsid w:val="00F53462"/>
    <w:rsid w:val="00F54FDA"/>
    <w:rsid w:val="00F61E6B"/>
    <w:rsid w:val="00F63C48"/>
    <w:rsid w:val="00F6486E"/>
    <w:rsid w:val="00F66EDE"/>
    <w:rsid w:val="00F67852"/>
    <w:rsid w:val="00F6793B"/>
    <w:rsid w:val="00F70523"/>
    <w:rsid w:val="00F7187C"/>
    <w:rsid w:val="00F71E95"/>
    <w:rsid w:val="00F7202D"/>
    <w:rsid w:val="00F76C7C"/>
    <w:rsid w:val="00F81D3E"/>
    <w:rsid w:val="00F82E7F"/>
    <w:rsid w:val="00F83843"/>
    <w:rsid w:val="00F83D52"/>
    <w:rsid w:val="00F845E6"/>
    <w:rsid w:val="00F85213"/>
    <w:rsid w:val="00F9032A"/>
    <w:rsid w:val="00F92D94"/>
    <w:rsid w:val="00F9538B"/>
    <w:rsid w:val="00F972B3"/>
    <w:rsid w:val="00FA0456"/>
    <w:rsid w:val="00FA195B"/>
    <w:rsid w:val="00FA43CD"/>
    <w:rsid w:val="00FA5407"/>
    <w:rsid w:val="00FA590E"/>
    <w:rsid w:val="00FA6D68"/>
    <w:rsid w:val="00FA6E5B"/>
    <w:rsid w:val="00FB248E"/>
    <w:rsid w:val="00FB388C"/>
    <w:rsid w:val="00FB3BFA"/>
    <w:rsid w:val="00FB40F3"/>
    <w:rsid w:val="00FB696D"/>
    <w:rsid w:val="00FB7782"/>
    <w:rsid w:val="00FC0000"/>
    <w:rsid w:val="00FC0F15"/>
    <w:rsid w:val="00FC1D87"/>
    <w:rsid w:val="00FC570F"/>
    <w:rsid w:val="00FC5E69"/>
    <w:rsid w:val="00FC6AAD"/>
    <w:rsid w:val="00FC6D54"/>
    <w:rsid w:val="00FC7EC0"/>
    <w:rsid w:val="00FD24D4"/>
    <w:rsid w:val="00FD25A4"/>
    <w:rsid w:val="00FD3465"/>
    <w:rsid w:val="00FD40FA"/>
    <w:rsid w:val="00FD5FC7"/>
    <w:rsid w:val="00FE11E6"/>
    <w:rsid w:val="00FE1B8E"/>
    <w:rsid w:val="00FE29FC"/>
    <w:rsid w:val="00FE2FD2"/>
    <w:rsid w:val="00FE401F"/>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ACD6C54"/>
  <w14:discardImageEditingData/>
  <w15:docId w15:val="{2C6EC89C-7806-4802-A28E-58DF1B23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8" w:unhideWhenUsed="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4" w:unhideWhenUsed="1" w:qFormat="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C17"/>
  </w:style>
  <w:style w:type="paragraph" w:styleId="Heading1">
    <w:name w:val="heading 1"/>
    <w:next w:val="Normal"/>
    <w:link w:val="Heading1Char"/>
    <w:qFormat/>
    <w:rsid w:val="002B5EA0"/>
    <w:pPr>
      <w:keepNext/>
      <w:spacing w:before="120" w:after="60"/>
      <w:outlineLvl w:val="0"/>
    </w:pPr>
    <w:rPr>
      <w:rFonts w:ascii="Franklin Gothic Demi" w:eastAsiaTheme="majorEastAsia" w:hAnsi="Franklin Gothic Demi" w:cstheme="majorBidi"/>
      <w:color w:val="00559B" w:themeColor="accent6" w:themeShade="BF"/>
      <w:sz w:val="36"/>
      <w:szCs w:val="28"/>
      <w:lang w:eastAsia="en-US"/>
    </w:rPr>
  </w:style>
  <w:style w:type="paragraph" w:styleId="Heading2">
    <w:name w:val="heading 2"/>
    <w:basedOn w:val="Heading1"/>
    <w:next w:val="Normal"/>
    <w:link w:val="Heading2Char"/>
    <w:qFormat/>
    <w:rsid w:val="002B5EA0"/>
    <w:pPr>
      <w:outlineLvl w:val="1"/>
    </w:pPr>
    <w:rPr>
      <w:sz w:val="28"/>
      <w:szCs w:val="26"/>
    </w:rPr>
  </w:style>
  <w:style w:type="paragraph" w:styleId="Heading3">
    <w:name w:val="heading 3"/>
    <w:basedOn w:val="Heading1"/>
    <w:next w:val="Normal"/>
    <w:link w:val="Heading3Char"/>
    <w:qFormat/>
    <w:rsid w:val="002B5EA0"/>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5EA0"/>
    <w:rPr>
      <w:rFonts w:ascii="Franklin Gothic Demi" w:eastAsiaTheme="majorEastAsia" w:hAnsi="Franklin Gothic Demi" w:cstheme="majorBidi"/>
      <w:color w:val="00559B" w:themeColor="accent6" w:themeShade="BF"/>
      <w:sz w:val="36"/>
      <w:szCs w:val="28"/>
      <w:lang w:eastAsia="en-US"/>
    </w:rPr>
  </w:style>
  <w:style w:type="character" w:customStyle="1" w:styleId="Heading2Char">
    <w:name w:val="Heading 2 Char"/>
    <w:basedOn w:val="DefaultParagraphFont"/>
    <w:link w:val="Heading2"/>
    <w:rsid w:val="002B5EA0"/>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2B5EA0"/>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2B5EA0"/>
    <w:pPr>
      <w:numPr>
        <w:numId w:val="21"/>
      </w:numPr>
    </w:pPr>
  </w:style>
  <w:style w:type="paragraph" w:styleId="ListParagraph">
    <w:name w:val="List Paragraph"/>
    <w:basedOn w:val="Normal"/>
    <w:uiPriority w:val="34"/>
    <w:rsid w:val="00C234A2"/>
    <w:pPr>
      <w:tabs>
        <w:tab w:val="left" w:pos="357"/>
      </w:tabs>
      <w:ind w:left="357" w:hanging="357"/>
      <w:contextualSpacing/>
    </w:pPr>
  </w:style>
  <w:style w:type="table" w:customStyle="1" w:styleId="CSCGridblue">
    <w:name w:val="CSC Grid blue"/>
    <w:basedOn w:val="TableNormal"/>
    <w:uiPriority w:val="99"/>
    <w:rsid w:val="00E04834"/>
    <w:rPr>
      <w:rFonts w:asciiTheme="minorHAnsi" w:hAnsiTheme="minorHAnsi"/>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Normal"/>
    <w:uiPriority w:val="99"/>
    <w:rsid w:val="00E04834"/>
    <w:rPr>
      <w:rFonts w:asciiTheme="minorHAnsi" w:hAnsiTheme="minorHAnsi"/>
    </w:rPr>
    <w:tblPr>
      <w:tblStyleRowBandSize w:val="1"/>
      <w:tblStyleCol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E04834"/>
    <w:rPr>
      <w:sz w:val="20"/>
    </w:rPr>
    <w:tblPr>
      <w:tblStyleRowBandSize w:val="1"/>
      <w:tblStyleColBandSize w:val="1"/>
    </w:tblPr>
    <w:trPr>
      <w:cantSplit/>
    </w:trPr>
    <w:tblStylePr w:type="firstRow">
      <w:pPr>
        <w:jc w:val="left"/>
      </w:pPr>
      <w:rPr>
        <w:rFonts w:ascii="Franklin Gothic Book" w:hAnsi="Franklin Gothic Book"/>
        <w:b/>
        <w:color w:val="FFFFFF" w:themeColor="background1"/>
        <w:sz w:val="20"/>
      </w:rPr>
      <w:tblPr/>
      <w:tcPr>
        <w:tcBorders>
          <w:top w:val="nil"/>
          <w:left w:val="nil"/>
          <w:bottom w:val="nil"/>
          <w:right w:val="nil"/>
          <w:insideH w:val="nil"/>
          <w:insideV w:val="nil"/>
          <w:tl2br w:val="nil"/>
          <w:tr2bl w:val="nil"/>
        </w:tcBorders>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band2Horz">
      <w:pPr>
        <w:jc w:val="left"/>
      </w:pPr>
      <w:rPr>
        <w:rFonts w:ascii="Franklin Gothic Book" w:hAnsi="Franklin Gothic Book"/>
        <w:color w:val="000000" w:themeColor="text1"/>
        <w:sz w:val="20"/>
      </w:rPr>
      <w:tblPr/>
      <w:tcPr>
        <w:tcBorders>
          <w:top w:val="nil"/>
          <w:left w:val="nil"/>
          <w:bottom w:val="nil"/>
          <w:right w:val="nil"/>
          <w:insideH w:val="nil"/>
          <w:insideV w:val="nil"/>
          <w:tl2br w:val="nil"/>
          <w:tr2bl w:val="nil"/>
        </w:tcBorders>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E04834"/>
    <w:rPr>
      <w:rFonts w:asciiTheme="minorHAnsi" w:hAnsiTheme="minorHAnsi"/>
      <w:color w:val="000000" w:themeColor="text1"/>
      <w:sz w:val="20"/>
    </w:rPr>
    <w:tblPr>
      <w:tblStyleRowBandSize w:val="1"/>
      <w:tblStyleColBandSize w:val="1"/>
    </w:tblPr>
    <w:trPr>
      <w:cantSplit/>
    </w:tr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pPr>
        <w:jc w:val="left"/>
      </w:pPr>
      <w:rPr>
        <w:rFonts w:ascii="Franklin Gothic Book" w:hAnsi="Franklin Gothic Book"/>
        <w:sz w:val="20"/>
      </w:rPr>
    </w:tblStylePr>
    <w:tblStylePr w:type="band2Horz">
      <w:pPr>
        <w:jc w:val="left"/>
      </w:pPr>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2B5EA0"/>
    <w:rPr>
      <w:i/>
      <w:iCs/>
    </w:rPr>
  </w:style>
  <w:style w:type="character" w:styleId="FollowedHyperlink">
    <w:name w:val="FollowedHyperlink"/>
    <w:basedOn w:val="DefaultParagraphFont"/>
    <w:uiPriority w:val="4"/>
    <w:qFormat/>
    <w:rsid w:val="002B5EA0"/>
    <w:rPr>
      <w:color w:val="800080" w:themeColor="followedHyperlink"/>
      <w:u w:val="single"/>
    </w:rPr>
  </w:style>
  <w:style w:type="paragraph" w:styleId="Footer">
    <w:name w:val="footer"/>
    <w:basedOn w:val="Normal"/>
    <w:link w:val="FooterChar"/>
    <w:uiPriority w:val="99"/>
    <w:qFormat/>
    <w:rsid w:val="002B5EA0"/>
    <w:pPr>
      <w:tabs>
        <w:tab w:val="center" w:pos="4320"/>
        <w:tab w:val="right" w:pos="8820"/>
      </w:tabs>
    </w:pPr>
    <w:rPr>
      <w:sz w:val="18"/>
      <w:szCs w:val="20"/>
      <w:lang w:eastAsia="en-US"/>
    </w:rPr>
  </w:style>
  <w:style w:type="character" w:customStyle="1" w:styleId="FooterChar">
    <w:name w:val="Footer Char"/>
    <w:basedOn w:val="DefaultParagraphFont"/>
    <w:link w:val="Footer"/>
    <w:uiPriority w:val="99"/>
    <w:rsid w:val="002B5EA0"/>
    <w:rPr>
      <w:sz w:val="18"/>
      <w:szCs w:val="20"/>
      <w:lang w:eastAsia="en-US"/>
    </w:rPr>
  </w:style>
  <w:style w:type="paragraph" w:customStyle="1" w:styleId="Footerbold">
    <w:name w:val="Footer bold"/>
    <w:basedOn w:val="Footer"/>
    <w:link w:val="FooterboldChar"/>
    <w:uiPriority w:val="10"/>
    <w:qFormat/>
    <w:rsid w:val="002B5EA0"/>
    <w:rPr>
      <w:b/>
    </w:rPr>
  </w:style>
  <w:style w:type="character" w:customStyle="1" w:styleId="FooterboldChar">
    <w:name w:val="Footer bold Char"/>
    <w:basedOn w:val="FooterChar"/>
    <w:link w:val="Footerbold"/>
    <w:uiPriority w:val="10"/>
    <w:rsid w:val="002B5EA0"/>
    <w:rPr>
      <w:b/>
      <w:sz w:val="18"/>
      <w:szCs w:val="20"/>
      <w:lang w:eastAsia="en-US"/>
    </w:rPr>
  </w:style>
  <w:style w:type="character" w:styleId="Hyperlink">
    <w:name w:val="Hyperlink"/>
    <w:qFormat/>
    <w:rsid w:val="002B5EA0"/>
    <w:rPr>
      <w:color w:val="0000FF" w:themeColor="hyperlink"/>
      <w:u w:val="single"/>
    </w:rPr>
  </w:style>
  <w:style w:type="paragraph" w:customStyle="1" w:styleId="Normalnospaceafter">
    <w:name w:val="Normal no space after"/>
    <w:basedOn w:val="Normal"/>
    <w:next w:val="Normal"/>
    <w:rsid w:val="00E04834"/>
    <w:pPr>
      <w:spacing w:after="60"/>
    </w:pPr>
  </w:style>
  <w:style w:type="paragraph" w:customStyle="1" w:styleId="Normalspacebefore">
    <w:name w:val="Normal space before"/>
    <w:basedOn w:val="Normal"/>
    <w:next w:val="Normal"/>
    <w:rsid w:val="00E04834"/>
    <w:pPr>
      <w:spacing w:before="240"/>
    </w:pPr>
  </w:style>
  <w:style w:type="character" w:styleId="PageNumber">
    <w:name w:val="page number"/>
    <w:basedOn w:val="DefaultParagraphFont"/>
    <w:uiPriority w:val="10"/>
    <w:qFormat/>
    <w:rsid w:val="002B5EA0"/>
    <w:rPr>
      <w:rFonts w:ascii="Franklin Gothic Book" w:hAnsi="Franklin Gothic Book"/>
      <w:sz w:val="18"/>
    </w:rPr>
  </w:style>
  <w:style w:type="character" w:styleId="Strong">
    <w:name w:val="Strong"/>
    <w:uiPriority w:val="2"/>
    <w:qFormat/>
    <w:rsid w:val="002B5EA0"/>
    <w:rPr>
      <w:b/>
      <w:bCs/>
    </w:rPr>
  </w:style>
  <w:style w:type="paragraph" w:styleId="Title">
    <w:name w:val="Title"/>
    <w:next w:val="Normal"/>
    <w:link w:val="TitleChar"/>
    <w:uiPriority w:val="5"/>
    <w:qFormat/>
    <w:rsid w:val="002B5EA0"/>
    <w:pPr>
      <w:spacing w:before="240" w:after="60"/>
    </w:pPr>
    <w:rPr>
      <w:rFonts w:ascii="Franklin Gothic Demi" w:eastAsiaTheme="majorEastAsia" w:hAnsi="Franklin Gothic Demi" w:cs="Arial"/>
      <w:bCs/>
      <w:color w:val="FFFFFF" w:themeColor="background1"/>
      <w:kern w:val="28"/>
      <w:sz w:val="48"/>
      <w:szCs w:val="64"/>
      <w:lang w:eastAsia="en-US"/>
    </w:rPr>
  </w:style>
  <w:style w:type="character" w:customStyle="1" w:styleId="TitleChar">
    <w:name w:val="Title Char"/>
    <w:basedOn w:val="DefaultParagraphFont"/>
    <w:link w:val="Title"/>
    <w:uiPriority w:val="5"/>
    <w:rsid w:val="002B5EA0"/>
    <w:rPr>
      <w:rFonts w:ascii="Franklin Gothic Demi" w:eastAsiaTheme="majorEastAsia" w:hAnsi="Franklin Gothic Demi" w:cs="Arial"/>
      <w:bCs/>
      <w:color w:val="FFFFFF" w:themeColor="background1"/>
      <w:kern w:val="28"/>
      <w:sz w:val="48"/>
      <w:szCs w:val="64"/>
      <w:lang w:eastAsia="en-US"/>
    </w:rPr>
  </w:style>
  <w:style w:type="paragraph" w:styleId="Subtitle">
    <w:name w:val="Subtitle"/>
    <w:basedOn w:val="Title"/>
    <w:next w:val="Normal"/>
    <w:link w:val="SubtitleChar"/>
    <w:uiPriority w:val="11"/>
    <w:semiHidden/>
    <w:rsid w:val="00E04834"/>
    <w:rPr>
      <w:rFonts w:asciiTheme="minorHAnsi" w:hAnsiTheme="minorHAnsi" w:cstheme="majorBidi"/>
      <w:sz w:val="36"/>
      <w:szCs w:val="36"/>
    </w:rPr>
  </w:style>
  <w:style w:type="character" w:customStyle="1" w:styleId="SubtitleChar">
    <w:name w:val="Subtitle Char"/>
    <w:basedOn w:val="DefaultParagraphFont"/>
    <w:link w:val="Subtitle"/>
    <w:uiPriority w:val="11"/>
    <w:semiHidden/>
    <w:rsid w:val="006267BA"/>
    <w:rPr>
      <w:rFonts w:asciiTheme="minorHAnsi" w:eastAsiaTheme="majorEastAsia" w:hAnsiTheme="minorHAnsi" w:cstheme="majorBidi"/>
      <w:bCs/>
      <w:kern w:val="28"/>
      <w:sz w:val="36"/>
      <w:szCs w:val="36"/>
      <w:lang w:eastAsia="en-US"/>
    </w:rPr>
  </w:style>
  <w:style w:type="table" w:styleId="TableGrid">
    <w:name w:val="Table Grid"/>
    <w:basedOn w:val="TableNormal"/>
    <w:rsid w:val="00E04834"/>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normal0">
    <w:name w:val="Table normal"/>
    <w:basedOn w:val="Normal"/>
    <w:semiHidden/>
    <w:rsid w:val="00E04834"/>
    <w:pPr>
      <w:spacing w:before="80" w:after="80"/>
    </w:pPr>
    <w:rPr>
      <w:rFonts w:eastAsiaTheme="majorEastAsia"/>
      <w:sz w:val="20"/>
    </w:rPr>
  </w:style>
  <w:style w:type="paragraph" w:customStyle="1" w:styleId="Tableheaderrowblack">
    <w:name w:val="Table header row black"/>
    <w:basedOn w:val="Tablenormal0"/>
    <w:semiHidden/>
    <w:rsid w:val="00E04834"/>
    <w:rPr>
      <w:szCs w:val="20"/>
    </w:rPr>
  </w:style>
  <w:style w:type="paragraph" w:customStyle="1" w:styleId="Tableheaderrowwhite">
    <w:name w:val="Table header row white"/>
    <w:basedOn w:val="Tablenormal0"/>
    <w:semiHidden/>
    <w:rsid w:val="00E04834"/>
  </w:style>
  <w:style w:type="paragraph" w:customStyle="1" w:styleId="Tablelegend">
    <w:name w:val="Table legend"/>
    <w:basedOn w:val="Normal"/>
    <w:semiHidden/>
    <w:locked/>
    <w:rsid w:val="002504C0"/>
    <w:rPr>
      <w:rFonts w:eastAsiaTheme="majorEastAsia"/>
    </w:rPr>
  </w:style>
  <w:style w:type="numbering" w:customStyle="1" w:styleId="CSCtablenumberlist">
    <w:name w:val="CSC table number list"/>
    <w:uiPriority w:val="99"/>
    <w:rsid w:val="008B6FCA"/>
    <w:pPr>
      <w:numPr>
        <w:numId w:val="11"/>
      </w:numPr>
    </w:pPr>
  </w:style>
  <w:style w:type="paragraph" w:customStyle="1" w:styleId="Tablerightaligned">
    <w:name w:val="Table right aligned"/>
    <w:basedOn w:val="Tablenormal0"/>
    <w:semiHidden/>
    <w:rsid w:val="00E04834"/>
    <w:pPr>
      <w:jc w:val="right"/>
    </w:pPr>
  </w:style>
  <w:style w:type="paragraph" w:styleId="TOC1">
    <w:name w:val="toc 1"/>
    <w:basedOn w:val="Normal"/>
    <w:next w:val="Normal"/>
    <w:autoRedefine/>
    <w:semiHidden/>
    <w:rsid w:val="00B0699C"/>
    <w:pPr>
      <w:tabs>
        <w:tab w:val="left" w:pos="720"/>
        <w:tab w:val="right" w:pos="9072"/>
      </w:tabs>
      <w:spacing w:after="100"/>
      <w:ind w:left="720" w:hanging="720"/>
    </w:pPr>
    <w:rPr>
      <w:b/>
    </w:rPr>
  </w:style>
  <w:style w:type="paragraph" w:styleId="TOC2">
    <w:name w:val="toc 2"/>
    <w:basedOn w:val="Normal"/>
    <w:next w:val="Normal"/>
    <w:autoRedefine/>
    <w:semiHidden/>
    <w:rsid w:val="00B0699C"/>
    <w:pPr>
      <w:tabs>
        <w:tab w:val="left" w:pos="720"/>
        <w:tab w:val="right" w:pos="9072"/>
      </w:tabs>
      <w:spacing w:after="100"/>
      <w:ind w:left="720" w:hanging="720"/>
    </w:pPr>
  </w:style>
  <w:style w:type="paragraph" w:customStyle="1" w:styleId="Appendixheading">
    <w:name w:val="Appendix heading"/>
    <w:next w:val="Normal"/>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spacebefore"/>
    <w:semiHidden/>
    <w:rsid w:val="005479E6"/>
    <w:pPr>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BD287D"/>
    <w:rPr>
      <w:rFonts w:asciiTheme="minorHAnsi" w:hAnsiTheme="minorHAnsi"/>
      <w:sz w:val="20"/>
      <w:vertAlign w:val="superscript"/>
    </w:rPr>
  </w:style>
  <w:style w:type="paragraph" w:styleId="FootnoteText">
    <w:name w:val="footnote text"/>
    <w:basedOn w:val="Normal"/>
    <w:link w:val="FootnoteTextChar"/>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semiHidden/>
    <w:rsid w:val="006267BA"/>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semiHidden/>
    <w:rsid w:val="00BD287D"/>
    <w:pPr>
      <w:keepNext/>
      <w:spacing w:after="240"/>
    </w:pPr>
    <w:rPr>
      <w:rFonts w:ascii="Franklin Gothic Demi" w:eastAsiaTheme="majorEastAsia" w:hAnsi="Franklin Gothic Demi"/>
      <w:sz w:val="36"/>
    </w:rPr>
  </w:style>
  <w:style w:type="paragraph" w:customStyle="1" w:styleId="NonTOCHeading2">
    <w:name w:val="Non TOC Heading 2"/>
    <w:next w:val="Normal"/>
    <w:semiHidden/>
    <w:rsid w:val="00BD287D"/>
    <w:pPr>
      <w:keepNext/>
      <w:spacing w:before="60" w:after="120"/>
    </w:pPr>
    <w:rPr>
      <w:rFonts w:asciiTheme="majorHAnsi" w:eastAsiaTheme="majorEastAsia" w:hAnsiTheme="majorHAns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semiHidden/>
    <w:rsid w:val="00BD287D"/>
    <w:pPr>
      <w:ind w:left="540" w:right="791"/>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semiHidden/>
    <w:rsid w:val="00BD287D"/>
    <w:pPr>
      <w:ind w:left="714" w:hanging="714"/>
    </w:pPr>
  </w:style>
  <w:style w:type="paragraph" w:customStyle="1" w:styleId="ReferenceTitle">
    <w:name w:val="Reference Title"/>
    <w:basedOn w:val="Normal"/>
    <w:next w:val="Normal"/>
    <w:link w:val="ReferenceTitleChar"/>
    <w:semiHidden/>
    <w:rsid w:val="00BD287D"/>
    <w:rPr>
      <w:i/>
      <w:szCs w:val="20"/>
    </w:rPr>
  </w:style>
  <w:style w:type="character" w:customStyle="1" w:styleId="ReferenceTitleChar">
    <w:name w:val="Reference Title Char"/>
    <w:basedOn w:val="DefaultParagraphFont"/>
    <w:link w:val="ReferenceTitle"/>
    <w:semiHidden/>
    <w:rsid w:val="006267BA"/>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spacebefore"/>
    <w:semiHidden/>
    <w:rsid w:val="00BD287D"/>
    <w:pPr>
      <w:spacing w:after="60"/>
      <w:jc w:val="right"/>
    </w:pPr>
    <w:rPr>
      <w:rFonts w:eastAsiaTheme="majorEastAsia"/>
      <w:i/>
      <w:noProof/>
    </w:rPr>
  </w:style>
  <w:style w:type="paragraph" w:customStyle="1" w:styleId="Tableheading">
    <w:name w:val="Table heading"/>
    <w:next w:val="Normalspacebefore"/>
    <w:semiHidden/>
    <w:rsid w:val="005479E6"/>
    <w:pPr>
      <w:numPr>
        <w:numId w:val="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A5D54"/>
    <w:pPr>
      <w:ind w:left="714"/>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2B5EA0"/>
    <w:pPr>
      <w:numPr>
        <w:numId w:val="18"/>
      </w:numPr>
    </w:pPr>
  </w:style>
  <w:style w:type="paragraph" w:customStyle="1" w:styleId="Bulletlevel2CSC">
    <w:name w:val="Bullet level 2 CSC"/>
    <w:basedOn w:val="Normal"/>
    <w:semiHidden/>
    <w:qFormat/>
    <w:rsid w:val="002B5EA0"/>
    <w:pPr>
      <w:numPr>
        <w:ilvl w:val="1"/>
        <w:numId w:val="18"/>
      </w:numPr>
      <w:spacing w:after="60"/>
    </w:pPr>
  </w:style>
  <w:style w:type="paragraph" w:customStyle="1" w:styleId="Bulletlevel3CSC">
    <w:name w:val="Bullet level 3 CSC"/>
    <w:basedOn w:val="Normal"/>
    <w:semiHidden/>
    <w:qFormat/>
    <w:rsid w:val="002B5EA0"/>
    <w:pPr>
      <w:numPr>
        <w:ilvl w:val="2"/>
        <w:numId w:val="18"/>
      </w:numPr>
      <w:spacing w:after="60"/>
    </w:pPr>
  </w:style>
  <w:style w:type="numbering" w:customStyle="1" w:styleId="CSCBulletlist">
    <w:name w:val="CSC Bullet list"/>
    <w:uiPriority w:val="99"/>
    <w:rsid w:val="00B060A7"/>
    <w:pPr>
      <w:numPr>
        <w:numId w:val="16"/>
      </w:numPr>
    </w:pPr>
  </w:style>
  <w:style w:type="paragraph" w:customStyle="1" w:styleId="Numberlevel2CSC">
    <w:name w:val="Number level 2 CSC"/>
    <w:basedOn w:val="Normal"/>
    <w:semiHidden/>
    <w:qFormat/>
    <w:rsid w:val="002B5EA0"/>
    <w:pPr>
      <w:numPr>
        <w:ilvl w:val="1"/>
        <w:numId w:val="21"/>
      </w:numPr>
      <w:spacing w:after="60"/>
    </w:pPr>
  </w:style>
  <w:style w:type="paragraph" w:customStyle="1" w:styleId="Numberlevel3CSC">
    <w:name w:val="Number level 3 CSC"/>
    <w:basedOn w:val="Normal"/>
    <w:semiHidden/>
    <w:qFormat/>
    <w:rsid w:val="002B5EA0"/>
    <w:pPr>
      <w:numPr>
        <w:ilvl w:val="2"/>
        <w:numId w:val="21"/>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2B5EA0"/>
    <w:pPr>
      <w:numPr>
        <w:ilvl w:val="3"/>
        <w:numId w:val="21"/>
      </w:numPr>
      <w:spacing w:after="60"/>
    </w:pPr>
  </w:style>
  <w:style w:type="numbering" w:customStyle="1" w:styleId="CSCTablebulletlist">
    <w:name w:val="CSC Table bullet list"/>
    <w:uiPriority w:val="99"/>
    <w:rsid w:val="00AD5BD7"/>
    <w:pPr>
      <w:numPr>
        <w:numId w:val="10"/>
      </w:numPr>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Tablebulletlist">
    <w:name w:val="Table bullet list"/>
    <w:basedOn w:val="Tablenormal0"/>
    <w:semiHidden/>
    <w:rsid w:val="00AD5BD7"/>
    <w:pPr>
      <w:numPr>
        <w:numId w:val="10"/>
      </w:numPr>
    </w:pPr>
  </w:style>
  <w:style w:type="paragraph" w:customStyle="1" w:styleId="Tablebullet2CSC">
    <w:name w:val="Table bullet 2 CSC"/>
    <w:basedOn w:val="Tablenormal0"/>
    <w:semiHidden/>
    <w:rsid w:val="00AD5BD7"/>
    <w:pPr>
      <w:numPr>
        <w:ilvl w:val="1"/>
        <w:numId w:val="10"/>
      </w:numPr>
    </w:pPr>
  </w:style>
  <w:style w:type="paragraph" w:customStyle="1" w:styleId="Tablenumberedlist">
    <w:name w:val="Table numbered list"/>
    <w:basedOn w:val="Tablenormal0"/>
    <w:semiHidden/>
    <w:rsid w:val="008B6FCA"/>
    <w:pPr>
      <w:numPr>
        <w:numId w:val="11"/>
      </w:numPr>
    </w:pPr>
  </w:style>
  <w:style w:type="paragraph" w:customStyle="1" w:styleId="Tablenumberlevel2">
    <w:name w:val="Table number level 2"/>
    <w:basedOn w:val="Tablenormal0"/>
    <w:semiHidden/>
    <w:rsid w:val="008B6FCA"/>
    <w:pPr>
      <w:numPr>
        <w:ilvl w:val="1"/>
        <w:numId w:val="11"/>
      </w:numPr>
    </w:pPr>
  </w:style>
  <w:style w:type="paragraph" w:customStyle="1" w:styleId="Addresseedetails">
    <w:name w:val="Addressee details"/>
    <w:basedOn w:val="Normal"/>
    <w:semiHidden/>
    <w:rsid w:val="003722B8"/>
    <w:pPr>
      <w:spacing w:after="60"/>
    </w:pPr>
  </w:style>
  <w:style w:type="paragraph" w:styleId="EnvelopeAddress">
    <w:name w:val="envelope address"/>
    <w:basedOn w:val="Normal"/>
    <w:semiHidden/>
    <w:rsid w:val="00281664"/>
    <w:pPr>
      <w:framePr w:w="7920" w:h="1980" w:hRule="exact" w:hSpace="180" w:wrap="auto" w:hAnchor="page" w:xAlign="center" w:yAlign="bottom"/>
      <w:ind w:left="2880"/>
    </w:pPr>
    <w:rPr>
      <w:rFonts w:eastAsiaTheme="majorEastAsia" w:cstheme="majorBidi"/>
      <w:sz w:val="20"/>
      <w:szCs w:val="24"/>
    </w:rPr>
  </w:style>
  <w:style w:type="paragraph" w:styleId="TOCHeading">
    <w:name w:val="TOC Heading"/>
    <w:basedOn w:val="Heading1"/>
    <w:next w:val="Normal"/>
    <w:uiPriority w:val="39"/>
    <w:semiHidden/>
    <w:qFormat/>
    <w:rsid w:val="002B5EA0"/>
    <w:pPr>
      <w:keepLines/>
      <w:spacing w:before="480" w:after="0"/>
      <w:outlineLvl w:val="9"/>
    </w:pPr>
    <w:rPr>
      <w:rFonts w:ascii="Franklin Gothic Book" w:hAnsi="Franklin Gothic Book"/>
      <w:b/>
      <w:bCs/>
      <w:color w:val="908B00" w:themeColor="accent1" w:themeShade="BF"/>
      <w:sz w:val="28"/>
      <w:lang w:eastAsia="en-AU"/>
    </w:rPr>
  </w:style>
  <w:style w:type="paragraph" w:customStyle="1" w:styleId="Default">
    <w:name w:val="Default"/>
    <w:rsid w:val="00282C17"/>
    <w:pPr>
      <w:autoSpaceDE w:val="0"/>
      <w:autoSpaceDN w:val="0"/>
      <w:adjustRightInd w:val="0"/>
    </w:pPr>
    <w:rPr>
      <w:rFonts w:ascii="Calibri" w:hAnsi="Calibri" w:cs="Calibri"/>
      <w:color w:val="000000"/>
      <w:sz w:val="24"/>
      <w:szCs w:val="24"/>
    </w:rPr>
  </w:style>
  <w:style w:type="paragraph" w:customStyle="1" w:styleId="BodyText-List-Indent">
    <w:name w:val="Body Text - List - Indent"/>
    <w:rsid w:val="006D694B"/>
    <w:pPr>
      <w:numPr>
        <w:numId w:val="28"/>
      </w:numPr>
      <w:spacing w:after="120"/>
    </w:pPr>
    <w:rPr>
      <w:rFonts w:ascii="Arial" w:eastAsia="Times" w:hAnsi="Arial" w:cs="Arial"/>
      <w:sz w:val="20"/>
      <w:szCs w:val="24"/>
      <w:lang w:eastAsia="en-US"/>
    </w:rPr>
  </w:style>
  <w:style w:type="table" w:styleId="GridTable5Dark-Accent6">
    <w:name w:val="Grid Table 5 Dark Accent 6"/>
    <w:basedOn w:val="TableNormal"/>
    <w:uiPriority w:val="50"/>
    <w:rsid w:val="00A86CD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3C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3C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3C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3CF" w:themeFill="accent6"/>
      </w:tcPr>
    </w:tblStylePr>
    <w:tblStylePr w:type="band1Vert">
      <w:tblPr/>
      <w:tcPr>
        <w:shd w:val="clear" w:color="auto" w:fill="85C8FF" w:themeFill="accent6" w:themeFillTint="66"/>
      </w:tcPr>
    </w:tblStylePr>
    <w:tblStylePr w:type="band1Horz">
      <w:tblPr/>
      <w:tcPr>
        <w:shd w:val="clear" w:color="auto" w:fill="85C8FF"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0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mail@cardinia.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ardinia.vic.gov.au\dfs\Data\Office%202016\Templates\Promotional%20Material\Factsheet-general-blank.dotx" TargetMode="Externa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39FEA3C1-EC42-43C9-9E72-69E32D647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Factsheet-general-blank.dotx</Template>
  <TotalTime>276</TotalTime>
  <Pages>3</Pages>
  <Words>902</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Cardinia Shire Council</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Larkman</dc:creator>
  <cp:lastModifiedBy>Megan Gill</cp:lastModifiedBy>
  <cp:revision>29</cp:revision>
  <cp:lastPrinted>2014-03-03T21:33:00Z</cp:lastPrinted>
  <dcterms:created xsi:type="dcterms:W3CDTF">2017-06-29T00:07:00Z</dcterms:created>
  <dcterms:modified xsi:type="dcterms:W3CDTF">2017-08-28T04:17:00Z</dcterms:modified>
</cp:coreProperties>
</file>